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2.5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2.5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2024 - 13:00 to 14:30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