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3.1</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2fopv03xu1c5" w:id="5"/>
      <w:bookmarkEnd w:id="5"/>
      <w:r w:rsidDel="00000000" w:rsidR="00000000" w:rsidRPr="00000000">
        <w:rPr>
          <w:rtl w:val="0"/>
        </w:rPr>
        <w:t xml:space="preserve">The Dimensions Knowledge Graph - Leveraging neuro-symbolic AI to accelerate business decisions [SP]</w:t>
      </w:r>
    </w:p>
    <w:p w:rsidR="00000000" w:rsidDel="00000000" w:rsidP="00000000" w:rsidRDefault="00000000" w:rsidRPr="00000000" w14:paraId="00000007">
      <w:pPr>
        <w:rPr/>
      </w:pPr>
      <w:r w:rsidDel="00000000" w:rsidR="00000000" w:rsidRPr="00000000">
        <w:rPr>
          <w:rtl w:val="0"/>
        </w:rPr>
        <w:t xml:space="preserve">The data needed to create new opportunities and drive decisions is abundant, but it is distributed across heterogeneous sources and lacks the context needed to deliver insights. The Dimensions Knowledge Graph powered by metaphactory combines the power of symbolic and subsymbolic AI to transform data into knowledge, connect internal data with global research knowledge, and augment and scale business decisions. It is the world’s largest and most comprehensive scientific knowledge graph covering the entire R&amp;D landscape and is designed for seamless integration with other datasets from the public domain, as well as private enterprise data sources.</w:t>
      </w:r>
    </w:p>
    <w:p w:rsidR="00000000" w:rsidDel="00000000" w:rsidP="00000000" w:rsidRDefault="00000000" w:rsidRPr="00000000" w14:paraId="00000008">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590675" cy="1587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9067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rztotc172hpy" w:id="6"/>
            <w:bookmarkEnd w:id="6"/>
            <w:r w:rsidDel="00000000" w:rsidR="00000000" w:rsidRPr="00000000">
              <w:rPr>
                <w:rtl w:val="0"/>
              </w:rPr>
              <w:t xml:space="preserve">Peter Haase </w:t>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e0wvwkn0wgt" w:id="7"/>
            <w:bookmarkEnd w:id="7"/>
            <w:r w:rsidDel="00000000" w:rsidR="00000000" w:rsidRPr="00000000">
              <w:rPr>
                <w:rtl w:val="0"/>
              </w:rPr>
              <w:t xml:space="preserve">metaphacts</w:t>
            </w:r>
          </w:p>
          <w:p w:rsidR="00000000" w:rsidDel="00000000" w:rsidP="00000000" w:rsidRDefault="00000000" w:rsidRPr="00000000" w14:paraId="0000000C">
            <w:pPr>
              <w:pStyle w:val="Heading5"/>
              <w:shd w:fill="ffffff" w:val="clear"/>
              <w:spacing w:after="0" w:before="0" w:lineRule="auto"/>
              <w:ind w:left="-20" w:right="-20" w:firstLine="0"/>
              <w:rPr/>
            </w:pPr>
            <w:bookmarkStart w:colFirst="0" w:colLast="0" w:name="_au4nhbkjwgm8" w:id="8"/>
            <w:bookmarkEnd w:id="8"/>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tc>
      </w:tr>
    </w:tbl>
    <w:p w:rsidR="00000000" w:rsidDel="00000000" w:rsidP="00000000" w:rsidRDefault="00000000" w:rsidRPr="00000000" w14:paraId="0000000E">
      <w:pPr>
        <w:pStyle w:val="Heading3"/>
        <w:rPr/>
      </w:pPr>
      <w:bookmarkStart w:colFirst="0" w:colLast="0" w:name="_lkvitwisa2q5" w:id="9"/>
      <w:bookmarkEnd w:id="9"/>
      <w:r w:rsidDel="00000000" w:rsidR="00000000" w:rsidRPr="00000000">
        <w:rPr>
          <w:rtl w:val="0"/>
        </w:rPr>
      </w:r>
    </w:p>
    <w:p w:rsidR="00000000" w:rsidDel="00000000" w:rsidP="00000000" w:rsidRDefault="00000000" w:rsidRPr="00000000" w14:paraId="0000000F">
      <w:pPr>
        <w:pStyle w:val="Heading3"/>
        <w:rPr/>
      </w:pPr>
      <w:bookmarkStart w:colFirst="0" w:colLast="0" w:name="_2t1h3q4fwzhe" w:id="10"/>
      <w:bookmarkEnd w:id="10"/>
      <w:r w:rsidDel="00000000" w:rsidR="00000000" w:rsidRPr="00000000">
        <w:rPr>
          <w:rtl w:val="0"/>
        </w:rPr>
        <w:t xml:space="preserve">Simplifying and Automating Product Compatibility with Rules-based AI aka “What goes with what?”</w:t>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5ykmkdtakcq7" w:id="11"/>
            <w:bookmarkEnd w:id="11"/>
            <w:r w:rsidDel="00000000" w:rsidR="00000000" w:rsidRPr="00000000">
              <w:rPr>
                <w:rtl w:val="0"/>
              </w:rPr>
              <w:t xml:space="preserve">Peter Crocker</w:t>
            </w:r>
            <w:r w:rsidDel="00000000" w:rsidR="00000000" w:rsidRPr="00000000">
              <w:rPr>
                <w:rtl w:val="0"/>
              </w:rPr>
            </w:r>
          </w:p>
          <w:p w:rsidR="00000000" w:rsidDel="00000000" w:rsidP="00000000" w:rsidRDefault="00000000" w:rsidRPr="00000000" w14:paraId="00000012">
            <w:pPr>
              <w:pStyle w:val="Heading5"/>
              <w:spacing w:line="240" w:lineRule="auto"/>
              <w:rPr/>
            </w:pPr>
            <w:bookmarkStart w:colFirst="0" w:colLast="0" w:name="_r7dbaxgkajg6" w:id="12"/>
            <w:bookmarkEnd w:id="1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yicfogndemyz" w:id="13"/>
            <w:bookmarkEnd w:id="13"/>
            <w:r w:rsidDel="00000000" w:rsidR="00000000" w:rsidRPr="00000000">
              <w:rPr>
                <w:rtl w:val="0"/>
              </w:rPr>
              <w:t xml:space="preserve">Thomas Vout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4a947zilhr9k" w:id="14"/>
            <w:bookmarkEnd w:id="14"/>
            <w:r w:rsidDel="00000000" w:rsidR="00000000" w:rsidRPr="00000000">
              <w:rPr>
                <w:rtl w:val="0"/>
              </w:rPr>
              <w:t xml:space="preserve">Philip Foster</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lb4twc56ofzf" w:id="15"/>
      <w:bookmarkEnd w:id="15"/>
      <w:r w:rsidDel="00000000" w:rsidR="00000000" w:rsidRPr="00000000">
        <w:rPr>
          <w:rtl w:val="0"/>
        </w:rPr>
        <w:t xml:space="preserve">How Semantic Technology Brings Clinical Knowledge to Decision Support in an Instant</w:t>
      </w:r>
    </w:p>
    <w:p w:rsidR="00000000" w:rsidDel="00000000" w:rsidP="00000000" w:rsidRDefault="00000000" w:rsidRPr="00000000" w14:paraId="0000001A">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5"/>
              <w:keepNext w:val="0"/>
              <w:keepLines w:val="0"/>
              <w:shd w:fill="ffffff" w:val="clear"/>
              <w:spacing w:after="0" w:lineRule="auto"/>
              <w:rPr>
                <w:b w:val="1"/>
                <w:color w:val="212529"/>
                <w:sz w:val="36"/>
                <w:szCs w:val="36"/>
              </w:rPr>
            </w:pPr>
            <w:bookmarkStart w:colFirst="0" w:colLast="0" w:name="_ij3yjzcu4c7p" w:id="16"/>
            <w:bookmarkEnd w:id="16"/>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94yli2kxqh61" w:id="17"/>
            <w:bookmarkEnd w:id="17"/>
            <w:r w:rsidDel="00000000" w:rsidR="00000000" w:rsidRPr="00000000">
              <w:rPr>
                <w:rtl w:val="0"/>
              </w:rPr>
              <w:t xml:space="preserve">Peter Crocker</w:t>
            </w:r>
          </w:p>
          <w:p w:rsidR="00000000" w:rsidDel="00000000" w:rsidP="00000000" w:rsidRDefault="00000000" w:rsidRPr="00000000" w14:paraId="0000001D">
            <w:pPr>
              <w:pStyle w:val="Heading5"/>
              <w:spacing w:line="240" w:lineRule="auto"/>
              <w:rPr/>
            </w:pPr>
            <w:bookmarkStart w:colFirst="0" w:colLast="0" w:name="_2zanoafunxr" w:id="18"/>
            <w:bookmarkEnd w:id="1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uvsjsfg39roq" w:id="19"/>
            <w:bookmarkEnd w:id="19"/>
            <w:r w:rsidDel="00000000" w:rsidR="00000000" w:rsidRPr="00000000">
              <w:rPr>
                <w:rtl w:val="0"/>
              </w:rPr>
              <w:t xml:space="preserve">Thomas Vout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7ipjqtl33mzy" w:id="20"/>
            <w:bookmarkEnd w:id="20"/>
            <w:r w:rsidDel="00000000" w:rsidR="00000000" w:rsidRPr="00000000">
              <w:rPr>
                <w:rtl w:val="0"/>
              </w:rPr>
              <w:t xml:space="preserve">Philip Foster</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n49nriq3cwl6" w:id="21"/>
      <w:bookmarkEnd w:id="21"/>
      <w:r w:rsidDel="00000000" w:rsidR="00000000" w:rsidRPr="00000000">
        <w:rPr>
          <w:rtl w:val="0"/>
        </w:rPr>
      </w:r>
    </w:p>
    <w:p w:rsidR="00000000" w:rsidDel="00000000" w:rsidP="00000000" w:rsidRDefault="00000000" w:rsidRPr="00000000" w14:paraId="00000024">
      <w:pPr>
        <w:pStyle w:val="Heading3"/>
        <w:rPr/>
      </w:pPr>
      <w:bookmarkStart w:colFirst="0" w:colLast="0" w:name="_tymf8360n7sc" w:id="22"/>
      <w:bookmarkEnd w:id="22"/>
      <w:r w:rsidDel="00000000" w:rsidR="00000000" w:rsidRPr="00000000">
        <w:rPr>
          <w:rtl w:val="0"/>
        </w:rPr>
        <w:t xml:space="preserve">Next-Generation Cybersecurity: Integrating Knowledge Graphs and Neuro-symbolic AI with STIX and TAXII</w:t>
      </w:r>
    </w:p>
    <w:p w:rsidR="00000000" w:rsidDel="00000000" w:rsidP="00000000" w:rsidRDefault="00000000" w:rsidRPr="00000000" w14:paraId="00000025">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Style w:val="Heading5"/>
              <w:spacing w:line="240" w:lineRule="auto"/>
              <w:rPr>
                <w:b w:val="1"/>
                <w:color w:val="212529"/>
                <w:sz w:val="36"/>
                <w:szCs w:val="36"/>
              </w:rPr>
            </w:pPr>
            <w:bookmarkStart w:colFirst="0" w:colLast="0" w:name="_vbqjm6khyro6" w:id="23"/>
            <w:bookmarkEnd w:id="23"/>
            <w:r w:rsidDel="00000000" w:rsidR="00000000" w:rsidRPr="00000000">
              <w:rPr/>
              <w:drawing>
                <wp:inline distB="114300" distT="114300" distL="114300" distR="114300">
                  <wp:extent cx="1971675" cy="18669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716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5"/>
              <w:spacing w:line="240" w:lineRule="auto"/>
              <w:rPr/>
            </w:pPr>
            <w:bookmarkStart w:colFirst="0" w:colLast="0" w:name="_2vjh1636uc09" w:id="24"/>
            <w:bookmarkEnd w:id="24"/>
            <w:r w:rsidDel="00000000" w:rsidR="00000000" w:rsidRPr="00000000">
              <w:rPr>
                <w:rtl w:val="0"/>
              </w:rPr>
              <w:t xml:space="preserve">Jans Aasman</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