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501sjpro93u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Language Intelligence - Session 7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22 September 2023 - 14:00 to 14:45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b w:val="1"/>
          <w:rtl w:val="0"/>
        </w:rPr>
        <w:t xml:space="preserve">Chair: </w:t>
      </w:r>
      <w:r w:rsidDel="00000000" w:rsidR="00000000" w:rsidRPr="00000000">
        <w:rPr>
          <w:rtl w:val="0"/>
        </w:rPr>
        <w:t xml:space="preserve">Yvan Hennecart, Member of the Board of Advisors, LT-Innovate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nwyhvquqe89o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47qd19qby8hn" w:id="4"/>
      <w:bookmarkEnd w:id="4"/>
      <w:r w:rsidDel="00000000" w:rsidR="00000000" w:rsidRPr="00000000">
        <w:rPr>
          <w:rtl w:val="0"/>
        </w:rPr>
        <w:t xml:space="preserve">Machine Translation Quality Prediction - AI for More Efficient Post-editing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Only three technological advances have radically increased the efficiency of human-quality translation: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translation memory (TM)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machine translation post-editing (MTPE)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machine translation quality prediction (MTQP)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Quality prediction is AI that predicts if a machine-translated segments requires human post-editing or not.  This "hybrid translation" approach has made high-volume post-editing workflows up to 5x more efficient.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us to learn about this new technology, the use cases, the results, the requirements, adoption and how to get started.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mbp09yaf1b6" w:id="5"/>
            <w:bookmarkEnd w:id="5"/>
            <w:r w:rsidDel="00000000" w:rsidR="00000000" w:rsidRPr="00000000">
              <w:rPr>
                <w:rtl w:val="0"/>
              </w:rPr>
              <w:t xml:space="preserve">Adam Bittlingmaier</w:t>
            </w:r>
          </w:p>
          <w:p w:rsidR="00000000" w:rsidDel="00000000" w:rsidP="00000000" w:rsidRDefault="00000000" w:rsidRPr="00000000" w14:paraId="00000011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ro2r4e9qt4l4" w:id="6"/>
            <w:bookmarkEnd w:id="6"/>
            <w:r w:rsidDel="00000000" w:rsidR="00000000" w:rsidRPr="00000000">
              <w:rPr>
                <w:rtl w:val="0"/>
              </w:rPr>
              <w:t xml:space="preserve">CEO, ModelFront</w:t>
            </w:r>
          </w:p>
          <w:p w:rsidR="00000000" w:rsidDel="00000000" w:rsidP="00000000" w:rsidRDefault="00000000" w:rsidRPr="00000000" w14:paraId="00000012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dggk3j7ca08c" w:id="7"/>
            <w:bookmarkEnd w:id="7"/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 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19c0z3wgzy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bittlingmay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