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r w:rsidDel="00000000" w:rsidR="00000000" w:rsidRPr="00000000">
        <w:rPr>
          <w:rFonts w:ascii="Lato" w:cs="Lato" w:eastAsia="Lato" w:hAnsi="Lato"/>
          <w:color w:val="212529"/>
          <w:sz w:val="46"/>
          <w:szCs w:val="46"/>
          <w:rtl w:val="0"/>
        </w:rPr>
        <w:t xml:space="preserve">Provenance and Compliance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g1w8y0fgv5wu" w:id="4"/>
      <w:bookmarkEnd w:id="4"/>
      <w:r w:rsidDel="00000000" w:rsidR="00000000" w:rsidRPr="00000000">
        <w:rPr>
          <w:rtl w:val="0"/>
        </w:rPr>
        <w:t xml:space="preserve">How the Dutch Police deals with context - enforcing compliance while processing ontological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compliant handling and processing of data by the Dutch National Police is a fundamental requirement for their successful operation. Not only is this required by law, but incorrect processing of data will severely hinder investigation of criminal behaviour, such as the misinterpretation and/or misuse of the available data. The Dutch Police maintains a set of ontologies that can be utilized across the entire police organization. Although this mitigates some of the risks, it is not enough. The true meaning of data is not only dictated by its reference to the ontology, but also its context: at what time, by whom, for what purpose, during what activity. We present "het verwerkingsmodel" ("Data Processing Pattern" in English) that enables us to keep track of data provenance and context in a standardized way. We will demonstrate its practical application at the Dutch Police and discuss how it could be used as a general pattern for any linked data application in which data provenance is important.</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rPr>
            </w:pPr>
            <w:r w:rsidDel="00000000" w:rsidR="00000000" w:rsidRPr="00000000">
              <w:rPr>
                <w:b w:val="1"/>
                <w:color w:val="212529"/>
              </w:rPr>
              <w:drawing>
                <wp:inline distB="114300" distT="114300" distL="114300" distR="114300">
                  <wp:extent cx="1971675" cy="1968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rPr/>
            </w:pPr>
            <w:bookmarkStart w:colFirst="0" w:colLast="0" w:name="_k742ewolt6i" w:id="5"/>
            <w:bookmarkEnd w:id="5"/>
            <w:r w:rsidDel="00000000" w:rsidR="00000000" w:rsidRPr="00000000">
              <w:rPr>
                <w:rtl w:val="0"/>
              </w:rPr>
              <w:t xml:space="preserve">Paul Brandt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tl w:val="0"/>
              </w:rPr>
              <w:t xml:space="preserve">Politie Nederland </w:t>
            </w:r>
          </w:p>
          <w:p w:rsidR="00000000" w:rsidDel="00000000" w:rsidP="00000000" w:rsidRDefault="00000000" w:rsidRPr="00000000" w14:paraId="0000000C">
            <w:pPr>
              <w:shd w:fill="ffffff" w:val="clear"/>
              <w:rPr>
                <w:color w:val="212529"/>
              </w:rPr>
            </w:pPr>
            <w:hyperlink r:id="rId7">
              <w:r w:rsidDel="00000000" w:rsidR="00000000" w:rsidRPr="00000000">
                <w:rPr>
                  <w:color w:val="1155cc"/>
                  <w:u w:val="single"/>
                  <w:rtl w:val="0"/>
                </w:rPr>
                <w:t xml:space="preserve">https://www.politie.nl/en</w:t>
              </w:r>
            </w:hyperlink>
            <w:r w:rsidDel="00000000" w:rsidR="00000000" w:rsidRPr="00000000">
              <w:rPr>
                <w:color w:val="212529"/>
                <w:rtl w:val="0"/>
              </w:rPr>
              <w:t xml:space="preserve"> </w:t>
            </w:r>
          </w:p>
          <w:p w:rsidR="00000000" w:rsidDel="00000000" w:rsidP="00000000" w:rsidRDefault="00000000" w:rsidRPr="00000000" w14:paraId="0000000D">
            <w:pPr>
              <w:shd w:fill="ffffff" w:val="clear"/>
              <w:rPr>
                <w:color w:val="212529"/>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color w:val="212529"/>
                <w:rtl w:val="0"/>
              </w:rPr>
              <w:t xml:space="preserve">CV</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b w:val="1"/>
                <w:color w:val="212529"/>
                <w:sz w:val="22"/>
                <w:szCs w:val="22"/>
              </w:rPr>
            </w:pPr>
            <w:r w:rsidDel="00000000" w:rsidR="00000000" w:rsidRPr="00000000">
              <w:rPr>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rPr/>
            </w:pPr>
            <w:bookmarkStart w:colFirst="0" w:colLast="0" w:name="_feg6zid19w" w:id="6"/>
            <w:bookmarkEnd w:id="6"/>
            <w:r w:rsidDel="00000000" w:rsidR="00000000" w:rsidRPr="00000000">
              <w:rPr>
                <w:rtl w:val="0"/>
              </w:rPr>
              <w:t xml:space="preserve">Hans Stolk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tl w:val="0"/>
              </w:rPr>
              <w:t xml:space="preserve">Politie Nederland </w:t>
            </w:r>
          </w:p>
          <w:p w:rsidR="00000000" w:rsidDel="00000000" w:rsidP="00000000" w:rsidRDefault="00000000" w:rsidRPr="00000000" w14:paraId="00000012">
            <w:pPr>
              <w:shd w:fill="ffffff" w:val="clear"/>
              <w:rPr>
                <w:color w:val="212529"/>
              </w:rPr>
            </w:pPr>
            <w:hyperlink r:id="rId9">
              <w:r w:rsidDel="00000000" w:rsidR="00000000" w:rsidRPr="00000000">
                <w:rPr>
                  <w:color w:val="1155cc"/>
                  <w:u w:val="single"/>
                  <w:rtl w:val="0"/>
                </w:rPr>
                <w:t xml:space="preserve">https://www.politie.nl/en</w:t>
              </w:r>
            </w:hyperlink>
            <w:r w:rsidDel="00000000" w:rsidR="00000000" w:rsidRPr="00000000">
              <w:rPr>
                <w:color w:val="212529"/>
                <w:rtl w:val="0"/>
              </w:rPr>
              <w:t xml:space="preserve"> </w:t>
            </w:r>
          </w:p>
          <w:p w:rsidR="00000000" w:rsidDel="00000000" w:rsidP="00000000" w:rsidRDefault="00000000" w:rsidRPr="00000000" w14:paraId="00000013">
            <w:pPr>
              <w:shd w:fill="ffffff" w:val="clear"/>
              <w:rPr>
                <w:color w:val="212529"/>
              </w:rPr>
            </w:pPr>
            <w:r w:rsidDel="00000000" w:rsidR="00000000" w:rsidRPr="00000000">
              <w:rPr>
                <w:rtl w:val="0"/>
              </w:rPr>
            </w:r>
          </w:p>
          <w:p w:rsidR="00000000" w:rsidDel="00000000" w:rsidP="00000000" w:rsidRDefault="00000000" w:rsidRPr="00000000" w14:paraId="00000014">
            <w:pPr>
              <w:shd w:fill="ffffff" w:val="clear"/>
              <w:rPr>
                <w:color w:val="212529"/>
              </w:rPr>
            </w:pPr>
            <w:r w:rsidDel="00000000" w:rsidR="00000000" w:rsidRPr="00000000">
              <w:rPr>
                <w:color w:val="212529"/>
                <w:rtl w:val="0"/>
              </w:rPr>
              <w:t xml:space="preserve">CV</w:t>
            </w:r>
          </w:p>
        </w:tc>
      </w:tr>
    </w:tbl>
    <w:p w:rsidR="00000000" w:rsidDel="00000000" w:rsidP="00000000" w:rsidRDefault="00000000" w:rsidRPr="00000000" w14:paraId="00000015">
      <w:pPr>
        <w:pStyle w:val="Heading3"/>
        <w:rPr/>
      </w:pPr>
      <w:bookmarkStart w:colFirst="0" w:colLast="0" w:name="_havpqicr9ocg" w:id="7"/>
      <w:bookmarkEnd w:id="7"/>
      <w:r w:rsidDel="00000000" w:rsidR="00000000" w:rsidRPr="00000000">
        <w:rPr>
          <w:rtl w:val="0"/>
        </w:rPr>
      </w:r>
    </w:p>
    <w:p w:rsidR="00000000" w:rsidDel="00000000" w:rsidP="00000000" w:rsidRDefault="00000000" w:rsidRPr="00000000" w14:paraId="00000016">
      <w:pPr>
        <w:pStyle w:val="Heading3"/>
        <w:rPr/>
      </w:pPr>
      <w:bookmarkStart w:colFirst="0" w:colLast="0" w:name="_36oi1apff4wj" w:id="8"/>
      <w:bookmarkEnd w:id="8"/>
      <w:r w:rsidDel="00000000" w:rsidR="00000000" w:rsidRPr="00000000">
        <w:rPr>
          <w:rtl w:val="0"/>
        </w:rPr>
        <w:t xml:space="preserve">TopQuadrant</w:t>
      </w:r>
    </w:p>
    <w:p w:rsidR="00000000" w:rsidDel="00000000" w:rsidP="00000000" w:rsidRDefault="00000000" w:rsidRPr="00000000" w14:paraId="00000017">
      <w:pPr>
        <w:rPr/>
      </w:pPr>
      <w:r w:rsidDel="00000000" w:rsidR="00000000" w:rsidRPr="00000000">
        <w:rPr>
          <w:color w:val="434343"/>
          <w:sz w:val="28"/>
          <w:szCs w:val="28"/>
          <w:rtl w:val="0"/>
        </w:rPr>
        <w:t xml:space="preserve">How to manage regulatory policies with knowledge graphs to mitigate compliance risks</w:t>
      </w:r>
      <w:r w:rsidDel="00000000" w:rsidR="00000000" w:rsidRPr="00000000">
        <w:rPr>
          <w:rtl w:val="0"/>
        </w:rPr>
      </w:r>
    </w:p>
    <w:p w:rsidR="00000000" w:rsidDel="00000000" w:rsidP="00000000" w:rsidRDefault="00000000" w:rsidRPr="00000000" w14:paraId="00000018">
      <w:pPr>
        <w:pStyle w:val="Heading4"/>
        <w:rPr/>
      </w:pPr>
      <w:bookmarkStart w:colFirst="0" w:colLast="0" w:name="_jov9rkr52xoo" w:id="9"/>
      <w:bookmarkEnd w:id="9"/>
      <w:r w:rsidDel="00000000" w:rsidR="00000000" w:rsidRPr="00000000">
        <w:rPr>
          <w:rtl w:val="0"/>
        </w:rPr>
        <w:t xml:space="preserve">Abstract of the paper</w:t>
      </w:r>
    </w:p>
    <w:p w:rsidR="00000000" w:rsidDel="00000000" w:rsidP="00000000" w:rsidRDefault="00000000" w:rsidRPr="00000000" w14:paraId="00000019">
      <w:pPr>
        <w:rPr/>
      </w:pPr>
      <w:r w:rsidDel="00000000" w:rsidR="00000000" w:rsidRPr="00000000">
        <w:rPr>
          <w:rtl w:val="0"/>
        </w:rPr>
        <w:t xml:space="preserve">In this talk we will describe our experience working with a major financial institution to improve their compliance risk management. As part of this effort, we have: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modeled policies and regulations</w:t>
      </w:r>
    </w:p>
    <w:p w:rsidR="00000000" w:rsidDel="00000000" w:rsidP="00000000" w:rsidRDefault="00000000" w:rsidRPr="00000000" w14:paraId="0000001C">
      <w:pPr>
        <w:rPr/>
      </w:pPr>
      <w:r w:rsidDel="00000000" w:rsidR="00000000" w:rsidRPr="00000000">
        <w:rPr>
          <w:rtl w:val="0"/>
        </w:rPr>
        <w:t xml:space="preserve">2. captured risk indicators for regulatory compliance</w:t>
      </w:r>
    </w:p>
    <w:p w:rsidR="00000000" w:rsidDel="00000000" w:rsidP="00000000" w:rsidRDefault="00000000" w:rsidRPr="00000000" w14:paraId="0000001D">
      <w:pPr>
        <w:rPr/>
      </w:pPr>
      <w:r w:rsidDel="00000000" w:rsidR="00000000" w:rsidRPr="00000000">
        <w:rPr>
          <w:rtl w:val="0"/>
        </w:rPr>
        <w:t xml:space="preserve">3. cataloged data and technology assets</w:t>
      </w:r>
    </w:p>
    <w:p w:rsidR="00000000" w:rsidDel="00000000" w:rsidP="00000000" w:rsidRDefault="00000000" w:rsidRPr="00000000" w14:paraId="0000001E">
      <w:pPr>
        <w:rPr/>
      </w:pPr>
      <w:r w:rsidDel="00000000" w:rsidR="00000000" w:rsidRPr="00000000">
        <w:rPr>
          <w:rtl w:val="0"/>
        </w:rPr>
        <w:t xml:space="preserve">4. automated mapping of risk indicators to data elements and</w:t>
      </w:r>
    </w:p>
    <w:p w:rsidR="00000000" w:rsidDel="00000000" w:rsidP="00000000" w:rsidRDefault="00000000" w:rsidRPr="00000000" w14:paraId="0000001F">
      <w:pPr>
        <w:rPr/>
      </w:pPr>
      <w:r w:rsidDel="00000000" w:rsidR="00000000" w:rsidRPr="00000000">
        <w:rPr>
          <w:rtl w:val="0"/>
        </w:rPr>
        <w:t xml:space="preserve">5. were able to infer role of data elements in compliance risk assessment.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Managing regulations and policies in knowledge graphs enabled the firm more effectively and accurately identify data elements containing data needed to be assessed for compliance. This repeatable and scalable approach resulted in mitigating regulatory compliance risks.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wrxczrlxhgqx" w:id="10"/>
            <w:bookmarkEnd w:id="10"/>
            <w:r w:rsidDel="00000000" w:rsidR="00000000" w:rsidRPr="00000000">
              <w:rPr>
                <w:color w:val="212529"/>
                <w:rtl w:val="0"/>
              </w:rPr>
              <w:t xml:space="preserve">Ian Eccleston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rtl w:val="0"/>
              </w:rPr>
              <w:t xml:space="preserve">TopQuadrant</w:t>
            </w:r>
          </w:p>
          <w:p w:rsidR="00000000" w:rsidDel="00000000" w:rsidP="00000000" w:rsidRDefault="00000000" w:rsidRPr="00000000" w14:paraId="00000025">
            <w:pPr>
              <w:shd w:fill="ffffff" w:val="clear"/>
              <w:rPr/>
            </w:pPr>
            <w:hyperlink r:id="rId10">
              <w:r w:rsidDel="00000000" w:rsidR="00000000" w:rsidRPr="00000000">
                <w:rPr>
                  <w:color w:val="1155cc"/>
                  <w:u w:val="single"/>
                  <w:rtl w:val="0"/>
                </w:rPr>
                <w:t xml:space="preserve">https://www.topquadrant.com/</w:t>
              </w:r>
            </w:hyperlink>
            <w:r w:rsidDel="00000000" w:rsidR="00000000" w:rsidRPr="00000000">
              <w:rPr>
                <w:rtl w:val="0"/>
              </w:rPr>
              <w:t xml:space="preserve"> </w:t>
            </w:r>
          </w:p>
          <w:p w:rsidR="00000000" w:rsidDel="00000000" w:rsidP="00000000" w:rsidRDefault="00000000" w:rsidRPr="00000000" w14:paraId="00000026">
            <w:pPr>
              <w:shd w:fill="ffffff" w:val="clear"/>
              <w:rPr/>
            </w:pPr>
            <w:r w:rsidDel="00000000" w:rsidR="00000000" w:rsidRPr="00000000">
              <w:rPr>
                <w:rtl w:val="0"/>
              </w:rPr>
            </w:r>
          </w:p>
          <w:p w:rsidR="00000000" w:rsidDel="00000000" w:rsidP="00000000" w:rsidRDefault="00000000" w:rsidRPr="00000000" w14:paraId="00000027">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sz w:val="20"/>
                <w:szCs w:val="20"/>
              </w:rPr>
            </w:pPr>
            <w:r w:rsidDel="00000000" w:rsidR="00000000" w:rsidRPr="00000000">
              <w:rPr>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pBdr>
                <w:top w:color="auto" w:space="0" w:sz="0" w:val="none"/>
                <w:left w:color="auto" w:space="0" w:sz="0" w:val="none"/>
                <w:bottom w:color="auto" w:space="0" w:sz="0" w:val="none"/>
                <w:right w:color="auto" w:space="0" w:sz="0" w:val="none"/>
                <w:between w:color="auto" w:space="0" w:sz="0" w:val="none"/>
              </w:pBdr>
              <w:shd w:fill="ffffff" w:val="clear"/>
              <w:rPr>
                <w:b w:val="1"/>
                <w:color w:val="212529"/>
                <w:sz w:val="36"/>
                <w:szCs w:val="36"/>
              </w:rPr>
            </w:pPr>
            <w:bookmarkStart w:colFirst="0" w:colLast="0" w:name="_hsv9sdhnvnfh" w:id="11"/>
            <w:bookmarkEnd w:id="11"/>
            <w:r w:rsidDel="00000000" w:rsidR="00000000" w:rsidRPr="00000000">
              <w:rPr>
                <w:rtl w:val="0"/>
              </w:rPr>
              <w:t xml:space="preserve">Irene Polikoff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pStyle w:val="Heading3"/>
        <w:rPr/>
      </w:pPr>
      <w:bookmarkStart w:colFirst="0" w:colLast="0" w:name="_l97q0s1fgz7f" w:id="12"/>
      <w:bookmarkEnd w:id="12"/>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opquadrant.com/" TargetMode="External"/><Relationship Id="rId9" Type="http://schemas.openxmlformats.org/officeDocument/2006/relationships/hyperlink" Target="https://www.politie.nl/e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olitie.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