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5"/>
        <w:rPr/>
      </w:pPr>
      <w:bookmarkStart w:colFirst="0" w:colLast="0" w:name="_bi4rck2vx2aq"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Amit Kirschenbaum, Researcher, KMI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sipd18dwfig" w:id="5"/>
      <w:bookmarkEnd w:id="5"/>
      <w:r w:rsidDel="00000000" w:rsidR="00000000" w:rsidRPr="00000000">
        <w:rPr>
          <w:rtl w:val="0"/>
        </w:rPr>
        <w:t xml:space="preserve">Perplexed by idioms?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Findings: We observed that there is no significant difference in perplexity between IE, literal expressions and reference texts.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85"/>
        <w:tblGridChange w:id="0">
          <w:tblGrid>
            <w:gridCol w:w="2775"/>
            <w:gridCol w:w="62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k742ewolt6i" w:id="6"/>
            <w:bookmarkEnd w:id="6"/>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color w:val="212529"/>
              </w:rPr>
            </w:pPr>
            <w:r w:rsidDel="00000000" w:rsidR="00000000" w:rsidRPr="00000000">
              <w:rPr>
                <w:color w:val="212529"/>
                <w:rtl w:val="0"/>
              </w:rPr>
              <w:t xml:space="preserve">Michael Richter holds a Dr. degree (2000) from Katholieke Universiteit Nijmegen. He completed his habilitation at Justus-Liebig-Universität Gießen in 2023. Richter’s recent research focus is directed on communication models in natural language and information theory.</w:t>
            </w:r>
          </w:p>
          <w:p w:rsidR="00000000" w:rsidDel="00000000" w:rsidP="00000000" w:rsidRDefault="00000000" w:rsidRPr="00000000" w14:paraId="0000000E">
            <w:pPr>
              <w:shd w:fill="ffffff" w:val="clear"/>
              <w:rPr>
                <w:rFonts w:ascii="Lato" w:cs="Lato" w:eastAsia="Lato" w:hAnsi="Lato"/>
                <w:color w:val="212529"/>
              </w:rPr>
            </w:pPr>
            <w:r w:rsidDel="00000000" w:rsidR="00000000" w:rsidRPr="00000000">
              <w:rPr>
                <w:color w:val="212529"/>
                <w:rtl w:val="0"/>
              </w:rPr>
              <w:t xml:space="preserve">He has served as a researcher at Leipzig University and InfAI since 2017. Richter was a Visiting Professor at Justus-Liebig-Universität Gießen, holding a C4-Professorship in Applied Linguistics and Computational Linguistics. Prior to this, he worked as a lecturer and postdoc at academic institutions including Rijksuniversiteit Groningen, Radboud Universiteit Nijmegen, and others.</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s3xhqje04f06" w:id="7"/>
      <w:bookmarkEnd w:id="7"/>
      <w:r w:rsidDel="00000000" w:rsidR="00000000" w:rsidRPr="00000000">
        <w:rPr>
          <w:rtl w:val="0"/>
        </w:rPr>
        <w:t xml:space="preserve">Why you might not be ready for LLM's [SP]</w:t>
      </w:r>
    </w:p>
    <w:p w:rsidR="00000000" w:rsidDel="00000000" w:rsidP="00000000" w:rsidRDefault="00000000" w:rsidRPr="00000000" w14:paraId="00000010">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Seduced by the hype - (or worse management have been seduced by the hype)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Have no formal or informal catalogue of internal data assets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no common glossary of terms or industry standards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Have limited access to SMEs or their documentation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Are not in a data oriented green fields project</w:t>
      </w:r>
    </w:p>
    <w:p w:rsidR="00000000" w:rsidDel="00000000" w:rsidP="00000000" w:rsidRDefault="00000000" w:rsidRPr="00000000" w14:paraId="00000016">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John Placek</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7stafj2xfew" w:id="9"/>
            <w:bookmarkEnd w:id="9"/>
            <w:r w:rsidDel="00000000" w:rsidR="00000000" w:rsidRPr="00000000">
              <w:rPr>
                <w:rtl w:val="0"/>
              </w:rPr>
              <w:t xml:space="preserve">Co-founder of Semantic Partners</w:t>
            </w:r>
          </w:p>
          <w:p w:rsidR="00000000" w:rsidDel="00000000" w:rsidP="00000000" w:rsidRDefault="00000000" w:rsidRPr="00000000" w14:paraId="0000001A">
            <w:pPr>
              <w:pStyle w:val="Heading5"/>
              <w:spacing w:before="0" w:line="240" w:lineRule="auto"/>
              <w:rPr/>
            </w:pPr>
            <w:bookmarkStart w:colFirst="0" w:colLast="0" w:name="_9hncfouptcse"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 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iekwg1t56bmp" w:id="11"/>
      <w:bookmarkEnd w:id="11"/>
      <w:r w:rsidDel="00000000" w:rsidR="00000000" w:rsidRPr="00000000">
        <w:rPr>
          <w:rtl w:val="0"/>
        </w:rPr>
        <w:t xml:space="preserve">QALD-9-ES: A Spanish Dataset for Question Answering Systems [Online]</w:t>
      </w:r>
    </w:p>
    <w:p w:rsidR="00000000" w:rsidDel="00000000" w:rsidP="00000000" w:rsidRDefault="00000000" w:rsidRPr="00000000" w14:paraId="0000001F">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nb15r47l0wg6" w:id="12"/>
            <w:bookmarkEnd w:id="12"/>
            <w:r w:rsidDel="00000000" w:rsidR="00000000" w:rsidRPr="00000000">
              <w:rPr>
                <w:rtl w:val="0"/>
              </w:rPr>
              <w:t xml:space="preserve">Javier Soruco Lopez</w:t>
            </w:r>
          </w:p>
        </w:tc>
      </w:tr>
    </w:tbl>
    <w:p w:rsidR="00000000" w:rsidDel="00000000" w:rsidP="00000000" w:rsidRDefault="00000000" w:rsidRPr="00000000" w14:paraId="00000023">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59:53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J.Nathanael Philipp, Max Kölbl, Erik Daas, Yuki Kyogoku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