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2724150" cy="273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2ede4" w:val="clear"/>
                <w:rtl w:val="0"/>
              </w:rPr>
              <w:t xml:space="preserve">Sohail El Sabrouty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2724150" cy="273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Fonts w:ascii="Verdana" w:cs="Verdana" w:eastAsia="Verdana" w:hAnsi="Verdana"/>
                <w:sz w:val="20"/>
                <w:szCs w:val="20"/>
                <w:shd w:fill="e2ede4" w:val="clear"/>
                <w:rtl w:val="0"/>
              </w:rPr>
              <w:t xml:space="preserve">Ali Khalili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Style w:val="Heading3"/>
        <w:rPr/>
      </w:pPr>
      <w:bookmarkStart w:colFirst="0" w:colLast="0" w:name="_yx6fwa36kuqh" w:id="5"/>
      <w:bookmarkEnd w:id="5"/>
      <w:r w:rsidDel="00000000" w:rsidR="00000000" w:rsidRPr="00000000">
        <w:rPr>
          <w:rtl w:val="0"/>
        </w:rPr>
        <w:t xml:space="preserve">Extracting ESG (Environment, Social, Governance) Knowledge from Global News using TextDistil</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Pr>
              <w:drawing>
                <wp:inline distB="114300" distT="114300" distL="114300" distR="114300">
                  <wp:extent cx="2724150" cy="2730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rFonts w:ascii="Roboto" w:cs="Roboto" w:eastAsia="Roboto" w:hAnsi="Roboto"/>
                <w:b w:val="1"/>
                <w:sz w:val="46"/>
                <w:szCs w:val="46"/>
                <w:rtl w:val="0"/>
              </w:rPr>
              <w:t xml:space="preserve">Prasad Yalamanchi</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rFonts w:ascii="Roboto" w:cs="Roboto" w:eastAsia="Roboto" w:hAnsi="Roboto"/>
                <w:sz w:val="24"/>
                <w:szCs w:val="24"/>
                <w:highlight w:val="white"/>
                <w:rtl w:val="0"/>
              </w:rPr>
              <w:t xml:space="preserve">CEO at Lead Semantics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pStyle w:val="Heading3"/>
        <w:rPr/>
      </w:pPr>
      <w:bookmarkStart w:colFirst="0" w:colLast="0" w:name="_mtf4naq5ohin" w:id="6"/>
      <w:bookmarkEnd w:id="6"/>
      <w:r w:rsidDel="00000000" w:rsidR="00000000" w:rsidRPr="00000000">
        <w:rPr>
          <w:rtl w:val="0"/>
        </w:rPr>
        <w:t xml:space="preserve">MALENA – New IFC’s virtual analyst supporting ESG due diligence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Fonts w:ascii="Verdana" w:cs="Verdana" w:eastAsia="Verdana" w:hAnsi="Verdana"/>
                <w:sz w:val="20"/>
                <w:szCs w:val="20"/>
                <w:shd w:fill="e2ede4" w:val="clear"/>
                <w:rtl w:val="0"/>
              </w:rPr>
              <w:t xml:space="preserve">Carlos Arias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