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5"/>
        <w:spacing w:after="80" w:before="240" w:line="276" w:lineRule="auto"/>
        <w:rPr/>
      </w:pPr>
      <w:bookmarkStart w:colFirst="0" w:colLast="0" w:name="_vk5wp89t3cn8" w:id="1"/>
      <w:bookmarkEnd w:id="1"/>
      <w:r w:rsidDel="00000000" w:rsidR="00000000" w:rsidRPr="00000000">
        <w:rPr>
          <w:rtl w:val="0"/>
        </w:rPr>
        <w:t xml:space="preserve">Session 3.5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Lars-Peter Meyer, Project Manager, InfAI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egwirq3on7c1" w:id="5"/>
      <w:bookmarkEnd w:id="5"/>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40"/>
        <w:tblGridChange w:id="0">
          <w:tblGrid>
            <w:gridCol w:w="367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pPr>
            <w:bookmarkStart w:colFirst="0" w:colLast="0" w:name="_eaxav5d466i4" w:id="6"/>
            <w:bookmarkEnd w:id="6"/>
            <w:r w:rsidDel="00000000" w:rsidR="00000000" w:rsidRPr="00000000">
              <w:rPr>
                <w:rtl w:val="0"/>
              </w:rPr>
              <w:t xml:space="preserve">Paula Reyero Lobo</w:t>
            </w:r>
          </w:p>
          <w:p w:rsidR="00000000" w:rsidDel="00000000" w:rsidP="00000000" w:rsidRDefault="00000000" w:rsidRPr="00000000" w14:paraId="0000000B">
            <w:pPr>
              <w:pStyle w:val="Heading5"/>
              <w:widowControl w:val="0"/>
              <w:spacing w:line="240" w:lineRule="auto"/>
              <w:rPr/>
            </w:pPr>
            <w:bookmarkStart w:colFirst="0" w:colLast="0" w:name="_9dlefzih675e" w:id="7"/>
            <w:bookmarkEnd w:id="7"/>
            <w:r w:rsidDel="00000000" w:rsidR="00000000" w:rsidRPr="00000000">
              <w:rPr>
                <w:rtl w:val="0"/>
              </w:rPr>
              <w:t xml:space="preserve">Knowledge Media Institute (KMi)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PhD. Candidate at the Knowledge Media Institute (KMi) in the Open University, and Early Stage Researcher under the Marie Sklodowska-Curie Innovative Training Networks (ITN) programme, "NoBIAS- Artificial Intelligence without Bias".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Her work titled "Knowledge-grounded Target Group Language Recognition in Hate Speech" proposes a novel KG adaptation paradigm for applying semantic knowledge to specific downstream tasks. The use case on hate target identification demonstrates that a hybrid learning architecture is key to enhance model transparency, robustness, and handling of annotation errors.</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Heading3"/>
        <w:rPr/>
      </w:pPr>
      <w:bookmarkStart w:colFirst="0" w:colLast="0" w:name="_ggbz7t23l27c" w:id="8"/>
      <w:bookmarkEnd w:id="8"/>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11">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12">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13">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Methodology:</w:t>
      </w:r>
    </w:p>
    <w:p w:rsidR="00000000" w:rsidDel="00000000" w:rsidP="00000000" w:rsidRDefault="00000000" w:rsidRPr="00000000" w14:paraId="00000016">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7">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8">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Findings:</w:t>
      </w:r>
    </w:p>
    <w:p w:rsidR="00000000" w:rsidDel="00000000" w:rsidP="00000000" w:rsidRDefault="00000000" w:rsidRPr="00000000" w14:paraId="0000001B">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E">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1.png"/>
                  <a:graphic>
                    <a:graphicData uri="http://schemas.openxmlformats.org/drawingml/2006/picture">
                      <pic:pic>
                        <pic:nvPicPr>
                          <pic:cNvPr id="0" name="image1.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ppzfklu23i2o" w:id="9"/>
            <w:bookmarkEnd w:id="9"/>
            <w:r w:rsidDel="00000000" w:rsidR="00000000" w:rsidRPr="00000000">
              <w:rPr>
                <w:rtl w:val="0"/>
              </w:rPr>
              <w:t xml:space="preserve">Hamada Zahera</w:t>
            </w:r>
          </w:p>
          <w:p w:rsidR="00000000" w:rsidDel="00000000" w:rsidP="00000000" w:rsidRDefault="00000000" w:rsidRPr="00000000" w14:paraId="00000022">
            <w:pPr>
              <w:pStyle w:val="Heading5"/>
              <w:rPr/>
            </w:pPr>
            <w:bookmarkStart w:colFirst="0" w:colLast="0" w:name="_hxp9d1h4nl3t" w:id="10"/>
            <w:bookmarkEnd w:id="10"/>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