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47iw9hyi3j22" w:id="0"/>
      <w:bookmarkEnd w:id="0"/>
      <w:r w:rsidDel="00000000" w:rsidR="00000000" w:rsidRPr="00000000">
        <w:rPr>
          <w:rtl w:val="0"/>
        </w:rPr>
        <w:t xml:space="preserve">Demos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8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95"/>
        <w:gridCol w:w="2325"/>
        <w:gridCol w:w="3420"/>
        <w:gridCol w:w="1500"/>
        <w:tblGridChange w:id="0">
          <w:tblGrid>
            <w:gridCol w:w="2595"/>
            <w:gridCol w:w="2325"/>
            <w:gridCol w:w="3420"/>
            <w:gridCol w:w="1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Style w:val="Heading3"/>
              <w:widowControl w:val="0"/>
              <w:spacing w:line="240" w:lineRule="auto"/>
              <w:rPr/>
            </w:pPr>
            <w:bookmarkStart w:colFirst="0" w:colLast="0" w:name="_ifieg0vfzh3z" w:id="1"/>
            <w:bookmarkEnd w:id="1"/>
            <w:r w:rsidDel="00000000" w:rsidR="00000000" w:rsidRPr="00000000">
              <w:rPr>
                <w:rtl w:val="0"/>
              </w:rPr>
              <w:t xml:space="preserve">Speaker/Company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Style w:val="Heading3"/>
              <w:widowControl w:val="0"/>
              <w:spacing w:line="240" w:lineRule="auto"/>
              <w:rPr/>
            </w:pPr>
            <w:bookmarkStart w:colFirst="0" w:colLast="0" w:name="_elcrar8zy5h8" w:id="2"/>
            <w:bookmarkEnd w:id="2"/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Style w:val="Heading3"/>
              <w:widowControl w:val="0"/>
              <w:spacing w:line="240" w:lineRule="auto"/>
              <w:rPr/>
            </w:pPr>
            <w:bookmarkStart w:colFirst="0" w:colLast="0" w:name="_9fbxj54p1mnw" w:id="3"/>
            <w:bookmarkEnd w:id="3"/>
            <w:r w:rsidDel="00000000" w:rsidR="00000000" w:rsidRPr="00000000">
              <w:rPr>
                <w:rtl w:val="0"/>
              </w:rPr>
              <w:t xml:space="preserve">Abstract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Style w:val="Heading3"/>
              <w:widowControl w:val="0"/>
              <w:spacing w:line="240" w:lineRule="auto"/>
              <w:rPr/>
            </w:pPr>
            <w:bookmarkStart w:colFirst="0" w:colLast="0" w:name="_9fbxj54p1mnw" w:id="3"/>
            <w:bookmarkEnd w:id="3"/>
            <w:r w:rsidDel="00000000" w:rsidR="00000000" w:rsidRPr="00000000">
              <w:rPr>
                <w:rtl w:val="0"/>
              </w:rPr>
              <w:t xml:space="preserve">Demo No.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Gregory De Backer, Cogni.zone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Elevate the integrity of your SKOS data with Hanami!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Michael Lopez &amp; Jean Charles, e2f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End-to-end Demo of Language Data and Metrics in the Gen-AI Era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Whether you're building LLMs or using LLMs to make your own solutions, being able to trust your training data is critical. Tailor-made ultilingual datasets with relevant reporting and systematic quality evaluation processes are key to achieving that trust.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 this session, we take a deep-dive on golden datasets in LLM development, why they're relevant, what metrics to use, what to automate, and more. Beyond that, we demo how we utilize a fully configurable platform to perform data annotation using manager-definable project-specific metrics.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Building an LLM solution isn't just about the engine, it's about high-quality, measurable, and trust-worthy data. Join us to learn how to make it happen.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Achim Reiz, Robert Schlücker and Kurt Sandkuhl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OntoAnon: An Anonymizer For Sharing Ontology Structure Without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rPr/>
      </w:pPr>
      <w:bookmarkStart w:colFirst="0" w:colLast="0" w:name="_fvrkfdmaozag" w:id="4"/>
      <w:bookmarkEnd w:id="4"/>
      <w:r w:rsidDel="00000000" w:rsidR="00000000" w:rsidRPr="00000000">
        <w:rPr>
          <w:rtl w:val="0"/>
        </w:rPr>
        <w:t xml:space="preserve">Posters 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Rule="auto"/>
        <w:rPr/>
      </w:pPr>
      <w:r w:rsidDel="00000000" w:rsidR="00000000" w:rsidRPr="00000000">
        <w:rPr>
          <w:color w:val="444444"/>
          <w:sz w:val="21"/>
          <w:szCs w:val="21"/>
          <w:rtl w:val="0"/>
        </w:rPr>
        <w:t xml:space="preserve">Check the </w:t>
      </w:r>
      <w:hyperlink r:id="rId6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Poster Area</w:t>
        </w:r>
      </w:hyperlink>
      <w:r w:rsidDel="00000000" w:rsidR="00000000" w:rsidRPr="00000000">
        <w:rPr>
          <w:color w:val="444444"/>
          <w:sz w:val="21"/>
          <w:szCs w:val="21"/>
          <w:rtl w:val="0"/>
        </w:rPr>
        <w:t xml:space="preserve">. Please meet the authors there!</w:t>
      </w:r>
      <w:r w:rsidDel="00000000" w:rsidR="00000000" w:rsidRPr="00000000">
        <w:rPr>
          <w:rtl w:val="0"/>
        </w:rPr>
      </w:r>
    </w:p>
    <w:tbl>
      <w:tblPr>
        <w:tblStyle w:val="Table2"/>
        <w:tblW w:w="990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01"/>
        <w:gridCol w:w="3301"/>
        <w:gridCol w:w="3301"/>
        <w:tblGridChange w:id="0">
          <w:tblGrid>
            <w:gridCol w:w="3301"/>
            <w:gridCol w:w="3301"/>
            <w:gridCol w:w="33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Style w:val="Heading3"/>
              <w:widowControl w:val="0"/>
              <w:spacing w:line="240" w:lineRule="auto"/>
              <w:rPr/>
            </w:pPr>
            <w:bookmarkStart w:colFirst="0" w:colLast="0" w:name="_5urp7sridujt" w:id="5"/>
            <w:bookmarkEnd w:id="5"/>
            <w:r w:rsidDel="00000000" w:rsidR="00000000" w:rsidRPr="00000000">
              <w:rPr>
                <w:rtl w:val="0"/>
              </w:rPr>
              <w:t xml:space="preserve">Authors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Style w:val="Heading3"/>
              <w:widowControl w:val="0"/>
              <w:spacing w:line="240" w:lineRule="auto"/>
              <w:rPr/>
            </w:pPr>
            <w:bookmarkStart w:colFirst="0" w:colLast="0" w:name="_6qgupnmzrpcx" w:id="6"/>
            <w:bookmarkEnd w:id="6"/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Style w:val="Heading3"/>
              <w:widowControl w:val="0"/>
              <w:spacing w:line="240" w:lineRule="auto"/>
              <w:rPr/>
            </w:pPr>
            <w:bookmarkStart w:colFirst="0" w:colLast="0" w:name="_6qgupnmzrpcx" w:id="6"/>
            <w:bookmarkEnd w:id="6"/>
            <w:r w:rsidDel="00000000" w:rsidR="00000000" w:rsidRPr="00000000">
              <w:rPr>
                <w:rtl w:val="0"/>
              </w:rPr>
              <w:t xml:space="preserve">Booths No.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Thom van Gessel, Giulia Biagioni, Jeroen Breteler, Ioannis Tolios and Erik Boertjes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 Toolset for Normative Interpretations in FLINT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Ana Iglesias-Molina and Daniel Garijo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Towards Assessing FAIR Research Software Best Practices in an Organization Using RDF-star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Nick Garabedian, Ilia Bagov, Malte Flachmann, Nuoyao Ye, Miłosz Meller, Floriane Bresser and Christian Greiner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Generate, Store, and Publish FAIR Data in Experimental Sciences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Liubov Kovriguina, Roman Teucher, Daniil Radyush and Dmitry Mouromtsev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SPARQLGEN: One-Shot Prompt-based Approach for SPARQL Query Generation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Thorsten Liebig, Michael Opitz, Vincent Vialard and Maximilian Wenzel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Scalable and No-Code Knowledge Graph Exploration and Querying with SemSpect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Yashrajsinh Chudasama, Disha Purohit, Philipp D. Rohde and Maria-Esther Vidal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Enhancing Interpretability of Machine Learning Models over Knowledge Graphs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Lars-Peter Meyer, Johannes Frey, Kurt Junghanns, Felix Brei, Kirill Bulert, Sabine Gründer-Fahrer and Michael Martin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Developing a Scalable Benchmark for Assessing Large Language Models in Knowledge Graph Engineering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Eugeniu Costetchi, Alexandros Vassiliades and Csongor I. Nyulas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 Mapping Lifecycle for Public Procurement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Achim Reiz, Robert Schlücker and Kurt Sandkuhl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OntoAnon: An Anonymizer For Sharing Ontology Structure Without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 </w:t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566.9291338582677" w:top="566.9291338582677" w:left="566.9291338582677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2023-eu.semantics.cc/content/floor_plan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