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iw9hyi3j22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25"/>
        <w:gridCol w:w="3420"/>
        <w:gridCol w:w="1500"/>
        <w:tblGridChange w:id="0">
          <w:tblGrid>
            <w:gridCol w:w="2595"/>
            <w:gridCol w:w="2325"/>
            <w:gridCol w:w="34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ifieg0vfzh3z" w:id="1"/>
            <w:bookmarkEnd w:id="1"/>
            <w:r w:rsidDel="00000000" w:rsidR="00000000" w:rsidRPr="00000000">
              <w:rPr>
                <w:rtl w:val="0"/>
              </w:rPr>
              <w:t xml:space="preserve">Speaker/Company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elcrar8zy5h8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Demo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Chelman, Cogni.zone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the integrity of your SKOS data with Hanami!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Struggling with SKOS data management due to multiple controlled vocabularies in your organization? Meet **Hanami SKOS Edition**: It's free and ready for download.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Empower both enterprises and individuals to efficiently handle SKOS (Simple Knowledge Organization System) data. Ensure precise knowledge representation with our integrated "**Health checker**," preventing errors from spreading across your semantic web infrastructure.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 concealed data integrity issues, navigate seamlessly with an intuitive interface, and benefit from real-time validation to maintain consistent quality. Achieve effortless interoperability and scalability.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Hanami's data quality features are now available in our **SKOS Edition**, and it's completely **free**. Streamline your SKOS data management effortlessly.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Lopez &amp; Jean Charles, 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End-to-end Demo of Language Data and Metrics in the Gen-AI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you're building LLMs or using LLMs to make your own solutions, being able to trust your training data is critical. Tailor-made ultilingual datasets with relevant reporting and systematic quality evaluation processes are key to achieving that trust.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session, we take a deep-dive on golden datasets in LLM development, why they're relevant, what metrics to use, what to automate, and more. Beyond that, we demo how we utilize a fully configurable platform to perform data annotation using manager-definable project-specific metrics.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an LLM solution isn't just about the engine, it's about high-quality, measurable, and trust-worthy data. Join us to learn how to make it happen.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vrkfdmaozag" w:id="4"/>
      <w:bookmarkEnd w:id="4"/>
      <w:r w:rsidDel="00000000" w:rsidR="00000000" w:rsidRPr="00000000">
        <w:rPr>
          <w:rtl w:val="0"/>
        </w:rPr>
        <w:t xml:space="preserve">Posters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2"/>
        <w:tblW w:w="99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1"/>
        <w:gridCol w:w="3301"/>
        <w:gridCol w:w="3301"/>
        <w:tblGridChange w:id="0">
          <w:tblGrid>
            <w:gridCol w:w="3301"/>
            <w:gridCol w:w="3301"/>
            <w:gridCol w:w="33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5"/>
            <w:bookmarkEnd w:id="5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