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7iw9hyi3j22" w:id="0"/>
      <w:bookmarkEnd w:id="0"/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325"/>
        <w:gridCol w:w="3420"/>
        <w:gridCol w:w="1500"/>
        <w:tblGridChange w:id="0">
          <w:tblGrid>
            <w:gridCol w:w="2595"/>
            <w:gridCol w:w="2325"/>
            <w:gridCol w:w="342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ifieg0vfzh3z" w:id="1"/>
            <w:bookmarkEnd w:id="1"/>
            <w:r w:rsidDel="00000000" w:rsidR="00000000" w:rsidRPr="00000000">
              <w:rPr>
                <w:rtl w:val="0"/>
              </w:rPr>
              <w:t xml:space="preserve">Speaker/Company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line="240" w:lineRule="auto"/>
              <w:rPr/>
            </w:pPr>
            <w:bookmarkStart w:colFirst="0" w:colLast="0" w:name="_elcrar8zy5h8" w:id="2"/>
            <w:bookmarkEnd w:id="2"/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9fbxj54p1mnw" w:id="3"/>
            <w:bookmarkEnd w:id="3"/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/>
            </w:pPr>
            <w:bookmarkStart w:colFirst="0" w:colLast="0" w:name="_9fbxj54p1mnw" w:id="3"/>
            <w:bookmarkEnd w:id="3"/>
            <w:r w:rsidDel="00000000" w:rsidR="00000000" w:rsidRPr="00000000">
              <w:rPr>
                <w:rtl w:val="0"/>
              </w:rPr>
              <w:t xml:space="preserve">Demo 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William Chelman, Cogni.zone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Elevate the integrity of your SKOS data with Hanami!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Struggling with SKOS data management due to multiple controlled vocabularies in your organization? Meet **Hanami SKOS Edition**: It's free and ready for download.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Empower both enterprises and individuals to efficiently handle SKOS (Simple Knowledge Organization System) data. Ensure precise knowledge representation with our integrated "**Health checker**," preventing errors from spreading across your semantic web infrastructure.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Discover concealed data integrity issues, navigate seamlessly with an intuitive interface, and benefit from real-time validation to maintain consistent quality. Achieve effortless interoperability and scalability.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of Hanami's data quality features are now available in our **SKOS Edition**, and it's completely **free**. Streamline your SKOS data management effortlessly.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Lopez &amp; Jean Charles, e2f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End-to-end Demo of Language Data and Metrics in the Gen-AI 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you're building LLMs or using LLMs to make your own solutions, being able to trust your training data is critical. Tailor-made ultilingual datasets with relevant reporting and systematic quality evaluation processes are key to achieving that trust.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session, we take a deep-dive on golden datasets in LLM development, why they're relevant, what metrics to use, what to automate, and more. Beyond that, we demo how we utilize a fully configurable platform to perform data annotation using manager-definable project-specific metrics.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an LLM solution isn't just about the engine, it's about high-quality, measurable, and trust-worthy data. Join us to learn how to make it happen.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Achim Reiz, Robert Schlücker and Kurt Sandkuhl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OntoAnon: An Anonymizer For Sharing Ontology Structure Without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Yashrajsinh Chudasama, Disha Purohit, Philipp D. Rohde and Maria-Esther Vidal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Enhancing Interpretability of Machine Learning Models over Knowledge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fvrkfdmaozag" w:id="4"/>
      <w:bookmarkEnd w:id="4"/>
      <w:r w:rsidDel="00000000" w:rsidR="00000000" w:rsidRPr="00000000">
        <w:rPr>
          <w:rtl w:val="0"/>
        </w:rPr>
        <w:t xml:space="preserve">Posters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/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Check the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Poster Area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. Please meet the authors there!</w:t>
      </w:r>
      <w:r w:rsidDel="00000000" w:rsidR="00000000" w:rsidRPr="00000000">
        <w:rPr>
          <w:rtl w:val="0"/>
        </w:rPr>
      </w:r>
    </w:p>
    <w:tbl>
      <w:tblPr>
        <w:tblStyle w:val="Table2"/>
        <w:tblW w:w="990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1"/>
        <w:gridCol w:w="3301"/>
        <w:gridCol w:w="3301"/>
        <w:tblGridChange w:id="0">
          <w:tblGrid>
            <w:gridCol w:w="3301"/>
            <w:gridCol w:w="3301"/>
            <w:gridCol w:w="33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widowControl w:val="0"/>
              <w:spacing w:line="240" w:lineRule="auto"/>
              <w:rPr/>
            </w:pPr>
            <w:bookmarkStart w:colFirst="0" w:colLast="0" w:name="_5urp7sridujt" w:id="5"/>
            <w:bookmarkEnd w:id="5"/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6"/>
            <w:bookmarkEnd w:id="6"/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6"/>
            <w:bookmarkEnd w:id="6"/>
            <w:r w:rsidDel="00000000" w:rsidR="00000000" w:rsidRPr="00000000">
              <w:rPr>
                <w:rtl w:val="0"/>
              </w:rPr>
              <w:t xml:space="preserve">Booths 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 van Gessel, Giulia Biagioni, Jeroen Breteler, Ioannis Tolios and Erik Boertjes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Toolset for Normative Interpretations in FLINT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Iglesias-Molina and Daniel Garijo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Towards Assessing FAIR Research Software Best Practices in an Organization Using RDF-star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Nick Garabedian, Ilia Bagov, Malte Flachmann, Nuoyao Ye, Miłosz Meller, Floriane Bresser and Christian Greiner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Generate, Store, and Publish FAIR Data in Experimental Sciences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Liubov Kovriguina, Roman Teucher, Daniil Radyush and Dmitry Mouromtsev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SPARQLGEN: One-Shot Prompt-based Approach for SPARQL Query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Thorsten Liebig, Michael Opitz, Vincent Vialard and Maximilian Wenzel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Scalable and No-Code Knowledge Graph Exploration and Querying with SemSpect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Yashrajsinh Chudasama, Disha Purohit, Philipp D. Rohde and Maria-Esther Vidal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Enhancing Interpretability of Machine Learning Models over Knowledge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Lars-Peter Meyer, Johannes Frey, Kurt Junghanns, Felix Brei, Kirill Bulert, Sabine Gründer-Fahrer and Michael Martin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Developing a Scalable Benchmark for Assessing Large Language Models in Knowledge Graph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Eugeniu Costetchi, Alexandros Vassiliades and Csongor I. Nyulas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Mapping Lifecycle for Public Procurement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Achim Reiz, Robert Schlücker and Kurt Sandkuhl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OntoAnon: An Anonymizer For Sharing Ontology Structure Without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2023-eu.semantics.cc/content/floor_p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