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494" w:rsidRPr="00B0208D" w:rsidRDefault="003E1494" w:rsidP="007509D6">
      <w:pPr>
        <w:ind w:firstLine="720"/>
        <w:jc w:val="center"/>
        <w:rPr>
          <w:rFonts w:ascii="Trebuchet MS" w:hAnsi="Trebuchet MS"/>
          <w:sz w:val="28"/>
          <w:szCs w:val="28"/>
        </w:rPr>
      </w:pPr>
      <w:r w:rsidRPr="00B0208D">
        <w:rPr>
          <w:rFonts w:ascii="Trebuchet MS" w:hAnsi="Trebuchet MS"/>
          <w:sz w:val="28"/>
          <w:szCs w:val="28"/>
        </w:rPr>
        <w:t>Process to convert SEMCOG 2015 Demographic data to ABM test inputs</w:t>
      </w:r>
    </w:p>
    <w:p w:rsidR="00D63D49" w:rsidRDefault="00D63D49">
      <w:pPr>
        <w:rPr>
          <w:rFonts w:ascii="Times New Roman" w:hAnsi="Times New Roman" w:cs="Times New Roman"/>
          <w:sz w:val="24"/>
          <w:szCs w:val="24"/>
          <w:u w:val="single"/>
        </w:rPr>
      </w:pPr>
    </w:p>
    <w:p w:rsidR="00D63D49" w:rsidRPr="00D63D49" w:rsidRDefault="00D63D49">
      <w:pPr>
        <w:rPr>
          <w:rFonts w:ascii="Times New Roman" w:hAnsi="Times New Roman" w:cs="Times New Roman"/>
          <w:b/>
          <w:sz w:val="24"/>
          <w:szCs w:val="24"/>
        </w:rPr>
      </w:pPr>
      <w:r w:rsidRPr="00D63D49">
        <w:rPr>
          <w:rFonts w:ascii="Times New Roman" w:hAnsi="Times New Roman" w:cs="Times New Roman"/>
          <w:b/>
          <w:sz w:val="24"/>
          <w:szCs w:val="24"/>
        </w:rPr>
        <w:t>SEMCOG 2015 Demographic Data</w:t>
      </w:r>
    </w:p>
    <w:p w:rsidR="000650D8" w:rsidRPr="000650D8" w:rsidRDefault="000650D8">
      <w:pPr>
        <w:rPr>
          <w:rFonts w:ascii="Times New Roman" w:hAnsi="Times New Roman" w:cs="Times New Roman"/>
          <w:sz w:val="24"/>
          <w:szCs w:val="24"/>
          <w:u w:val="single"/>
        </w:rPr>
      </w:pPr>
      <w:r w:rsidRPr="000650D8">
        <w:rPr>
          <w:rFonts w:ascii="Times New Roman" w:hAnsi="Times New Roman" w:cs="Times New Roman"/>
          <w:sz w:val="24"/>
          <w:szCs w:val="24"/>
          <w:u w:val="single"/>
        </w:rPr>
        <w:t>Residential Households and Persons</w:t>
      </w:r>
      <w:r>
        <w:rPr>
          <w:rFonts w:ascii="Times New Roman" w:hAnsi="Times New Roman" w:cs="Times New Roman"/>
          <w:sz w:val="24"/>
          <w:szCs w:val="24"/>
          <w:u w:val="single"/>
        </w:rPr>
        <w:t>:</w:t>
      </w:r>
    </w:p>
    <w:p w:rsidR="00B0208D" w:rsidRPr="00B0208D" w:rsidRDefault="007509D6">
      <w:pPr>
        <w:rPr>
          <w:rFonts w:ascii="Times New Roman" w:hAnsi="Times New Roman" w:cs="Times New Roman"/>
          <w:sz w:val="24"/>
          <w:szCs w:val="24"/>
        </w:rPr>
      </w:pPr>
      <w:r w:rsidRPr="00B0208D">
        <w:rPr>
          <w:rFonts w:ascii="Times New Roman" w:hAnsi="Times New Roman" w:cs="Times New Roman"/>
          <w:sz w:val="24"/>
          <w:szCs w:val="24"/>
        </w:rPr>
        <w:t>SEMCOG Regional Forecast 2045 base year (2015) demographic data was initially developed using Synthpop (</w:t>
      </w:r>
      <w:hyperlink r:id="rId6" w:history="1">
        <w:r w:rsidRPr="00B0208D">
          <w:rPr>
            <w:rStyle w:val="Hyperlink"/>
            <w:rFonts w:ascii="Times New Roman" w:hAnsi="Times New Roman" w:cs="Times New Roman"/>
            <w:sz w:val="24"/>
            <w:szCs w:val="24"/>
          </w:rPr>
          <w:t>https://github.com/SEMCOG/synthpop</w:t>
        </w:r>
      </w:hyperlink>
      <w:r w:rsidRPr="00B0208D">
        <w:rPr>
          <w:rFonts w:ascii="Times New Roman" w:hAnsi="Times New Roman" w:cs="Times New Roman"/>
          <w:sz w:val="24"/>
          <w:szCs w:val="24"/>
        </w:rPr>
        <w:t>). SEMCOG applied 8 household controls ( “size”, “race of head”, “Hispanic_head”, “children”, “income”, “workers”, “cars”, “tenure_agehead”) and 3 person controls (“age”,”race” and “sex”) at block group level in synthesis process. Then based on the</w:t>
      </w:r>
      <w:r w:rsidR="009056F2" w:rsidRPr="00B0208D">
        <w:rPr>
          <w:rFonts w:ascii="Times New Roman" w:hAnsi="Times New Roman" w:cs="Times New Roman"/>
          <w:sz w:val="24"/>
          <w:szCs w:val="24"/>
        </w:rPr>
        <w:t xml:space="preserve"> modeling need</w:t>
      </w:r>
      <w:r w:rsidR="00B0208D">
        <w:rPr>
          <w:rFonts w:ascii="Times New Roman" w:hAnsi="Times New Roman" w:cs="Times New Roman"/>
          <w:sz w:val="24"/>
          <w:szCs w:val="24"/>
        </w:rPr>
        <w:t>s</w:t>
      </w:r>
      <w:r w:rsidR="009056F2" w:rsidRPr="00B0208D">
        <w:rPr>
          <w:rFonts w:ascii="Times New Roman" w:hAnsi="Times New Roman" w:cs="Times New Roman"/>
          <w:sz w:val="24"/>
          <w:szCs w:val="24"/>
        </w:rPr>
        <w:t xml:space="preserve"> to recode or categorized </w:t>
      </w:r>
      <w:r w:rsidRPr="00B0208D">
        <w:rPr>
          <w:rFonts w:ascii="Times New Roman" w:hAnsi="Times New Roman" w:cs="Times New Roman"/>
          <w:sz w:val="24"/>
          <w:szCs w:val="24"/>
        </w:rPr>
        <w:t xml:space="preserve">PUMS </w:t>
      </w:r>
      <w:r w:rsidR="009056F2" w:rsidRPr="00B0208D">
        <w:rPr>
          <w:rFonts w:ascii="Times New Roman" w:hAnsi="Times New Roman" w:cs="Times New Roman"/>
          <w:sz w:val="24"/>
          <w:szCs w:val="24"/>
        </w:rPr>
        <w:t xml:space="preserve">variables to model variables. A particular case is the “worker” variables. Although it was defined </w:t>
      </w:r>
      <w:r w:rsidR="00B0208D">
        <w:rPr>
          <w:rFonts w:ascii="Times New Roman" w:hAnsi="Times New Roman" w:cs="Times New Roman"/>
          <w:sz w:val="24"/>
          <w:szCs w:val="24"/>
        </w:rPr>
        <w:t>by</w:t>
      </w:r>
      <w:r w:rsidR="009056F2" w:rsidRPr="00B0208D">
        <w:rPr>
          <w:rFonts w:ascii="Times New Roman" w:hAnsi="Times New Roman" w:cs="Times New Roman"/>
          <w:sz w:val="24"/>
          <w:szCs w:val="24"/>
        </w:rPr>
        <w:t xml:space="preserve"> “ESR” </w:t>
      </w:r>
      <w:r w:rsidR="00B0208D">
        <w:rPr>
          <w:rFonts w:ascii="Times New Roman" w:hAnsi="Times New Roman" w:cs="Times New Roman"/>
          <w:sz w:val="24"/>
          <w:szCs w:val="24"/>
        </w:rPr>
        <w:t>code</w:t>
      </w:r>
      <w:r w:rsidR="009056F2" w:rsidRPr="00B0208D">
        <w:rPr>
          <w:rFonts w:ascii="Times New Roman" w:hAnsi="Times New Roman" w:cs="Times New Roman"/>
          <w:sz w:val="24"/>
          <w:szCs w:val="24"/>
        </w:rPr>
        <w:t xml:space="preserve"> 1,2,4,5 in synthesis process, it was post-processed to include ESR 3 (unemployment) as the worker controls from REMI was based on the definition of labor force. All block group level synthesized households and persons were further placed into individual housing units based on matching PUMS</w:t>
      </w:r>
      <w:r w:rsidR="00B0208D">
        <w:rPr>
          <w:rFonts w:ascii="Times New Roman" w:hAnsi="Times New Roman" w:cs="Times New Roman"/>
          <w:sz w:val="24"/>
          <w:szCs w:val="24"/>
        </w:rPr>
        <w:t xml:space="preserve"> housing</w:t>
      </w:r>
      <w:r w:rsidR="009056F2" w:rsidRPr="00B0208D">
        <w:rPr>
          <w:rFonts w:ascii="Times New Roman" w:hAnsi="Times New Roman" w:cs="Times New Roman"/>
          <w:sz w:val="24"/>
          <w:szCs w:val="24"/>
        </w:rPr>
        <w:t xml:space="preserve"> attributes such as p</w:t>
      </w:r>
      <w:r w:rsidR="00B0208D" w:rsidRPr="00B0208D">
        <w:rPr>
          <w:rFonts w:ascii="Times New Roman" w:hAnsi="Times New Roman" w:cs="Times New Roman"/>
          <w:sz w:val="24"/>
          <w:szCs w:val="24"/>
        </w:rPr>
        <w:t xml:space="preserve">roperty values, year built etc </w:t>
      </w:r>
      <w:r w:rsidR="009056F2" w:rsidRPr="00B0208D">
        <w:rPr>
          <w:rFonts w:ascii="Times New Roman" w:hAnsi="Times New Roman" w:cs="Times New Roman"/>
          <w:sz w:val="24"/>
          <w:szCs w:val="24"/>
        </w:rPr>
        <w:t xml:space="preserve">to the housing stocks </w:t>
      </w:r>
      <w:r w:rsidR="00B0208D" w:rsidRPr="00B0208D">
        <w:rPr>
          <w:rFonts w:ascii="Times New Roman" w:hAnsi="Times New Roman" w:cs="Times New Roman"/>
          <w:sz w:val="24"/>
          <w:szCs w:val="24"/>
        </w:rPr>
        <w:t xml:space="preserve">(building data collected by SEMCOG) </w:t>
      </w:r>
      <w:r w:rsidR="009056F2" w:rsidRPr="00B0208D">
        <w:rPr>
          <w:rFonts w:ascii="Times New Roman" w:hAnsi="Times New Roman" w:cs="Times New Roman"/>
          <w:sz w:val="24"/>
          <w:szCs w:val="24"/>
        </w:rPr>
        <w:t xml:space="preserve">within each block group in 2015. </w:t>
      </w:r>
      <w:r w:rsidR="00B0208D" w:rsidRPr="00B0208D">
        <w:rPr>
          <w:rFonts w:ascii="Times New Roman" w:hAnsi="Times New Roman" w:cs="Times New Roman"/>
          <w:sz w:val="24"/>
          <w:szCs w:val="24"/>
        </w:rPr>
        <w:t xml:space="preserve">The final model </w:t>
      </w:r>
      <w:r w:rsidR="00B0208D">
        <w:rPr>
          <w:rFonts w:ascii="Times New Roman" w:hAnsi="Times New Roman" w:cs="Times New Roman"/>
          <w:sz w:val="24"/>
          <w:szCs w:val="24"/>
        </w:rPr>
        <w:t xml:space="preserve">residential </w:t>
      </w:r>
      <w:r w:rsidR="00B0208D" w:rsidRPr="00B0208D">
        <w:rPr>
          <w:rFonts w:ascii="Times New Roman" w:hAnsi="Times New Roman" w:cs="Times New Roman"/>
          <w:sz w:val="24"/>
          <w:szCs w:val="24"/>
        </w:rPr>
        <w:t>variables can be seen as follows:</w:t>
      </w:r>
    </w:p>
    <w:p w:rsidR="00D63D49" w:rsidRPr="007B1E14" w:rsidRDefault="00B0208D" w:rsidP="00D63D49">
      <w:pPr>
        <w:pStyle w:val="HTMLPreformatted"/>
        <w:shd w:val="clear" w:color="auto" w:fill="1E1E1E"/>
        <w:rPr>
          <w:rFonts w:ascii="Times New Roman" w:hAnsi="Times New Roman" w:cs="Times New Roman"/>
          <w:b/>
          <w:sz w:val="24"/>
          <w:szCs w:val="24"/>
        </w:rPr>
      </w:pPr>
      <w:r w:rsidRPr="007B1E14">
        <w:rPr>
          <w:rFonts w:ascii="Times New Roman" w:hAnsi="Times New Roman" w:cs="Times New Roman"/>
          <w:b/>
          <w:sz w:val="24"/>
          <w:szCs w:val="24"/>
        </w:rPr>
        <w:t xml:space="preserve">Households: </w:t>
      </w:r>
    </w:p>
    <w:p w:rsidR="00B0208D" w:rsidRPr="007B1E14" w:rsidRDefault="00D63D49" w:rsidP="00D63D49">
      <w:pPr>
        <w:pStyle w:val="HTMLPreformatted"/>
        <w:shd w:val="clear" w:color="auto" w:fill="1E1E1E"/>
        <w:rPr>
          <w:rFonts w:ascii="Times New Roman" w:hAnsi="Times New Roman" w:cs="Times New Roman"/>
          <w:i/>
          <w:color w:val="D4D4D4"/>
          <w:sz w:val="24"/>
          <w:szCs w:val="24"/>
        </w:rPr>
      </w:pPr>
      <w:r w:rsidRPr="007B1E14">
        <w:rPr>
          <w:rFonts w:ascii="Times New Roman" w:hAnsi="Times New Roman" w:cs="Times New Roman"/>
          <w:b/>
          <w:i/>
          <w:sz w:val="24"/>
          <w:szCs w:val="24"/>
        </w:rPr>
        <w:tab/>
      </w:r>
      <w:r w:rsidR="00B0208D" w:rsidRPr="007B1E14">
        <w:rPr>
          <w:rFonts w:ascii="Times New Roman" w:hAnsi="Times New Roman" w:cs="Times New Roman"/>
          <w:i/>
          <w:color w:val="D4D4D4"/>
          <w:sz w:val="24"/>
          <w:szCs w:val="24"/>
        </w:rPr>
        <w:t>'building_id', 'cars', 'workers', 'persons', 'race_id', 'income',</w:t>
      </w:r>
      <w:r w:rsidR="00B0208D" w:rsidRPr="00B0208D">
        <w:rPr>
          <w:rFonts w:ascii="Times New Roman" w:hAnsi="Times New Roman" w:cs="Times New Roman"/>
          <w:i/>
          <w:color w:val="D4D4D4"/>
          <w:sz w:val="24"/>
          <w:szCs w:val="24"/>
        </w:rPr>
        <w:t xml:space="preserve">  'age_of_head', 'children'</w:t>
      </w:r>
    </w:p>
    <w:p w:rsidR="00D63D49" w:rsidRPr="00D63D49" w:rsidRDefault="00D63D49" w:rsidP="00B0208D">
      <w:pPr>
        <w:pStyle w:val="HTMLPreformatted"/>
        <w:shd w:val="clear" w:color="auto" w:fill="1E1E1E"/>
        <w:rPr>
          <w:rFonts w:ascii="Times New Roman" w:hAnsi="Times New Roman" w:cs="Times New Roman"/>
          <w:i/>
          <w:color w:val="D4D4D4"/>
          <w:sz w:val="24"/>
          <w:szCs w:val="24"/>
        </w:rPr>
      </w:pPr>
    </w:p>
    <w:p w:rsidR="00D63D49" w:rsidRPr="007B1E14" w:rsidRDefault="00B0208D" w:rsidP="00B0208D">
      <w:pPr>
        <w:pStyle w:val="HTMLPreformatted"/>
        <w:shd w:val="clear" w:color="auto" w:fill="1E1E1E"/>
        <w:rPr>
          <w:rFonts w:ascii="Times New Roman" w:hAnsi="Times New Roman" w:cs="Times New Roman"/>
          <w:b/>
          <w:i/>
          <w:color w:val="D4D4D4"/>
          <w:sz w:val="24"/>
          <w:szCs w:val="24"/>
        </w:rPr>
      </w:pPr>
      <w:r w:rsidRPr="007B1E14">
        <w:rPr>
          <w:rFonts w:ascii="Times New Roman" w:hAnsi="Times New Roman" w:cs="Times New Roman"/>
          <w:b/>
          <w:color w:val="D4D4D4"/>
          <w:sz w:val="24"/>
          <w:szCs w:val="24"/>
        </w:rPr>
        <w:t>Persons:</w:t>
      </w:r>
      <w:r w:rsidRPr="007B1E14">
        <w:rPr>
          <w:rFonts w:ascii="Times New Roman" w:hAnsi="Times New Roman" w:cs="Times New Roman"/>
          <w:b/>
          <w:color w:val="D4D4D4"/>
          <w:sz w:val="24"/>
          <w:szCs w:val="24"/>
        </w:rPr>
        <w:tab/>
        <w:t xml:space="preserve"> </w:t>
      </w:r>
    </w:p>
    <w:p w:rsidR="00B0208D" w:rsidRPr="00B64D45" w:rsidRDefault="00D63D49" w:rsidP="00B0208D">
      <w:pPr>
        <w:pStyle w:val="HTMLPreformatted"/>
        <w:shd w:val="clear" w:color="auto" w:fill="1E1E1E"/>
        <w:rPr>
          <w:rFonts w:ascii="Times New Roman" w:hAnsi="Times New Roman" w:cs="Times New Roman"/>
          <w:i/>
          <w:color w:val="D4D4D4"/>
          <w:sz w:val="24"/>
          <w:szCs w:val="24"/>
        </w:rPr>
      </w:pPr>
      <w:r w:rsidRPr="00D63D49">
        <w:rPr>
          <w:rFonts w:ascii="Times New Roman" w:hAnsi="Times New Roman" w:cs="Times New Roman"/>
          <w:i/>
          <w:color w:val="D4D4D4"/>
          <w:sz w:val="24"/>
          <w:szCs w:val="24"/>
        </w:rPr>
        <w:tab/>
      </w:r>
      <w:r w:rsidR="00B0208D" w:rsidRPr="00B64D45">
        <w:rPr>
          <w:rFonts w:ascii="Times New Roman" w:hAnsi="Times New Roman" w:cs="Times New Roman"/>
          <w:i/>
          <w:color w:val="D4D4D4"/>
          <w:sz w:val="24"/>
          <w:szCs w:val="24"/>
        </w:rPr>
        <w:t>'relate', 'age', 'worker', 'sex', 'race_id', 'member_id',</w:t>
      </w:r>
      <w:r w:rsidRPr="00B64D45">
        <w:rPr>
          <w:rFonts w:ascii="Times New Roman" w:hAnsi="Times New Roman" w:cs="Times New Roman"/>
          <w:i/>
          <w:color w:val="D4D4D4"/>
          <w:sz w:val="24"/>
          <w:szCs w:val="24"/>
        </w:rPr>
        <w:t xml:space="preserve"> </w:t>
      </w:r>
      <w:r w:rsidR="00B0208D" w:rsidRPr="00B64D45">
        <w:rPr>
          <w:rFonts w:ascii="Times New Roman" w:hAnsi="Times New Roman" w:cs="Times New Roman"/>
          <w:i/>
          <w:color w:val="D4D4D4"/>
          <w:sz w:val="24"/>
          <w:szCs w:val="24"/>
        </w:rPr>
        <w:t xml:space="preserve"> 'household_id'</w:t>
      </w:r>
    </w:p>
    <w:p w:rsidR="00B0208D" w:rsidRPr="00B0208D" w:rsidRDefault="00B0208D" w:rsidP="00B0208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18"/>
          <w:szCs w:val="18"/>
        </w:rPr>
      </w:pPr>
    </w:p>
    <w:p w:rsidR="000650D8" w:rsidRDefault="000650D8"/>
    <w:p w:rsidR="000650D8" w:rsidRDefault="000650D8">
      <w:r>
        <w:t xml:space="preserve">During the forecast, SEMCOG tested the demographic data and observed some sharp growths or declines at sub-county level forecast, especially in early forecast period. The reason was largely due to some significant  differences between REMI demographic controls and Census 2015 numbers. </w:t>
      </w:r>
      <w:r w:rsidR="00BB4040">
        <w:t>Thus, SEMCOG</w:t>
      </w:r>
      <w:r>
        <w:t xml:space="preserve"> </w:t>
      </w:r>
      <w:r w:rsidR="00BB4040">
        <w:t>tried</w:t>
      </w:r>
      <w:r>
        <w:t xml:space="preserve"> to make some additional updates to the demographic inputs. Since REMI controls had population distributions by particular attributes, such as age and race, it will be difficult and error-prone to arbitrarily allocate REMI county level distributions to Census block groups. </w:t>
      </w:r>
      <w:r w:rsidR="00BB4040">
        <w:t xml:space="preserve">Therefore,  instead of developing new household and person controls for block groups, SEMCOG focused on the MCD level reviews and used post-process methods to make up the difference between REMI and Census. That result additional household and person record, which are not directly available from PUMS records. The total amount of records were less than 0.5% of the total households and persons. </w:t>
      </w:r>
    </w:p>
    <w:p w:rsidR="00BB4040" w:rsidRDefault="00BB4040"/>
    <w:p w:rsidR="00BB4040" w:rsidRPr="00BB4040" w:rsidRDefault="00BB4040">
      <w:pPr>
        <w:rPr>
          <w:u w:val="single"/>
        </w:rPr>
      </w:pPr>
      <w:r w:rsidRPr="00BB4040">
        <w:rPr>
          <w:u w:val="single"/>
        </w:rPr>
        <w:t>Group Quarter population:</w:t>
      </w:r>
    </w:p>
    <w:p w:rsidR="00B0208D" w:rsidRDefault="00B0208D">
      <w:r>
        <w:lastRenderedPageBreak/>
        <w:t>2015 group quarter (GQ) population was developed separately. SEMCOG developed own building level GQ controls based on local data and knowledge and sample</w:t>
      </w:r>
      <w:r w:rsidR="00D63D49">
        <w:t>d</w:t>
      </w:r>
      <w:r>
        <w:t xml:space="preserve"> 2015 5-year ACS records</w:t>
      </w:r>
      <w:r w:rsidR="00D63D49">
        <w:t xml:space="preserve"> to generate full GQ population</w:t>
      </w:r>
      <w:r>
        <w:t xml:space="preserve">. </w:t>
      </w:r>
      <w:r w:rsidR="00D63D49">
        <w:t xml:space="preserve">The attributes available in GQ population were age, race and GQ type. </w:t>
      </w:r>
      <w:r>
        <w:t xml:space="preserve">Since GQ forecast was not part of UrbanSim simulation process. SEMCOG only developed base year GQ population but not GQ households. The final GQ table: </w:t>
      </w:r>
    </w:p>
    <w:p w:rsidR="00D63D49" w:rsidRPr="00514C1D" w:rsidRDefault="00B0208D" w:rsidP="00B0208D">
      <w:pPr>
        <w:pStyle w:val="HTMLPreformatted"/>
        <w:shd w:val="clear" w:color="auto" w:fill="1E1E1E"/>
        <w:rPr>
          <w:rFonts w:ascii="Times New Roman" w:hAnsi="Times New Roman" w:cs="Times New Roman"/>
          <w:b/>
          <w:color w:val="D4D4D4"/>
          <w:sz w:val="24"/>
          <w:szCs w:val="24"/>
        </w:rPr>
      </w:pPr>
      <w:r w:rsidRPr="00514C1D">
        <w:rPr>
          <w:rFonts w:ascii="Times New Roman" w:hAnsi="Times New Roman" w:cs="Times New Roman"/>
          <w:b/>
          <w:color w:val="D4D4D4"/>
          <w:sz w:val="24"/>
          <w:szCs w:val="24"/>
        </w:rPr>
        <w:t xml:space="preserve">Group Quarters:   </w:t>
      </w:r>
    </w:p>
    <w:p w:rsidR="00B0208D" w:rsidRPr="00D63D49" w:rsidRDefault="00D63D49" w:rsidP="00B0208D">
      <w:pPr>
        <w:pStyle w:val="HTMLPreformatted"/>
        <w:shd w:val="clear" w:color="auto" w:fill="1E1E1E"/>
        <w:rPr>
          <w:i/>
          <w:color w:val="D4D4D4"/>
          <w:sz w:val="18"/>
          <w:szCs w:val="18"/>
        </w:rPr>
      </w:pPr>
      <w:r w:rsidRPr="00514C1D">
        <w:rPr>
          <w:rFonts w:ascii="Times New Roman" w:hAnsi="Times New Roman" w:cs="Times New Roman"/>
          <w:color w:val="D4D4D4"/>
          <w:sz w:val="24"/>
          <w:szCs w:val="24"/>
        </w:rPr>
        <w:tab/>
      </w:r>
      <w:r w:rsidR="00B0208D" w:rsidRPr="00514C1D">
        <w:rPr>
          <w:rFonts w:ascii="Times New Roman" w:hAnsi="Times New Roman" w:cs="Times New Roman"/>
          <w:i/>
          <w:color w:val="D4D4D4"/>
          <w:sz w:val="24"/>
          <w:szCs w:val="24"/>
        </w:rPr>
        <w:t xml:space="preserve">'age', </w:t>
      </w:r>
      <w:r w:rsidR="00B0208D" w:rsidRPr="00514C1D">
        <w:rPr>
          <w:rFonts w:ascii="Times New Roman" w:hAnsi="Times New Roman" w:cs="Times New Roman"/>
          <w:i/>
          <w:color w:val="D4D4D4"/>
          <w:sz w:val="18"/>
          <w:szCs w:val="18"/>
        </w:rPr>
        <w:t>'type', 'gq_code', 'building_id', 'race_id'</w:t>
      </w:r>
    </w:p>
    <w:p w:rsidR="00D63D49" w:rsidRDefault="00D63D49" w:rsidP="00B0208D">
      <w:pPr>
        <w:pStyle w:val="HTMLPreformatted"/>
        <w:shd w:val="clear" w:color="auto" w:fill="1E1E1E"/>
        <w:rPr>
          <w:color w:val="D4D4D4"/>
          <w:sz w:val="18"/>
          <w:szCs w:val="18"/>
        </w:rPr>
      </w:pPr>
    </w:p>
    <w:p w:rsidR="007509D6" w:rsidRDefault="007509D6"/>
    <w:p w:rsidR="00333C95" w:rsidRDefault="00333C95"/>
    <w:p w:rsidR="00333C95" w:rsidRPr="00D63D49" w:rsidRDefault="00333C95" w:rsidP="00333C95">
      <w:pPr>
        <w:rPr>
          <w:rFonts w:ascii="Times New Roman" w:hAnsi="Times New Roman" w:cs="Times New Roman"/>
          <w:b/>
          <w:sz w:val="24"/>
          <w:szCs w:val="24"/>
        </w:rPr>
      </w:pPr>
      <w:r>
        <w:rPr>
          <w:rFonts w:ascii="Times New Roman" w:hAnsi="Times New Roman" w:cs="Times New Roman"/>
          <w:b/>
          <w:sz w:val="24"/>
          <w:szCs w:val="24"/>
        </w:rPr>
        <w:t>SEMCOG ABM Input Requirement</w:t>
      </w:r>
    </w:p>
    <w:p w:rsidR="00333C95" w:rsidRDefault="00333C95">
      <w:r>
        <w:t>Based on SEMCOG ABM design, following variables are needed for model test:</w:t>
      </w:r>
    </w:p>
    <w:p w:rsidR="00333C95" w:rsidRPr="00333C95" w:rsidRDefault="00333C95">
      <w:pPr>
        <w:rPr>
          <w:b/>
          <w:sz w:val="24"/>
          <w:szCs w:val="24"/>
        </w:rPr>
      </w:pPr>
      <w:r w:rsidRPr="00333C95">
        <w:rPr>
          <w:b/>
          <w:sz w:val="24"/>
          <w:szCs w:val="24"/>
        </w:rPr>
        <w:t>Households</w:t>
      </w:r>
      <w:r w:rsidR="00D62A14">
        <w:rPr>
          <w:b/>
          <w:sz w:val="24"/>
          <w:szCs w:val="24"/>
        </w:rPr>
        <w:t xml:space="preserve"> (include GQ households)</w:t>
      </w:r>
      <w:r w:rsidRPr="00333C95">
        <w:rPr>
          <w:b/>
          <w:sz w:val="24"/>
          <w:szCs w:val="24"/>
        </w:rPr>
        <w:t>:</w:t>
      </w:r>
    </w:p>
    <w:tbl>
      <w:tblPr>
        <w:tblW w:w="9555" w:type="dxa"/>
        <w:tblInd w:w="-15" w:type="dxa"/>
        <w:tblLook w:val="04A0" w:firstRow="1" w:lastRow="0" w:firstColumn="1" w:lastColumn="0" w:noHBand="0" w:noVBand="1"/>
      </w:tblPr>
      <w:tblGrid>
        <w:gridCol w:w="2220"/>
        <w:gridCol w:w="7335"/>
      </w:tblGrid>
      <w:tr w:rsidR="00333C95" w:rsidRPr="00333C95" w:rsidTr="00333C95">
        <w:trPr>
          <w:trHeight w:val="315"/>
        </w:trPr>
        <w:tc>
          <w:tcPr>
            <w:tcW w:w="2220"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b/>
                <w:bCs/>
                <w:sz w:val="22"/>
                <w:szCs w:val="22"/>
              </w:rPr>
            </w:pPr>
            <w:r w:rsidRPr="00333C95">
              <w:rPr>
                <w:rFonts w:ascii="Calibri" w:eastAsia="Times New Roman" w:hAnsi="Calibri" w:cs="Calibri"/>
                <w:b/>
                <w:bCs/>
                <w:sz w:val="22"/>
                <w:szCs w:val="22"/>
              </w:rPr>
              <w:t>HHID</w:t>
            </w:r>
          </w:p>
        </w:tc>
        <w:tc>
          <w:tcPr>
            <w:tcW w:w="7335"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sz w:val="22"/>
                <w:szCs w:val="22"/>
              </w:rPr>
            </w:pPr>
            <w:r w:rsidRPr="00333C95">
              <w:rPr>
                <w:rFonts w:ascii="Calibri" w:eastAsia="Times New Roman" w:hAnsi="Calibri" w:cs="Calibri"/>
                <w:sz w:val="22"/>
                <w:szCs w:val="22"/>
              </w:rPr>
              <w:t>Unique household ID number</w:t>
            </w:r>
          </w:p>
        </w:tc>
      </w:tr>
      <w:tr w:rsidR="00333C95" w:rsidRPr="00333C95" w:rsidTr="00D62A14">
        <w:trPr>
          <w:trHeight w:val="322"/>
        </w:trPr>
        <w:tc>
          <w:tcPr>
            <w:tcW w:w="2220" w:type="dxa"/>
            <w:tcBorders>
              <w:top w:val="nil"/>
              <w:left w:val="nil"/>
              <w:bottom w:val="single" w:sz="8" w:space="0" w:color="F8B978"/>
              <w:right w:val="single" w:sz="8" w:space="0" w:color="F8B978"/>
            </w:tcBorders>
            <w:shd w:val="clear" w:color="auto" w:fill="auto"/>
            <w:vAlign w:val="center"/>
            <w:hideMark/>
          </w:tcPr>
          <w:p w:rsidR="00333C95" w:rsidRPr="00333C95" w:rsidRDefault="00333C95" w:rsidP="00333C95">
            <w:pPr>
              <w:spacing w:after="0" w:line="240" w:lineRule="auto"/>
              <w:rPr>
                <w:rFonts w:ascii="Calibri" w:eastAsia="Times New Roman" w:hAnsi="Calibri" w:cs="Calibri"/>
                <w:b/>
                <w:bCs/>
                <w:sz w:val="22"/>
                <w:szCs w:val="22"/>
              </w:rPr>
            </w:pPr>
            <w:r w:rsidRPr="00333C95">
              <w:rPr>
                <w:rFonts w:ascii="Calibri" w:eastAsia="Times New Roman" w:hAnsi="Calibri" w:cs="Calibri"/>
                <w:b/>
                <w:bCs/>
                <w:sz w:val="22"/>
                <w:szCs w:val="22"/>
              </w:rPr>
              <w:t>TAZ</w:t>
            </w:r>
          </w:p>
        </w:tc>
        <w:tc>
          <w:tcPr>
            <w:tcW w:w="7335" w:type="dxa"/>
            <w:tcBorders>
              <w:top w:val="nil"/>
              <w:left w:val="nil"/>
              <w:bottom w:val="single" w:sz="8" w:space="0" w:color="F8B978"/>
              <w:right w:val="single" w:sz="8" w:space="0" w:color="F8B978"/>
            </w:tcBorders>
            <w:shd w:val="clear" w:color="auto" w:fill="auto"/>
            <w:vAlign w:val="center"/>
            <w:hideMark/>
          </w:tcPr>
          <w:p w:rsidR="00333C95" w:rsidRPr="00333C95" w:rsidRDefault="00333C95" w:rsidP="00333C95">
            <w:pPr>
              <w:spacing w:after="0" w:line="240" w:lineRule="auto"/>
              <w:rPr>
                <w:rFonts w:ascii="Calibri" w:eastAsia="Times New Roman" w:hAnsi="Calibri" w:cs="Calibri"/>
                <w:sz w:val="22"/>
                <w:szCs w:val="22"/>
              </w:rPr>
            </w:pPr>
            <w:r w:rsidRPr="00333C95">
              <w:rPr>
                <w:rFonts w:ascii="Calibri" w:eastAsia="Times New Roman" w:hAnsi="Calibri" w:cs="Calibri"/>
                <w:sz w:val="22"/>
                <w:szCs w:val="22"/>
              </w:rPr>
              <w:t>Transportation analysis zone of home location</w:t>
            </w:r>
          </w:p>
        </w:tc>
      </w:tr>
      <w:tr w:rsidR="00333C95" w:rsidRPr="00333C95" w:rsidTr="00333C95">
        <w:trPr>
          <w:trHeight w:val="340"/>
        </w:trPr>
        <w:tc>
          <w:tcPr>
            <w:tcW w:w="2220" w:type="dxa"/>
            <w:tcBorders>
              <w:top w:val="nil"/>
              <w:left w:val="nil"/>
              <w:bottom w:val="single" w:sz="8" w:space="0" w:color="F8B978"/>
              <w:right w:val="single" w:sz="8" w:space="0" w:color="F8B978"/>
            </w:tcBorders>
            <w:shd w:val="clear" w:color="auto" w:fill="auto"/>
            <w:vAlign w:val="center"/>
            <w:hideMark/>
          </w:tcPr>
          <w:p w:rsidR="00333C95" w:rsidRPr="00333C95" w:rsidRDefault="00333C95" w:rsidP="00333C95">
            <w:pPr>
              <w:spacing w:after="0" w:line="240" w:lineRule="auto"/>
              <w:rPr>
                <w:rFonts w:ascii="Calibri" w:eastAsia="Times New Roman" w:hAnsi="Calibri" w:cs="Calibri"/>
                <w:b/>
                <w:bCs/>
                <w:sz w:val="22"/>
                <w:szCs w:val="22"/>
              </w:rPr>
            </w:pPr>
            <w:r w:rsidRPr="00333C95">
              <w:rPr>
                <w:rFonts w:ascii="Calibri" w:eastAsia="Times New Roman" w:hAnsi="Calibri" w:cs="Calibri"/>
                <w:b/>
                <w:bCs/>
                <w:sz w:val="22"/>
                <w:szCs w:val="22"/>
              </w:rPr>
              <w:t>TYPE</w:t>
            </w:r>
          </w:p>
        </w:tc>
        <w:tc>
          <w:tcPr>
            <w:tcW w:w="7335" w:type="dxa"/>
            <w:tcBorders>
              <w:top w:val="nil"/>
              <w:left w:val="nil"/>
              <w:bottom w:val="single" w:sz="8" w:space="0" w:color="F8B978"/>
              <w:right w:val="single" w:sz="8" w:space="0" w:color="F8B978"/>
            </w:tcBorders>
            <w:shd w:val="clear" w:color="auto" w:fill="auto"/>
            <w:vAlign w:val="center"/>
            <w:hideMark/>
          </w:tcPr>
          <w:p w:rsidR="00333C95" w:rsidRPr="00333C95" w:rsidRDefault="00333C95" w:rsidP="00333C95">
            <w:pPr>
              <w:spacing w:after="0" w:line="240" w:lineRule="auto"/>
              <w:rPr>
                <w:rFonts w:ascii="Calibri" w:eastAsia="Times New Roman" w:hAnsi="Calibri" w:cs="Calibri"/>
                <w:sz w:val="22"/>
                <w:szCs w:val="22"/>
              </w:rPr>
            </w:pPr>
            <w:r w:rsidRPr="00333C95">
              <w:rPr>
                <w:rFonts w:ascii="Calibri" w:eastAsia="Times New Roman" w:hAnsi="Calibri" w:cs="Calibri"/>
                <w:sz w:val="22"/>
                <w:szCs w:val="22"/>
              </w:rPr>
              <w:t xml:space="preserve">Type of unit </w:t>
            </w:r>
          </w:p>
        </w:tc>
      </w:tr>
      <w:tr w:rsidR="00333C95" w:rsidRPr="00333C95" w:rsidTr="00D62A14">
        <w:trPr>
          <w:trHeight w:val="322"/>
        </w:trPr>
        <w:tc>
          <w:tcPr>
            <w:tcW w:w="2220"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b/>
                <w:bCs/>
                <w:sz w:val="22"/>
                <w:szCs w:val="22"/>
              </w:rPr>
            </w:pPr>
            <w:r w:rsidRPr="00333C95">
              <w:rPr>
                <w:rFonts w:ascii="Calibri" w:eastAsia="Times New Roman" w:hAnsi="Calibri" w:cs="Calibri"/>
                <w:b/>
                <w:bCs/>
                <w:sz w:val="22"/>
                <w:szCs w:val="22"/>
              </w:rPr>
              <w:t>HINCP </w:t>
            </w:r>
            <w:r w:rsidR="001B67B9" w:rsidRPr="001B67B9">
              <w:rPr>
                <w:rFonts w:ascii="Calibri" w:eastAsia="Times New Roman" w:hAnsi="Calibri" w:cs="Calibri"/>
                <w:b/>
                <w:bCs/>
                <w:sz w:val="22"/>
                <w:szCs w:val="22"/>
              </w:rPr>
              <w:t>*</w:t>
            </w:r>
          </w:p>
        </w:tc>
        <w:tc>
          <w:tcPr>
            <w:tcW w:w="7335"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sz w:val="22"/>
                <w:szCs w:val="22"/>
              </w:rPr>
            </w:pPr>
            <w:r w:rsidRPr="00333C95">
              <w:rPr>
                <w:rFonts w:ascii="Calibri" w:eastAsia="Times New Roman" w:hAnsi="Calibri" w:cs="Calibri"/>
                <w:sz w:val="22"/>
                <w:szCs w:val="22"/>
              </w:rPr>
              <w:t>Household income</w:t>
            </w:r>
          </w:p>
        </w:tc>
      </w:tr>
      <w:tr w:rsidR="00333C95" w:rsidRPr="00333C95" w:rsidTr="00D62A14">
        <w:trPr>
          <w:trHeight w:val="322"/>
        </w:trPr>
        <w:tc>
          <w:tcPr>
            <w:tcW w:w="2220"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b/>
                <w:bCs/>
                <w:sz w:val="22"/>
                <w:szCs w:val="22"/>
              </w:rPr>
            </w:pPr>
            <w:r w:rsidRPr="00333C95">
              <w:rPr>
                <w:rFonts w:ascii="Calibri" w:eastAsia="Times New Roman" w:hAnsi="Calibri" w:cs="Calibri"/>
                <w:b/>
                <w:bCs/>
                <w:sz w:val="22"/>
                <w:szCs w:val="22"/>
              </w:rPr>
              <w:t>ADJINC</w:t>
            </w:r>
            <w:r w:rsidR="001B67B9">
              <w:rPr>
                <w:rFonts w:ascii="Calibri" w:eastAsia="Times New Roman" w:hAnsi="Calibri" w:cs="Calibri"/>
                <w:b/>
                <w:bCs/>
                <w:sz w:val="22"/>
                <w:szCs w:val="22"/>
              </w:rPr>
              <w:t xml:space="preserve"> *</w:t>
            </w:r>
          </w:p>
        </w:tc>
        <w:tc>
          <w:tcPr>
            <w:tcW w:w="7335"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sz w:val="22"/>
                <w:szCs w:val="22"/>
              </w:rPr>
            </w:pPr>
            <w:r w:rsidRPr="00333C95">
              <w:rPr>
                <w:rFonts w:ascii="Calibri" w:eastAsia="Times New Roman" w:hAnsi="Calibri" w:cs="Calibri"/>
                <w:sz w:val="22"/>
                <w:szCs w:val="22"/>
              </w:rPr>
              <w:t xml:space="preserve">adjustment factor for dollar amounts </w:t>
            </w:r>
          </w:p>
        </w:tc>
      </w:tr>
      <w:tr w:rsidR="00333C95" w:rsidRPr="00333C95" w:rsidTr="00D62A14">
        <w:trPr>
          <w:trHeight w:val="60"/>
        </w:trPr>
        <w:tc>
          <w:tcPr>
            <w:tcW w:w="2220"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b/>
                <w:bCs/>
                <w:sz w:val="22"/>
                <w:szCs w:val="22"/>
              </w:rPr>
            </w:pPr>
            <w:r w:rsidRPr="00333C95">
              <w:rPr>
                <w:rFonts w:ascii="Calibri" w:eastAsia="Times New Roman" w:hAnsi="Calibri" w:cs="Calibri"/>
                <w:b/>
                <w:bCs/>
                <w:sz w:val="22"/>
                <w:szCs w:val="22"/>
              </w:rPr>
              <w:t>NP</w:t>
            </w:r>
          </w:p>
        </w:tc>
        <w:tc>
          <w:tcPr>
            <w:tcW w:w="7335"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sz w:val="22"/>
                <w:szCs w:val="22"/>
              </w:rPr>
            </w:pPr>
            <w:r w:rsidRPr="00333C95">
              <w:rPr>
                <w:rFonts w:ascii="Calibri" w:eastAsia="Times New Roman" w:hAnsi="Calibri" w:cs="Calibri"/>
                <w:sz w:val="22"/>
                <w:szCs w:val="22"/>
              </w:rPr>
              <w:t>Number of persons in the household</w:t>
            </w:r>
          </w:p>
        </w:tc>
      </w:tr>
      <w:tr w:rsidR="00333C95" w:rsidRPr="00333C95" w:rsidTr="00D62A14">
        <w:trPr>
          <w:trHeight w:val="358"/>
        </w:trPr>
        <w:tc>
          <w:tcPr>
            <w:tcW w:w="2220" w:type="dxa"/>
            <w:tcBorders>
              <w:top w:val="nil"/>
              <w:left w:val="nil"/>
              <w:bottom w:val="single" w:sz="8" w:space="0" w:color="F8B978"/>
              <w:right w:val="single" w:sz="8" w:space="0" w:color="F8B978"/>
            </w:tcBorders>
            <w:shd w:val="clear" w:color="auto" w:fill="auto"/>
            <w:vAlign w:val="center"/>
            <w:hideMark/>
          </w:tcPr>
          <w:p w:rsidR="00333C95" w:rsidRPr="00333C95" w:rsidRDefault="00333C95" w:rsidP="00333C95">
            <w:pPr>
              <w:spacing w:after="0" w:line="240" w:lineRule="auto"/>
              <w:rPr>
                <w:rFonts w:ascii="Calibri" w:eastAsia="Times New Roman" w:hAnsi="Calibri" w:cs="Calibri"/>
                <w:b/>
                <w:bCs/>
                <w:sz w:val="22"/>
                <w:szCs w:val="22"/>
              </w:rPr>
            </w:pPr>
            <w:r w:rsidRPr="00333C95">
              <w:rPr>
                <w:rFonts w:ascii="Calibri" w:eastAsia="Times New Roman" w:hAnsi="Calibri" w:cs="Calibri"/>
                <w:b/>
                <w:bCs/>
                <w:sz w:val="22"/>
                <w:szCs w:val="22"/>
              </w:rPr>
              <w:t>HHT</w:t>
            </w:r>
            <w:r w:rsidR="00ED6522">
              <w:rPr>
                <w:rFonts w:ascii="Calibri" w:eastAsia="Times New Roman" w:hAnsi="Calibri" w:cs="Calibri"/>
                <w:b/>
                <w:bCs/>
                <w:sz w:val="22"/>
                <w:szCs w:val="22"/>
              </w:rPr>
              <w:t xml:space="preserve"> *</w:t>
            </w:r>
          </w:p>
        </w:tc>
        <w:tc>
          <w:tcPr>
            <w:tcW w:w="7335" w:type="dxa"/>
            <w:tcBorders>
              <w:top w:val="nil"/>
              <w:left w:val="nil"/>
              <w:bottom w:val="single" w:sz="8" w:space="0" w:color="F8B978"/>
              <w:right w:val="single" w:sz="8" w:space="0" w:color="F8B978"/>
            </w:tcBorders>
            <w:shd w:val="clear" w:color="auto" w:fill="auto"/>
            <w:vAlign w:val="center"/>
            <w:hideMark/>
          </w:tcPr>
          <w:p w:rsidR="00333C95" w:rsidRPr="00333C95" w:rsidRDefault="00333C95" w:rsidP="00333C95">
            <w:pPr>
              <w:spacing w:after="0" w:line="240" w:lineRule="auto"/>
              <w:rPr>
                <w:rFonts w:ascii="Calibri" w:eastAsia="Times New Roman" w:hAnsi="Calibri" w:cs="Calibri"/>
                <w:sz w:val="22"/>
                <w:szCs w:val="22"/>
              </w:rPr>
            </w:pPr>
            <w:r w:rsidRPr="00333C95">
              <w:rPr>
                <w:rFonts w:ascii="Calibri" w:eastAsia="Times New Roman" w:hAnsi="Calibri" w:cs="Calibri"/>
                <w:sz w:val="22"/>
                <w:szCs w:val="22"/>
              </w:rPr>
              <w:t>Household/family type</w:t>
            </w:r>
          </w:p>
        </w:tc>
      </w:tr>
      <w:tr w:rsidR="00333C95" w:rsidRPr="00333C95" w:rsidTr="00333C95">
        <w:trPr>
          <w:trHeight w:val="60"/>
        </w:trPr>
        <w:tc>
          <w:tcPr>
            <w:tcW w:w="2220"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b/>
                <w:bCs/>
                <w:sz w:val="22"/>
                <w:szCs w:val="22"/>
              </w:rPr>
            </w:pPr>
            <w:r w:rsidRPr="00333C95">
              <w:rPr>
                <w:rFonts w:ascii="Calibri" w:eastAsia="Times New Roman" w:hAnsi="Calibri" w:cs="Calibri"/>
                <w:b/>
                <w:bCs/>
                <w:sz w:val="22"/>
                <w:szCs w:val="22"/>
              </w:rPr>
              <w:t>VEH</w:t>
            </w:r>
          </w:p>
        </w:tc>
        <w:tc>
          <w:tcPr>
            <w:tcW w:w="7335"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sz w:val="22"/>
                <w:szCs w:val="22"/>
              </w:rPr>
            </w:pPr>
            <w:r w:rsidRPr="00333C95">
              <w:rPr>
                <w:rFonts w:ascii="Calibri" w:eastAsia="Times New Roman" w:hAnsi="Calibri" w:cs="Calibri"/>
                <w:sz w:val="22"/>
                <w:szCs w:val="22"/>
              </w:rPr>
              <w:t xml:space="preserve">Number of vehicles available </w:t>
            </w:r>
          </w:p>
        </w:tc>
      </w:tr>
    </w:tbl>
    <w:p w:rsidR="00333C95" w:rsidRDefault="00333C95"/>
    <w:p w:rsidR="00333C95" w:rsidRPr="00333C95" w:rsidRDefault="00333C95">
      <w:pPr>
        <w:rPr>
          <w:b/>
          <w:sz w:val="24"/>
          <w:szCs w:val="24"/>
        </w:rPr>
      </w:pPr>
      <w:r w:rsidRPr="00333C95">
        <w:rPr>
          <w:b/>
          <w:sz w:val="24"/>
          <w:szCs w:val="24"/>
        </w:rPr>
        <w:t>Persons</w:t>
      </w:r>
      <w:r w:rsidR="00D62A14">
        <w:rPr>
          <w:b/>
          <w:sz w:val="24"/>
          <w:szCs w:val="24"/>
        </w:rPr>
        <w:t xml:space="preserve"> (include GQ population)</w:t>
      </w:r>
    </w:p>
    <w:tbl>
      <w:tblPr>
        <w:tblW w:w="9105" w:type="dxa"/>
        <w:tblInd w:w="-15" w:type="dxa"/>
        <w:tblLook w:val="04A0" w:firstRow="1" w:lastRow="0" w:firstColumn="1" w:lastColumn="0" w:noHBand="0" w:noVBand="1"/>
      </w:tblPr>
      <w:tblGrid>
        <w:gridCol w:w="2220"/>
        <w:gridCol w:w="6885"/>
      </w:tblGrid>
      <w:tr w:rsidR="00333C95" w:rsidRPr="00333C95" w:rsidTr="00ED6522">
        <w:trPr>
          <w:trHeight w:val="333"/>
        </w:trPr>
        <w:tc>
          <w:tcPr>
            <w:tcW w:w="2220"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b/>
                <w:bCs/>
                <w:color w:val="24292E"/>
                <w:sz w:val="22"/>
                <w:szCs w:val="22"/>
              </w:rPr>
            </w:pPr>
            <w:r w:rsidRPr="00333C95">
              <w:rPr>
                <w:rFonts w:ascii="Calibri" w:eastAsia="Times New Roman" w:hAnsi="Calibri" w:cs="Calibri"/>
                <w:b/>
                <w:bCs/>
                <w:color w:val="24292E"/>
                <w:sz w:val="22"/>
                <w:szCs w:val="22"/>
              </w:rPr>
              <w:t>HHID</w:t>
            </w:r>
          </w:p>
        </w:tc>
        <w:tc>
          <w:tcPr>
            <w:tcW w:w="6885"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color w:val="24292E"/>
                <w:sz w:val="22"/>
                <w:szCs w:val="22"/>
              </w:rPr>
            </w:pPr>
            <w:r w:rsidRPr="00333C95">
              <w:rPr>
                <w:rFonts w:ascii="Calibri" w:eastAsia="Times New Roman" w:hAnsi="Calibri" w:cs="Calibri"/>
                <w:color w:val="24292E"/>
                <w:sz w:val="22"/>
                <w:szCs w:val="22"/>
              </w:rPr>
              <w:t>Unique household ID number</w:t>
            </w:r>
          </w:p>
        </w:tc>
      </w:tr>
      <w:tr w:rsidR="00333C95" w:rsidRPr="00333C95" w:rsidTr="00D62A14">
        <w:trPr>
          <w:trHeight w:val="448"/>
        </w:trPr>
        <w:tc>
          <w:tcPr>
            <w:tcW w:w="2220" w:type="dxa"/>
            <w:tcBorders>
              <w:top w:val="nil"/>
              <w:left w:val="nil"/>
              <w:bottom w:val="single" w:sz="8" w:space="0" w:color="F8B978"/>
              <w:right w:val="single" w:sz="8" w:space="0" w:color="F8B978"/>
            </w:tcBorders>
            <w:shd w:val="clear" w:color="auto" w:fill="auto"/>
            <w:vAlign w:val="center"/>
            <w:hideMark/>
          </w:tcPr>
          <w:p w:rsidR="00333C95" w:rsidRPr="00333C95" w:rsidRDefault="00333C95" w:rsidP="00333C95">
            <w:pPr>
              <w:spacing w:after="0" w:line="240" w:lineRule="auto"/>
              <w:rPr>
                <w:rFonts w:ascii="Calibri" w:eastAsia="Times New Roman" w:hAnsi="Calibri" w:cs="Calibri"/>
                <w:b/>
                <w:bCs/>
                <w:color w:val="24292E"/>
                <w:sz w:val="22"/>
                <w:szCs w:val="22"/>
              </w:rPr>
            </w:pPr>
            <w:r w:rsidRPr="00333C95">
              <w:rPr>
                <w:rFonts w:ascii="Calibri" w:eastAsia="Times New Roman" w:hAnsi="Calibri" w:cs="Calibri"/>
                <w:b/>
                <w:bCs/>
                <w:color w:val="24292E"/>
                <w:sz w:val="22"/>
                <w:szCs w:val="22"/>
              </w:rPr>
              <w:t>PERID</w:t>
            </w:r>
          </w:p>
        </w:tc>
        <w:tc>
          <w:tcPr>
            <w:tcW w:w="6885" w:type="dxa"/>
            <w:tcBorders>
              <w:top w:val="nil"/>
              <w:left w:val="nil"/>
              <w:bottom w:val="single" w:sz="8" w:space="0" w:color="F8B978"/>
              <w:right w:val="single" w:sz="8" w:space="0" w:color="F8B978"/>
            </w:tcBorders>
            <w:shd w:val="clear" w:color="auto" w:fill="auto"/>
            <w:vAlign w:val="center"/>
            <w:hideMark/>
          </w:tcPr>
          <w:p w:rsidR="00333C95" w:rsidRPr="00333C95" w:rsidRDefault="00333C95" w:rsidP="00333C95">
            <w:pPr>
              <w:spacing w:after="0" w:line="240" w:lineRule="auto"/>
              <w:rPr>
                <w:rFonts w:ascii="Calibri" w:eastAsia="Times New Roman" w:hAnsi="Calibri" w:cs="Calibri"/>
                <w:color w:val="24292E"/>
                <w:sz w:val="22"/>
                <w:szCs w:val="22"/>
              </w:rPr>
            </w:pPr>
            <w:r w:rsidRPr="00333C95">
              <w:rPr>
                <w:rFonts w:ascii="Calibri" w:eastAsia="Times New Roman" w:hAnsi="Calibri" w:cs="Calibri"/>
                <w:color w:val="24292E"/>
                <w:sz w:val="22"/>
                <w:szCs w:val="22"/>
              </w:rPr>
              <w:t>Unique person ID number</w:t>
            </w:r>
          </w:p>
        </w:tc>
      </w:tr>
      <w:tr w:rsidR="00333C95" w:rsidRPr="00333C95" w:rsidTr="00ED6522">
        <w:trPr>
          <w:trHeight w:val="315"/>
        </w:trPr>
        <w:tc>
          <w:tcPr>
            <w:tcW w:w="2220"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b/>
                <w:bCs/>
                <w:color w:val="24292E"/>
                <w:sz w:val="22"/>
                <w:szCs w:val="22"/>
              </w:rPr>
            </w:pPr>
            <w:r w:rsidRPr="00333C95">
              <w:rPr>
                <w:rFonts w:ascii="Calibri" w:eastAsia="Times New Roman" w:hAnsi="Calibri" w:cs="Calibri"/>
                <w:b/>
                <w:bCs/>
                <w:color w:val="24292E"/>
                <w:sz w:val="22"/>
                <w:szCs w:val="22"/>
              </w:rPr>
              <w:t>AGEP</w:t>
            </w:r>
          </w:p>
        </w:tc>
        <w:tc>
          <w:tcPr>
            <w:tcW w:w="6885"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color w:val="24292E"/>
                <w:sz w:val="22"/>
                <w:szCs w:val="22"/>
              </w:rPr>
            </w:pPr>
            <w:r w:rsidRPr="00333C95">
              <w:rPr>
                <w:rFonts w:ascii="Calibri" w:eastAsia="Times New Roman" w:hAnsi="Calibri" w:cs="Calibri"/>
                <w:color w:val="24292E"/>
                <w:sz w:val="22"/>
                <w:szCs w:val="22"/>
              </w:rPr>
              <w:t>Person's age in years</w:t>
            </w:r>
          </w:p>
        </w:tc>
      </w:tr>
      <w:tr w:rsidR="00333C95" w:rsidRPr="00333C95" w:rsidTr="00ED6522">
        <w:trPr>
          <w:trHeight w:val="315"/>
        </w:trPr>
        <w:tc>
          <w:tcPr>
            <w:tcW w:w="2220" w:type="dxa"/>
            <w:tcBorders>
              <w:top w:val="nil"/>
              <w:left w:val="nil"/>
              <w:bottom w:val="single" w:sz="8" w:space="0" w:color="F8B978"/>
              <w:right w:val="single" w:sz="8" w:space="0" w:color="F8B978"/>
            </w:tcBorders>
            <w:shd w:val="clear" w:color="auto" w:fill="auto"/>
            <w:vAlign w:val="center"/>
            <w:hideMark/>
          </w:tcPr>
          <w:p w:rsidR="00333C95" w:rsidRPr="00333C95" w:rsidRDefault="00333C95" w:rsidP="00333C95">
            <w:pPr>
              <w:spacing w:after="0" w:line="240" w:lineRule="auto"/>
              <w:rPr>
                <w:rFonts w:ascii="Calibri" w:eastAsia="Times New Roman" w:hAnsi="Calibri" w:cs="Calibri"/>
                <w:b/>
                <w:bCs/>
                <w:color w:val="24292E"/>
                <w:sz w:val="22"/>
                <w:szCs w:val="22"/>
              </w:rPr>
            </w:pPr>
            <w:r w:rsidRPr="00333C95">
              <w:rPr>
                <w:rFonts w:ascii="Calibri" w:eastAsia="Times New Roman" w:hAnsi="Calibri" w:cs="Calibri"/>
                <w:b/>
                <w:bCs/>
                <w:color w:val="24292E"/>
                <w:sz w:val="22"/>
                <w:szCs w:val="22"/>
              </w:rPr>
              <w:t>SEX</w:t>
            </w:r>
          </w:p>
        </w:tc>
        <w:tc>
          <w:tcPr>
            <w:tcW w:w="6885" w:type="dxa"/>
            <w:tcBorders>
              <w:top w:val="nil"/>
              <w:left w:val="nil"/>
              <w:bottom w:val="single" w:sz="8" w:space="0" w:color="F8B978"/>
              <w:right w:val="single" w:sz="8" w:space="0" w:color="F8B978"/>
            </w:tcBorders>
            <w:shd w:val="clear" w:color="auto" w:fill="auto"/>
            <w:vAlign w:val="center"/>
            <w:hideMark/>
          </w:tcPr>
          <w:p w:rsidR="00333C95" w:rsidRPr="00333C95" w:rsidRDefault="00333C95" w:rsidP="00333C95">
            <w:pPr>
              <w:spacing w:after="0" w:line="240" w:lineRule="auto"/>
              <w:rPr>
                <w:rFonts w:ascii="Calibri" w:eastAsia="Times New Roman" w:hAnsi="Calibri" w:cs="Calibri"/>
                <w:color w:val="24292E"/>
                <w:sz w:val="22"/>
                <w:szCs w:val="22"/>
              </w:rPr>
            </w:pPr>
            <w:r w:rsidRPr="00333C95">
              <w:rPr>
                <w:rFonts w:ascii="Calibri" w:eastAsia="Times New Roman" w:hAnsi="Calibri" w:cs="Calibri"/>
                <w:color w:val="24292E"/>
                <w:sz w:val="22"/>
                <w:szCs w:val="22"/>
              </w:rPr>
              <w:t>Gender</w:t>
            </w:r>
          </w:p>
        </w:tc>
      </w:tr>
      <w:tr w:rsidR="00333C95" w:rsidRPr="00333C95" w:rsidTr="00ED6522">
        <w:trPr>
          <w:trHeight w:val="205"/>
        </w:trPr>
        <w:tc>
          <w:tcPr>
            <w:tcW w:w="2220"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b/>
                <w:bCs/>
                <w:sz w:val="22"/>
                <w:szCs w:val="22"/>
              </w:rPr>
            </w:pPr>
            <w:r w:rsidRPr="00333C95">
              <w:rPr>
                <w:rFonts w:ascii="Calibri" w:eastAsia="Times New Roman" w:hAnsi="Calibri" w:cs="Calibri"/>
                <w:b/>
                <w:bCs/>
                <w:sz w:val="22"/>
                <w:szCs w:val="22"/>
              </w:rPr>
              <w:t>ESR</w:t>
            </w:r>
            <w:r w:rsidR="00ED6522" w:rsidRPr="00D62A14">
              <w:rPr>
                <w:rFonts w:ascii="Calibri" w:eastAsia="Times New Roman" w:hAnsi="Calibri" w:cs="Calibri"/>
                <w:b/>
                <w:bCs/>
                <w:sz w:val="22"/>
                <w:szCs w:val="22"/>
              </w:rPr>
              <w:t xml:space="preserve"> *</w:t>
            </w:r>
          </w:p>
        </w:tc>
        <w:tc>
          <w:tcPr>
            <w:tcW w:w="6885"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color w:val="24292E"/>
                <w:sz w:val="22"/>
                <w:szCs w:val="22"/>
              </w:rPr>
            </w:pPr>
            <w:r w:rsidRPr="00333C95">
              <w:rPr>
                <w:rFonts w:ascii="Calibri" w:eastAsia="Times New Roman" w:hAnsi="Calibri" w:cs="Calibri"/>
                <w:color w:val="24292E"/>
                <w:sz w:val="22"/>
                <w:szCs w:val="22"/>
              </w:rPr>
              <w:t>Employment status recode</w:t>
            </w:r>
          </w:p>
        </w:tc>
      </w:tr>
      <w:tr w:rsidR="00333C95" w:rsidRPr="00333C95" w:rsidTr="00ED6522">
        <w:trPr>
          <w:trHeight w:val="277"/>
        </w:trPr>
        <w:tc>
          <w:tcPr>
            <w:tcW w:w="2220" w:type="dxa"/>
            <w:tcBorders>
              <w:top w:val="nil"/>
              <w:left w:val="nil"/>
              <w:bottom w:val="single" w:sz="8" w:space="0" w:color="F8B978"/>
              <w:right w:val="single" w:sz="8" w:space="0" w:color="F8B978"/>
            </w:tcBorders>
            <w:shd w:val="clear" w:color="000000" w:fill="FFFFFF"/>
            <w:vAlign w:val="center"/>
            <w:hideMark/>
          </w:tcPr>
          <w:p w:rsidR="00333C95" w:rsidRPr="00333C95" w:rsidRDefault="00333C95" w:rsidP="00333C95">
            <w:pPr>
              <w:spacing w:after="0" w:line="240" w:lineRule="auto"/>
              <w:rPr>
                <w:rFonts w:ascii="Calibri" w:eastAsia="Times New Roman" w:hAnsi="Calibri" w:cs="Calibri"/>
                <w:b/>
                <w:bCs/>
                <w:sz w:val="22"/>
                <w:szCs w:val="22"/>
              </w:rPr>
            </w:pPr>
            <w:r w:rsidRPr="00333C95">
              <w:rPr>
                <w:rFonts w:ascii="Calibri" w:eastAsia="Times New Roman" w:hAnsi="Calibri" w:cs="Calibri"/>
                <w:b/>
                <w:bCs/>
                <w:sz w:val="22"/>
                <w:szCs w:val="22"/>
              </w:rPr>
              <w:t>WKHP</w:t>
            </w:r>
            <w:r w:rsidR="00ED6522" w:rsidRPr="00D62A14">
              <w:rPr>
                <w:rFonts w:ascii="Calibri" w:eastAsia="Times New Roman" w:hAnsi="Calibri" w:cs="Calibri"/>
                <w:b/>
                <w:bCs/>
                <w:sz w:val="22"/>
                <w:szCs w:val="22"/>
              </w:rPr>
              <w:t>*</w:t>
            </w:r>
          </w:p>
        </w:tc>
        <w:tc>
          <w:tcPr>
            <w:tcW w:w="6885" w:type="dxa"/>
            <w:tcBorders>
              <w:top w:val="nil"/>
              <w:left w:val="nil"/>
              <w:bottom w:val="single" w:sz="8" w:space="0" w:color="F8B978"/>
              <w:right w:val="single" w:sz="8" w:space="0" w:color="F8B978"/>
            </w:tcBorders>
            <w:shd w:val="clear" w:color="000000" w:fill="FFFFFF"/>
            <w:vAlign w:val="center"/>
            <w:hideMark/>
          </w:tcPr>
          <w:p w:rsidR="00333C95" w:rsidRPr="00333C95" w:rsidRDefault="00333C95" w:rsidP="00333C95">
            <w:pPr>
              <w:spacing w:after="0" w:line="240" w:lineRule="auto"/>
              <w:rPr>
                <w:rFonts w:ascii="Calibri" w:eastAsia="Times New Roman" w:hAnsi="Calibri" w:cs="Calibri"/>
                <w:color w:val="24292E"/>
                <w:sz w:val="22"/>
                <w:szCs w:val="22"/>
              </w:rPr>
            </w:pPr>
            <w:r w:rsidRPr="00333C95">
              <w:rPr>
                <w:rFonts w:ascii="Calibri" w:eastAsia="Times New Roman" w:hAnsi="Calibri" w:cs="Calibri"/>
                <w:color w:val="24292E"/>
                <w:sz w:val="22"/>
                <w:szCs w:val="22"/>
              </w:rPr>
              <w:t>Usual hours worked per week past 12 months</w:t>
            </w:r>
          </w:p>
        </w:tc>
      </w:tr>
      <w:tr w:rsidR="00333C95" w:rsidRPr="00333C95" w:rsidTr="00ED6522">
        <w:trPr>
          <w:trHeight w:val="340"/>
        </w:trPr>
        <w:tc>
          <w:tcPr>
            <w:tcW w:w="2220"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b/>
                <w:bCs/>
                <w:sz w:val="22"/>
                <w:szCs w:val="22"/>
              </w:rPr>
            </w:pPr>
            <w:r w:rsidRPr="00333C95">
              <w:rPr>
                <w:rFonts w:ascii="Calibri" w:eastAsia="Times New Roman" w:hAnsi="Calibri" w:cs="Calibri"/>
                <w:b/>
                <w:bCs/>
                <w:sz w:val="22"/>
                <w:szCs w:val="22"/>
              </w:rPr>
              <w:t>WKW</w:t>
            </w:r>
            <w:r w:rsidR="00ED6522" w:rsidRPr="00D62A14">
              <w:rPr>
                <w:rFonts w:ascii="Calibri" w:eastAsia="Times New Roman" w:hAnsi="Calibri" w:cs="Calibri"/>
                <w:b/>
                <w:bCs/>
                <w:sz w:val="22"/>
                <w:szCs w:val="22"/>
              </w:rPr>
              <w:t>*</w:t>
            </w:r>
          </w:p>
        </w:tc>
        <w:tc>
          <w:tcPr>
            <w:tcW w:w="6885"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color w:val="24292E"/>
                <w:sz w:val="22"/>
                <w:szCs w:val="22"/>
              </w:rPr>
            </w:pPr>
            <w:r w:rsidRPr="00333C95">
              <w:rPr>
                <w:rFonts w:ascii="Calibri" w:eastAsia="Times New Roman" w:hAnsi="Calibri" w:cs="Calibri"/>
                <w:color w:val="24292E"/>
                <w:sz w:val="22"/>
                <w:szCs w:val="22"/>
              </w:rPr>
              <w:t>Weeks worked during past 12 month</w:t>
            </w:r>
          </w:p>
        </w:tc>
      </w:tr>
      <w:tr w:rsidR="00333C95" w:rsidRPr="00333C95" w:rsidTr="00ED6522">
        <w:trPr>
          <w:trHeight w:val="250"/>
        </w:trPr>
        <w:tc>
          <w:tcPr>
            <w:tcW w:w="2220" w:type="dxa"/>
            <w:tcBorders>
              <w:top w:val="nil"/>
              <w:left w:val="nil"/>
              <w:bottom w:val="single" w:sz="8" w:space="0" w:color="F8B978"/>
              <w:right w:val="single" w:sz="8" w:space="0" w:color="F8B978"/>
            </w:tcBorders>
            <w:shd w:val="clear" w:color="auto" w:fill="auto"/>
            <w:vAlign w:val="center"/>
            <w:hideMark/>
          </w:tcPr>
          <w:p w:rsidR="00333C95" w:rsidRPr="00333C95" w:rsidRDefault="00333C95" w:rsidP="00333C95">
            <w:pPr>
              <w:spacing w:after="0" w:line="240" w:lineRule="auto"/>
              <w:rPr>
                <w:rFonts w:ascii="Calibri" w:eastAsia="Times New Roman" w:hAnsi="Calibri" w:cs="Calibri"/>
                <w:b/>
                <w:bCs/>
                <w:sz w:val="22"/>
                <w:szCs w:val="22"/>
              </w:rPr>
            </w:pPr>
            <w:r w:rsidRPr="00333C95">
              <w:rPr>
                <w:rFonts w:ascii="Calibri" w:eastAsia="Times New Roman" w:hAnsi="Calibri" w:cs="Calibri"/>
                <w:b/>
                <w:bCs/>
                <w:sz w:val="22"/>
                <w:szCs w:val="22"/>
              </w:rPr>
              <w:t>SCHG</w:t>
            </w:r>
            <w:r w:rsidR="00ED6522" w:rsidRPr="00D62A14">
              <w:rPr>
                <w:rFonts w:ascii="Calibri" w:eastAsia="Times New Roman" w:hAnsi="Calibri" w:cs="Calibri"/>
                <w:b/>
                <w:bCs/>
                <w:sz w:val="22"/>
                <w:szCs w:val="22"/>
              </w:rPr>
              <w:t>*</w:t>
            </w:r>
          </w:p>
        </w:tc>
        <w:tc>
          <w:tcPr>
            <w:tcW w:w="6885" w:type="dxa"/>
            <w:tcBorders>
              <w:top w:val="nil"/>
              <w:left w:val="nil"/>
              <w:bottom w:val="single" w:sz="8" w:space="0" w:color="F8B978"/>
              <w:right w:val="single" w:sz="8" w:space="0" w:color="F8B978"/>
            </w:tcBorders>
            <w:shd w:val="clear" w:color="auto" w:fill="auto"/>
            <w:vAlign w:val="center"/>
            <w:hideMark/>
          </w:tcPr>
          <w:p w:rsidR="00333C95" w:rsidRPr="00333C95" w:rsidRDefault="00333C95" w:rsidP="00333C95">
            <w:pPr>
              <w:spacing w:after="0" w:line="240" w:lineRule="auto"/>
              <w:rPr>
                <w:rFonts w:ascii="Calibri" w:eastAsia="Times New Roman" w:hAnsi="Calibri" w:cs="Calibri"/>
                <w:color w:val="24292E"/>
                <w:sz w:val="22"/>
                <w:szCs w:val="22"/>
              </w:rPr>
            </w:pPr>
            <w:r w:rsidRPr="00333C95">
              <w:rPr>
                <w:rFonts w:ascii="Calibri" w:eastAsia="Times New Roman" w:hAnsi="Calibri" w:cs="Calibri"/>
                <w:color w:val="24292E"/>
                <w:sz w:val="22"/>
                <w:szCs w:val="22"/>
              </w:rPr>
              <w:t>Grade level attending</w:t>
            </w:r>
          </w:p>
        </w:tc>
      </w:tr>
      <w:tr w:rsidR="00333C95" w:rsidRPr="00333C95" w:rsidTr="00ED6522">
        <w:trPr>
          <w:trHeight w:val="340"/>
        </w:trPr>
        <w:tc>
          <w:tcPr>
            <w:tcW w:w="2220"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b/>
                <w:bCs/>
                <w:sz w:val="22"/>
                <w:szCs w:val="22"/>
              </w:rPr>
            </w:pPr>
            <w:r w:rsidRPr="00333C95">
              <w:rPr>
                <w:rFonts w:ascii="Calibri" w:eastAsia="Times New Roman" w:hAnsi="Calibri" w:cs="Calibri"/>
                <w:b/>
                <w:bCs/>
                <w:sz w:val="22"/>
                <w:szCs w:val="22"/>
              </w:rPr>
              <w:t>MIL</w:t>
            </w:r>
            <w:r w:rsidR="00ED6522" w:rsidRPr="00D62A14">
              <w:rPr>
                <w:rFonts w:ascii="Calibri" w:eastAsia="Times New Roman" w:hAnsi="Calibri" w:cs="Calibri"/>
                <w:b/>
                <w:bCs/>
                <w:sz w:val="22"/>
                <w:szCs w:val="22"/>
              </w:rPr>
              <w:t>*</w:t>
            </w:r>
          </w:p>
        </w:tc>
        <w:tc>
          <w:tcPr>
            <w:tcW w:w="6885" w:type="dxa"/>
            <w:tcBorders>
              <w:top w:val="nil"/>
              <w:left w:val="nil"/>
              <w:bottom w:val="single" w:sz="8" w:space="0" w:color="F8B978"/>
              <w:right w:val="single" w:sz="8" w:space="0" w:color="F8B978"/>
            </w:tcBorders>
            <w:shd w:val="clear" w:color="000000" w:fill="FCE7D2"/>
            <w:vAlign w:val="center"/>
            <w:hideMark/>
          </w:tcPr>
          <w:p w:rsidR="00333C95" w:rsidRPr="00333C95" w:rsidRDefault="00333C95" w:rsidP="00333C95">
            <w:pPr>
              <w:spacing w:after="0" w:line="240" w:lineRule="auto"/>
              <w:rPr>
                <w:rFonts w:ascii="Calibri" w:eastAsia="Times New Roman" w:hAnsi="Calibri" w:cs="Calibri"/>
                <w:color w:val="24292E"/>
                <w:sz w:val="22"/>
                <w:szCs w:val="22"/>
              </w:rPr>
            </w:pPr>
            <w:r w:rsidRPr="00333C95">
              <w:rPr>
                <w:rFonts w:ascii="Calibri" w:eastAsia="Times New Roman" w:hAnsi="Calibri" w:cs="Calibri"/>
                <w:color w:val="24292E"/>
                <w:sz w:val="22"/>
                <w:szCs w:val="22"/>
              </w:rPr>
              <w:t>Military service</w:t>
            </w:r>
          </w:p>
        </w:tc>
      </w:tr>
    </w:tbl>
    <w:p w:rsidR="00D62A14" w:rsidRDefault="00D62A14" w:rsidP="00D62A14"/>
    <w:p w:rsidR="00D62A14" w:rsidRDefault="00D62A14" w:rsidP="00D62A14">
      <w:r>
        <w:t>*marked are new variables needed by ABM</w:t>
      </w:r>
    </w:p>
    <w:p w:rsidR="00333C95" w:rsidRDefault="00D62A14">
      <w:r>
        <w:lastRenderedPageBreak/>
        <w:t xml:space="preserve">As shown in the tables, both household and person tables will need additional PUMS variables. It would be easy if all individual records has original serial numbers from PUMS. </w:t>
      </w:r>
      <w:r w:rsidR="008F74D4">
        <w:t xml:space="preserve">Since </w:t>
      </w:r>
      <w:r>
        <w:t>SEMCOG has been keeping the original synthesized d</w:t>
      </w:r>
      <w:r w:rsidR="008F74D4">
        <w:t xml:space="preserve">ataset with PUMS SERIALNO, </w:t>
      </w:r>
      <w:r>
        <w:t xml:space="preserve"> 99.5% of </w:t>
      </w:r>
      <w:r w:rsidR="008F74D4">
        <w:t>model demographic records</w:t>
      </w:r>
      <w:r>
        <w:t xml:space="preserve"> can find original PUMS samples</w:t>
      </w:r>
      <w:r w:rsidR="008F74D4">
        <w:t xml:space="preserve"> reliablly</w:t>
      </w:r>
      <w:r>
        <w:t>. However there are still around 0.5% households or persons need to assign new values for those variables. For GQ, there are less personal attributes available</w:t>
      </w:r>
      <w:r w:rsidR="008F74D4">
        <w:t xml:space="preserve"> than residential population, meaning</w:t>
      </w:r>
      <w:r>
        <w:t xml:space="preserve"> more attributes (+ SEX) has to be generated and the whole GQ household has to be built.</w:t>
      </w:r>
    </w:p>
    <w:p w:rsidR="008F74D4" w:rsidRDefault="008F74D4"/>
    <w:p w:rsidR="00333C95" w:rsidRDefault="008F74D4">
      <w:pPr>
        <w:rPr>
          <w:rFonts w:ascii="Times New Roman" w:hAnsi="Times New Roman" w:cs="Times New Roman"/>
          <w:b/>
          <w:sz w:val="24"/>
          <w:szCs w:val="24"/>
        </w:rPr>
      </w:pPr>
      <w:r w:rsidRPr="008F74D4">
        <w:rPr>
          <w:rFonts w:ascii="Times New Roman" w:hAnsi="Times New Roman" w:cs="Times New Roman"/>
          <w:b/>
          <w:sz w:val="24"/>
          <w:szCs w:val="24"/>
        </w:rPr>
        <w:t>Method to generate new variables for non-synthesized demographic data:</w:t>
      </w:r>
    </w:p>
    <w:p w:rsidR="008F74D4" w:rsidRDefault="00884F03" w:rsidP="008C653B">
      <w:pPr>
        <w:shd w:val="clear" w:color="auto" w:fill="FFFFFF"/>
        <w:spacing w:after="0" w:line="270" w:lineRule="atLeast"/>
        <w:rPr>
          <w:sz w:val="22"/>
          <w:szCs w:val="22"/>
        </w:rPr>
      </w:pPr>
      <w:r>
        <w:rPr>
          <w:sz w:val="22"/>
          <w:szCs w:val="22"/>
        </w:rPr>
        <w:t>To assign reasonable variables to non-synthesized households and persons, SEMCOG used a “matching and dropping” process described as follows:</w:t>
      </w:r>
    </w:p>
    <w:p w:rsidR="00884F03" w:rsidRDefault="00884F03" w:rsidP="008C653B">
      <w:pPr>
        <w:shd w:val="clear" w:color="auto" w:fill="FFFFFF"/>
        <w:spacing w:after="0" w:line="270" w:lineRule="atLeast"/>
        <w:rPr>
          <w:sz w:val="22"/>
          <w:szCs w:val="22"/>
        </w:rPr>
      </w:pPr>
    </w:p>
    <w:p w:rsidR="0002756D" w:rsidRDefault="00884F03" w:rsidP="00884F03">
      <w:pPr>
        <w:pStyle w:val="ListParagraph"/>
        <w:numPr>
          <w:ilvl w:val="0"/>
          <w:numId w:val="3"/>
        </w:numPr>
        <w:shd w:val="clear" w:color="auto" w:fill="FFFFFF"/>
        <w:spacing w:after="0" w:line="270" w:lineRule="atLeast"/>
        <w:rPr>
          <w:sz w:val="22"/>
          <w:szCs w:val="22"/>
        </w:rPr>
      </w:pPr>
      <w:r>
        <w:rPr>
          <w:sz w:val="22"/>
          <w:szCs w:val="22"/>
        </w:rPr>
        <w:t xml:space="preserve">Households:  </w:t>
      </w:r>
      <w:r w:rsidR="0002756D">
        <w:rPr>
          <w:sz w:val="22"/>
          <w:szCs w:val="22"/>
        </w:rPr>
        <w:t xml:space="preserve">  </w:t>
      </w:r>
      <w:r>
        <w:rPr>
          <w:sz w:val="22"/>
          <w:szCs w:val="22"/>
        </w:rPr>
        <w:t xml:space="preserve">The process used a predetermined set of households attributes, including demographic and geographic information ( </w:t>
      </w:r>
      <w:r w:rsidRPr="00884F03">
        <w:rPr>
          <w:sz w:val="22"/>
          <w:szCs w:val="22"/>
        </w:rPr>
        <w:t>'income', 'race_id',</w:t>
      </w:r>
      <w:r>
        <w:rPr>
          <w:sz w:val="22"/>
          <w:szCs w:val="22"/>
        </w:rPr>
        <w:t xml:space="preserve"> </w:t>
      </w:r>
      <w:r w:rsidRPr="00884F03">
        <w:rPr>
          <w:sz w:val="22"/>
          <w:szCs w:val="22"/>
        </w:rPr>
        <w:t> 'age_of_head','cars', 'county_id',</w:t>
      </w:r>
      <w:r>
        <w:rPr>
          <w:sz w:val="22"/>
          <w:szCs w:val="22"/>
        </w:rPr>
        <w:t xml:space="preserve"> </w:t>
      </w:r>
      <w:r w:rsidRPr="00884F03">
        <w:rPr>
          <w:sz w:val="22"/>
          <w:szCs w:val="22"/>
        </w:rPr>
        <w:t>'PUMA5CE'</w:t>
      </w:r>
      <w:r>
        <w:rPr>
          <w:sz w:val="22"/>
          <w:szCs w:val="22"/>
        </w:rPr>
        <w:t xml:space="preserve">) </w:t>
      </w:r>
      <w:r w:rsidR="00893C5A">
        <w:rPr>
          <w:sz w:val="22"/>
          <w:szCs w:val="22"/>
        </w:rPr>
        <w:t xml:space="preserve">to match </w:t>
      </w:r>
      <w:r>
        <w:rPr>
          <w:sz w:val="22"/>
          <w:szCs w:val="22"/>
        </w:rPr>
        <w:t>PUMS records</w:t>
      </w:r>
      <w:r w:rsidR="00893C5A">
        <w:rPr>
          <w:sz w:val="22"/>
          <w:szCs w:val="22"/>
        </w:rPr>
        <w:t xml:space="preserve"> to</w:t>
      </w:r>
      <w:r>
        <w:rPr>
          <w:sz w:val="22"/>
          <w:szCs w:val="22"/>
        </w:rPr>
        <w:t xml:space="preserve"> each</w:t>
      </w:r>
      <w:r w:rsidR="00893C5A">
        <w:rPr>
          <w:sz w:val="22"/>
          <w:szCs w:val="22"/>
        </w:rPr>
        <w:t xml:space="preserve"> non-synthesized</w:t>
      </w:r>
      <w:r>
        <w:rPr>
          <w:sz w:val="22"/>
          <w:szCs w:val="22"/>
        </w:rPr>
        <w:t xml:space="preserve"> household. </w:t>
      </w:r>
      <w:r w:rsidR="00893C5A">
        <w:rPr>
          <w:sz w:val="22"/>
          <w:szCs w:val="22"/>
        </w:rPr>
        <w:t xml:space="preserve">A python program will query PUMS samples using above attributes from each target household. If </w:t>
      </w:r>
      <w:r>
        <w:rPr>
          <w:sz w:val="22"/>
          <w:szCs w:val="22"/>
        </w:rPr>
        <w:t>more than one reco</w:t>
      </w:r>
      <w:r w:rsidR="00893C5A">
        <w:rPr>
          <w:sz w:val="22"/>
          <w:szCs w:val="22"/>
        </w:rPr>
        <w:t xml:space="preserve">rds were found, only one household </w:t>
      </w:r>
      <w:r>
        <w:rPr>
          <w:sz w:val="22"/>
          <w:szCs w:val="22"/>
        </w:rPr>
        <w:t>will be sampled and its SERIALNO will be attached to the household. If no available hous</w:t>
      </w:r>
      <w:r w:rsidR="0002756D">
        <w:rPr>
          <w:sz w:val="22"/>
          <w:szCs w:val="22"/>
        </w:rPr>
        <w:t>eholds, the process will drop the last attribute and redo the matching process. This procedure repeat</w:t>
      </w:r>
      <w:r w:rsidR="00893C5A">
        <w:rPr>
          <w:sz w:val="22"/>
          <w:szCs w:val="22"/>
        </w:rPr>
        <w:t>s</w:t>
      </w:r>
      <w:r w:rsidR="0002756D">
        <w:rPr>
          <w:sz w:val="22"/>
          <w:szCs w:val="22"/>
        </w:rPr>
        <w:t xml:space="preserve"> until a valid </w:t>
      </w:r>
      <w:r w:rsidR="00893C5A">
        <w:rPr>
          <w:sz w:val="22"/>
          <w:szCs w:val="22"/>
        </w:rPr>
        <w:t>PUMS sample is found</w:t>
      </w:r>
      <w:r w:rsidR="0002756D">
        <w:rPr>
          <w:sz w:val="22"/>
          <w:szCs w:val="22"/>
        </w:rPr>
        <w:t>.</w:t>
      </w:r>
      <w:r w:rsidR="00893C5A">
        <w:rPr>
          <w:sz w:val="22"/>
          <w:szCs w:val="22"/>
        </w:rPr>
        <w:t xml:space="preserve"> When all household attached</w:t>
      </w:r>
      <w:r w:rsidR="0002756D">
        <w:rPr>
          <w:sz w:val="22"/>
          <w:szCs w:val="22"/>
        </w:rPr>
        <w:t xml:space="preserve"> valid SERIALNO, needed PUMS variables will be joined to households. </w:t>
      </w:r>
    </w:p>
    <w:p w:rsidR="0002756D" w:rsidRPr="0002756D" w:rsidRDefault="0002756D" w:rsidP="0002756D">
      <w:pPr>
        <w:pStyle w:val="ListParagraph"/>
        <w:numPr>
          <w:ilvl w:val="0"/>
          <w:numId w:val="3"/>
        </w:numPr>
        <w:shd w:val="clear" w:color="auto" w:fill="FFFFFF"/>
        <w:spacing w:after="0" w:line="270" w:lineRule="atLeast"/>
        <w:rPr>
          <w:sz w:val="22"/>
          <w:szCs w:val="22"/>
        </w:rPr>
      </w:pPr>
      <w:r>
        <w:rPr>
          <w:sz w:val="22"/>
          <w:szCs w:val="22"/>
        </w:rPr>
        <w:t xml:space="preserve">Persons:     Similar procedure </w:t>
      </w:r>
      <w:r w:rsidR="00893C5A">
        <w:rPr>
          <w:sz w:val="22"/>
          <w:szCs w:val="22"/>
        </w:rPr>
        <w:t>was applied and p</w:t>
      </w:r>
      <w:r>
        <w:rPr>
          <w:sz w:val="22"/>
          <w:szCs w:val="22"/>
        </w:rPr>
        <w:t xml:space="preserve">redetermined attributes </w:t>
      </w:r>
      <w:r w:rsidR="00893C5A">
        <w:rPr>
          <w:sz w:val="22"/>
          <w:szCs w:val="22"/>
        </w:rPr>
        <w:t>were</w:t>
      </w:r>
      <w:r>
        <w:rPr>
          <w:sz w:val="22"/>
          <w:szCs w:val="22"/>
        </w:rPr>
        <w:t xml:space="preserve">  </w:t>
      </w:r>
      <w:r w:rsidRPr="0002756D">
        <w:rPr>
          <w:sz w:val="22"/>
          <w:szCs w:val="22"/>
        </w:rPr>
        <w:t xml:space="preserve">('county_id',  'worker',  'sex',   'race_id',  'age') </w:t>
      </w:r>
      <w:r w:rsidR="00893C5A">
        <w:rPr>
          <w:sz w:val="22"/>
          <w:szCs w:val="22"/>
        </w:rPr>
        <w:t>.</w:t>
      </w:r>
    </w:p>
    <w:p w:rsidR="001B67B9" w:rsidRPr="001B67B9" w:rsidRDefault="0002756D" w:rsidP="001B67B9">
      <w:pPr>
        <w:pStyle w:val="ListParagraph"/>
        <w:numPr>
          <w:ilvl w:val="0"/>
          <w:numId w:val="3"/>
        </w:numPr>
        <w:shd w:val="clear" w:color="auto" w:fill="FFFFFF"/>
        <w:spacing w:after="0" w:line="240" w:lineRule="atLeast"/>
        <w:rPr>
          <w:rFonts w:ascii="Consolas" w:eastAsia="Times New Roman" w:hAnsi="Consolas" w:cs="Times New Roman"/>
          <w:sz w:val="22"/>
          <w:szCs w:val="22"/>
        </w:rPr>
      </w:pPr>
      <w:r>
        <w:rPr>
          <w:sz w:val="22"/>
          <w:szCs w:val="22"/>
        </w:rPr>
        <w:t xml:space="preserve">Group quarter person:     Matching data set are model GQ persons and PUMS GQ samples. Matching </w:t>
      </w:r>
      <w:r w:rsidR="00893C5A">
        <w:rPr>
          <w:sz w:val="22"/>
          <w:szCs w:val="22"/>
        </w:rPr>
        <w:t>attributes are</w:t>
      </w:r>
      <w:r>
        <w:rPr>
          <w:sz w:val="22"/>
          <w:szCs w:val="22"/>
        </w:rPr>
        <w:t xml:space="preserve"> </w:t>
      </w:r>
      <w:r w:rsidR="001B67B9">
        <w:rPr>
          <w:sz w:val="22"/>
          <w:szCs w:val="22"/>
        </w:rPr>
        <w:t>(</w:t>
      </w:r>
      <w:r w:rsidR="001B67B9" w:rsidRPr="001B67B9">
        <w:rPr>
          <w:sz w:val="22"/>
          <w:szCs w:val="22"/>
        </w:rPr>
        <w:t>'TYPE', 'race_id', 'age', 'PUMA'</w:t>
      </w:r>
      <w:r w:rsidR="001B67B9">
        <w:rPr>
          <w:sz w:val="22"/>
          <w:szCs w:val="22"/>
        </w:rPr>
        <w:t>)</w:t>
      </w:r>
    </w:p>
    <w:p w:rsidR="0002756D" w:rsidRDefault="001B67B9" w:rsidP="0002756D">
      <w:pPr>
        <w:pStyle w:val="ListParagraph"/>
        <w:numPr>
          <w:ilvl w:val="0"/>
          <w:numId w:val="3"/>
        </w:numPr>
        <w:shd w:val="clear" w:color="auto" w:fill="FFFFFF"/>
        <w:spacing w:after="0" w:line="270" w:lineRule="atLeast"/>
        <w:rPr>
          <w:sz w:val="22"/>
          <w:szCs w:val="22"/>
        </w:rPr>
      </w:pPr>
      <w:r>
        <w:rPr>
          <w:sz w:val="22"/>
          <w:szCs w:val="22"/>
        </w:rPr>
        <w:t xml:space="preserve">Group quarter </w:t>
      </w:r>
      <w:r>
        <w:rPr>
          <w:sz w:val="22"/>
          <w:szCs w:val="22"/>
        </w:rPr>
        <w:t>households</w:t>
      </w:r>
      <w:r>
        <w:rPr>
          <w:sz w:val="22"/>
          <w:szCs w:val="22"/>
        </w:rPr>
        <w:t xml:space="preserve">: </w:t>
      </w:r>
      <w:r>
        <w:rPr>
          <w:sz w:val="22"/>
          <w:szCs w:val="22"/>
        </w:rPr>
        <w:t xml:space="preserve"> Since matched GQ persons already contain valid SERIALNO, GQ households use either existing attributes such as age, race etc or attach new information from PUMS. </w:t>
      </w:r>
      <w:r>
        <w:rPr>
          <w:sz w:val="22"/>
          <w:szCs w:val="22"/>
        </w:rPr>
        <w:t xml:space="preserve">    </w:t>
      </w:r>
    </w:p>
    <w:p w:rsidR="001B67B9" w:rsidRDefault="001B67B9" w:rsidP="001B67B9">
      <w:pPr>
        <w:pStyle w:val="ListParagraph"/>
        <w:numPr>
          <w:ilvl w:val="0"/>
          <w:numId w:val="3"/>
        </w:numPr>
        <w:shd w:val="clear" w:color="auto" w:fill="FFFFFF"/>
        <w:spacing w:after="0" w:line="270" w:lineRule="atLeast"/>
        <w:rPr>
          <w:sz w:val="22"/>
          <w:szCs w:val="22"/>
        </w:rPr>
      </w:pPr>
      <w:r>
        <w:rPr>
          <w:sz w:val="22"/>
          <w:szCs w:val="22"/>
        </w:rPr>
        <w:t>Households and GQ households, persons and GQ persons are combined to make the final demographic data.</w:t>
      </w:r>
    </w:p>
    <w:p w:rsidR="00BA5C08" w:rsidRDefault="00BA5C08" w:rsidP="001B67B9">
      <w:pPr>
        <w:shd w:val="clear" w:color="auto" w:fill="FFFFFF"/>
        <w:spacing w:after="0" w:line="270" w:lineRule="atLeast"/>
        <w:rPr>
          <w:sz w:val="22"/>
          <w:szCs w:val="22"/>
        </w:rPr>
      </w:pPr>
    </w:p>
    <w:p w:rsidR="001B67B9" w:rsidRDefault="001B67B9" w:rsidP="001B67B9">
      <w:pPr>
        <w:shd w:val="clear" w:color="auto" w:fill="FFFFFF"/>
        <w:spacing w:after="0" w:line="270" w:lineRule="atLeast"/>
        <w:rPr>
          <w:sz w:val="22"/>
          <w:szCs w:val="22"/>
        </w:rPr>
      </w:pPr>
      <w:r>
        <w:rPr>
          <w:sz w:val="22"/>
          <w:szCs w:val="22"/>
        </w:rPr>
        <w:t>The full conversion python script can be located at</w:t>
      </w:r>
    </w:p>
    <w:p w:rsidR="001B67B9" w:rsidRDefault="001B67B9" w:rsidP="001B67B9">
      <w:pPr>
        <w:shd w:val="clear" w:color="auto" w:fill="FFFFFF"/>
        <w:spacing w:after="0" w:line="270" w:lineRule="atLeast"/>
      </w:pPr>
      <w:hyperlink r:id="rId7" w:history="1">
        <w:r>
          <w:rPr>
            <w:rStyle w:val="Hyperlink"/>
          </w:rPr>
          <w:t>https://github.com/SEMCOG/SEMCOG_popsim/tree/master/urbansim_to_abm</w:t>
        </w:r>
      </w:hyperlink>
    </w:p>
    <w:p w:rsidR="001B67B9" w:rsidRDefault="001B67B9" w:rsidP="001B67B9">
      <w:pPr>
        <w:shd w:val="clear" w:color="auto" w:fill="FFFFFF"/>
        <w:spacing w:after="0" w:line="270" w:lineRule="atLeast"/>
      </w:pPr>
    </w:p>
    <w:p w:rsidR="001B67B9" w:rsidRDefault="001B67B9" w:rsidP="001B67B9">
      <w:pPr>
        <w:shd w:val="clear" w:color="auto" w:fill="FFFFFF"/>
        <w:spacing w:after="0" w:line="270" w:lineRule="atLeast"/>
      </w:pPr>
    </w:p>
    <w:p w:rsidR="00BA5C08" w:rsidRDefault="00BA5C08" w:rsidP="001B67B9">
      <w:pPr>
        <w:shd w:val="clear" w:color="auto" w:fill="FFFFFF"/>
        <w:spacing w:after="0" w:line="270" w:lineRule="atLeast"/>
      </w:pPr>
    </w:p>
    <w:p w:rsidR="001B67B9" w:rsidRPr="001B67B9" w:rsidRDefault="001B67B9" w:rsidP="001B67B9">
      <w:pPr>
        <w:rPr>
          <w:rFonts w:ascii="Times New Roman" w:hAnsi="Times New Roman" w:cs="Times New Roman"/>
          <w:b/>
          <w:sz w:val="24"/>
          <w:szCs w:val="24"/>
        </w:rPr>
      </w:pPr>
      <w:r w:rsidRPr="001B67B9">
        <w:rPr>
          <w:rFonts w:ascii="Times New Roman" w:hAnsi="Times New Roman" w:cs="Times New Roman"/>
          <w:b/>
          <w:sz w:val="24"/>
          <w:szCs w:val="24"/>
        </w:rPr>
        <w:t>Post-process for ABM (Optional)</w:t>
      </w:r>
    </w:p>
    <w:p w:rsidR="008C653B" w:rsidRPr="008C653B" w:rsidRDefault="00FB665A" w:rsidP="008C653B">
      <w:pPr>
        <w:shd w:val="clear" w:color="auto" w:fill="FFFFFF"/>
        <w:spacing w:after="0" w:line="270" w:lineRule="atLeast"/>
        <w:rPr>
          <w:sz w:val="22"/>
          <w:szCs w:val="22"/>
        </w:rPr>
      </w:pPr>
      <w:r>
        <w:rPr>
          <w:sz w:val="22"/>
          <w:szCs w:val="22"/>
        </w:rPr>
        <w:t>Final section of the program converts PUMS variable to direct input variables in ABM.  Here are some special notes helpful in the process</w:t>
      </w:r>
      <w:bookmarkStart w:id="0" w:name="_GoBack"/>
      <w:bookmarkEnd w:id="0"/>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Notes from RSG: Logics to convert PUMS data to ABM inputs</w:t>
      </w:r>
    </w:p>
    <w:p w:rsidR="008C653B" w:rsidRPr="008C653B" w:rsidRDefault="008C653B" w:rsidP="008C653B">
      <w:pPr>
        <w:shd w:val="clear" w:color="auto" w:fill="FFFFFF"/>
        <w:spacing w:after="0" w:line="270" w:lineRule="atLeast"/>
        <w:rPr>
          <w:sz w:val="22"/>
          <w:szCs w:val="22"/>
        </w:rPr>
      </w:pPr>
      <w:r w:rsidRPr="008C653B">
        <w:rPr>
          <w:sz w:val="22"/>
          <w:szCs w:val="22"/>
        </w:rPr>
        <w:t>Household attributes:</w:t>
      </w:r>
    </w:p>
    <w:p w:rsidR="008C653B" w:rsidRPr="008C653B" w:rsidRDefault="008C653B" w:rsidP="008C653B">
      <w:pPr>
        <w:shd w:val="clear" w:color="auto" w:fill="FFFFFF"/>
        <w:spacing w:after="0" w:line="270" w:lineRule="atLeast"/>
        <w:rPr>
          <w:sz w:val="22"/>
          <w:szCs w:val="22"/>
        </w:rPr>
      </w:pPr>
      <w:r w:rsidRPr="008C653B">
        <w:rPr>
          <w:sz w:val="22"/>
          <w:szCs w:val="22"/>
        </w:rPr>
        <w:t>1.</w:t>
      </w:r>
      <w:r w:rsidRPr="008C653B">
        <w:rPr>
          <w:sz w:val="22"/>
          <w:szCs w:val="22"/>
        </w:rPr>
        <w:tab/>
        <w:t>Hworkers: Yes, this is number of workers in the household based on each member’s Employment Status Recode (ESR). ESR is defined in PUMS as follows:</w:t>
      </w:r>
    </w:p>
    <w:p w:rsidR="008C653B" w:rsidRPr="008C653B" w:rsidRDefault="008C653B" w:rsidP="008C653B">
      <w:pPr>
        <w:shd w:val="clear" w:color="auto" w:fill="FFFFFF"/>
        <w:spacing w:after="0" w:line="270" w:lineRule="atLeast"/>
        <w:rPr>
          <w:sz w:val="22"/>
          <w:szCs w:val="22"/>
        </w:rPr>
      </w:pPr>
      <w:r w:rsidRPr="008C653B">
        <w:rPr>
          <w:sz w:val="22"/>
          <w:szCs w:val="22"/>
        </w:rPr>
        <w:lastRenderedPageBreak/>
        <w:t>Members with ESR as 1, 2, 4 and 5 are counted as workers</w:t>
      </w:r>
    </w:p>
    <w:p w:rsidR="008C653B" w:rsidRPr="008C653B" w:rsidRDefault="008C653B" w:rsidP="008C653B">
      <w:pPr>
        <w:shd w:val="clear" w:color="auto" w:fill="FFFFFF"/>
        <w:spacing w:after="0" w:line="270" w:lineRule="atLeast"/>
        <w:rPr>
          <w:sz w:val="22"/>
          <w:szCs w:val="22"/>
        </w:rPr>
      </w:pPr>
      <w:r w:rsidRPr="008C653B">
        <w:rPr>
          <w:sz w:val="22"/>
          <w:szCs w:val="22"/>
        </w:rPr>
        <w:t>2.</w:t>
      </w:r>
      <w:r w:rsidRPr="008C653B">
        <w:rPr>
          <w:sz w:val="22"/>
          <w:szCs w:val="22"/>
        </w:rPr>
        <w:tab/>
        <w:t>HHT: Yes, this is the original PUMS field – Household/family type</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Person Type (ptype):</w:t>
      </w:r>
    </w:p>
    <w:p w:rsidR="008C653B" w:rsidRPr="008C653B" w:rsidRDefault="008C653B" w:rsidP="008C653B">
      <w:pPr>
        <w:shd w:val="clear" w:color="auto" w:fill="FFFFFF"/>
        <w:spacing w:after="0" w:line="270" w:lineRule="atLeast"/>
        <w:rPr>
          <w:sz w:val="22"/>
          <w:szCs w:val="22"/>
        </w:rPr>
      </w:pPr>
      <w:r w:rsidRPr="008C653B">
        <w:rPr>
          <w:sz w:val="22"/>
          <w:szCs w:val="22"/>
        </w:rPr>
        <w:t>1.</w:t>
      </w:r>
      <w:r w:rsidRPr="008C653B">
        <w:rPr>
          <w:sz w:val="22"/>
          <w:szCs w:val="22"/>
        </w:rPr>
        <w:tab/>
        <w:t>The ptype code is defined using the following PUMS person-level variables:</w:t>
      </w:r>
    </w:p>
    <w:p w:rsidR="008C653B" w:rsidRPr="008C653B" w:rsidRDefault="008C653B" w:rsidP="008C653B">
      <w:pPr>
        <w:shd w:val="clear" w:color="auto" w:fill="FFFFFF"/>
        <w:spacing w:after="0" w:line="270" w:lineRule="atLeast"/>
        <w:rPr>
          <w:sz w:val="22"/>
          <w:szCs w:val="22"/>
        </w:rPr>
      </w:pPr>
      <w:r w:rsidRPr="008C653B">
        <w:rPr>
          <w:sz w:val="22"/>
          <w:szCs w:val="22"/>
        </w:rPr>
        <w:t>a.</w:t>
      </w:r>
      <w:r w:rsidRPr="008C653B">
        <w:rPr>
          <w:sz w:val="22"/>
          <w:szCs w:val="22"/>
        </w:rPr>
        <w:tab/>
        <w:t>ESR: Employment Status Recode (ESR)</w:t>
      </w:r>
    </w:p>
    <w:p w:rsidR="008C653B" w:rsidRPr="008C653B" w:rsidRDefault="008C653B" w:rsidP="008C653B">
      <w:pPr>
        <w:shd w:val="clear" w:color="auto" w:fill="FFFFFF"/>
        <w:spacing w:after="0" w:line="270" w:lineRule="atLeast"/>
        <w:rPr>
          <w:sz w:val="22"/>
          <w:szCs w:val="22"/>
        </w:rPr>
      </w:pPr>
      <w:r w:rsidRPr="008C653B">
        <w:rPr>
          <w:sz w:val="22"/>
          <w:szCs w:val="22"/>
        </w:rPr>
        <w:t>b.</w:t>
      </w:r>
      <w:r w:rsidRPr="008C653B">
        <w:rPr>
          <w:sz w:val="22"/>
          <w:szCs w:val="22"/>
        </w:rPr>
        <w:tab/>
        <w:t>WKHP: Usual hours worked per week past 12 months</w:t>
      </w:r>
    </w:p>
    <w:p w:rsidR="008C653B" w:rsidRPr="008C653B" w:rsidRDefault="008C653B" w:rsidP="008C653B">
      <w:pPr>
        <w:shd w:val="clear" w:color="auto" w:fill="FFFFFF"/>
        <w:spacing w:after="0" w:line="270" w:lineRule="atLeast"/>
        <w:rPr>
          <w:sz w:val="22"/>
          <w:szCs w:val="22"/>
        </w:rPr>
      </w:pPr>
      <w:r w:rsidRPr="008C653B">
        <w:rPr>
          <w:sz w:val="22"/>
          <w:szCs w:val="22"/>
        </w:rPr>
        <w:t>c.</w:t>
      </w:r>
      <w:r w:rsidRPr="008C653B">
        <w:rPr>
          <w:sz w:val="22"/>
          <w:szCs w:val="22"/>
        </w:rPr>
        <w:tab/>
        <w:t>WKW: Weeks worked during past 12 months</w:t>
      </w:r>
    </w:p>
    <w:p w:rsidR="008C653B" w:rsidRPr="008C653B" w:rsidRDefault="008C653B" w:rsidP="008C653B">
      <w:pPr>
        <w:shd w:val="clear" w:color="auto" w:fill="FFFFFF"/>
        <w:spacing w:after="0" w:line="270" w:lineRule="atLeast"/>
        <w:rPr>
          <w:sz w:val="22"/>
          <w:szCs w:val="22"/>
        </w:rPr>
      </w:pPr>
      <w:r w:rsidRPr="008C653B">
        <w:rPr>
          <w:sz w:val="22"/>
          <w:szCs w:val="22"/>
        </w:rPr>
        <w:t>d.</w:t>
      </w:r>
      <w:r w:rsidRPr="008C653B">
        <w:rPr>
          <w:sz w:val="22"/>
          <w:szCs w:val="22"/>
        </w:rPr>
        <w:tab/>
        <w:t>SCHG: Grade level attending</w:t>
      </w:r>
    </w:p>
    <w:p w:rsidR="008C653B" w:rsidRPr="008C653B" w:rsidRDefault="008C653B" w:rsidP="008C653B">
      <w:pPr>
        <w:shd w:val="clear" w:color="auto" w:fill="FFFFFF"/>
        <w:spacing w:after="0" w:line="270" w:lineRule="atLeast"/>
        <w:rPr>
          <w:sz w:val="22"/>
          <w:szCs w:val="22"/>
        </w:rPr>
      </w:pPr>
      <w:r w:rsidRPr="008C653B">
        <w:rPr>
          <w:sz w:val="22"/>
          <w:szCs w:val="22"/>
        </w:rPr>
        <w:t>e.</w:t>
      </w:r>
      <w:r w:rsidRPr="008C653B">
        <w:rPr>
          <w:sz w:val="22"/>
          <w:szCs w:val="22"/>
        </w:rPr>
        <w:tab/>
        <w:t>AGEP: Age</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2.</w:t>
      </w:r>
      <w:r w:rsidRPr="008C653B">
        <w:rPr>
          <w:sz w:val="22"/>
          <w:szCs w:val="22"/>
        </w:rPr>
        <w:tab/>
        <w:t>The person type is derived from person’s age, employment status (pemploy) and student status (pstudent).</w:t>
      </w:r>
    </w:p>
    <w:p w:rsidR="008C653B" w:rsidRPr="008C653B" w:rsidRDefault="008C653B" w:rsidP="008C653B">
      <w:pPr>
        <w:shd w:val="clear" w:color="auto" w:fill="FFFFFF"/>
        <w:spacing w:after="0" w:line="270" w:lineRule="atLeast"/>
        <w:rPr>
          <w:sz w:val="22"/>
          <w:szCs w:val="22"/>
        </w:rPr>
      </w:pPr>
      <w:r w:rsidRPr="008C653B">
        <w:rPr>
          <w:sz w:val="22"/>
          <w:szCs w:val="22"/>
        </w:rPr>
        <w:t>3.</w:t>
      </w:r>
      <w:r w:rsidRPr="008C653B">
        <w:rPr>
          <w:sz w:val="22"/>
          <w:szCs w:val="22"/>
        </w:rPr>
        <w:tab/>
        <w:t>The employment status is derived from ESR, WKHP, WKW and Age</w:t>
      </w:r>
    </w:p>
    <w:p w:rsidR="008C653B" w:rsidRPr="008C653B" w:rsidRDefault="008C653B" w:rsidP="008C653B">
      <w:pPr>
        <w:shd w:val="clear" w:color="auto" w:fill="FFFFFF"/>
        <w:spacing w:after="0" w:line="270" w:lineRule="atLeast"/>
        <w:rPr>
          <w:sz w:val="22"/>
          <w:szCs w:val="22"/>
        </w:rPr>
      </w:pPr>
      <w:r w:rsidRPr="008C653B">
        <w:rPr>
          <w:sz w:val="22"/>
          <w:szCs w:val="22"/>
        </w:rPr>
        <w:t>4.</w:t>
      </w:r>
      <w:r w:rsidRPr="008C653B">
        <w:rPr>
          <w:sz w:val="22"/>
          <w:szCs w:val="22"/>
        </w:rPr>
        <w:tab/>
        <w:t>The student status is derived from SCHG, Age and employment status</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As long as we have ESR, WKHP, WKW, SCHG and AGEP in the person file, employment status, student status and person type can be derived.</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We have documented the person type coding process for ODOT. Please follow this link for a  detailed description of person type coding logic: https://github.com/RSGInc/SOABM/wiki/Person-Type-Coding-in-SOABM</w:t>
      </w:r>
    </w:p>
    <w:p w:rsidR="008C653B" w:rsidRPr="008C653B" w:rsidRDefault="008C653B" w:rsidP="008C653B">
      <w:pPr>
        <w:shd w:val="clear" w:color="auto" w:fill="FFFFFF"/>
        <w:spacing w:after="0" w:line="270" w:lineRule="atLeast"/>
        <w:rPr>
          <w:sz w:val="22"/>
          <w:szCs w:val="22"/>
        </w:rPr>
      </w:pPr>
      <w:r w:rsidRPr="008C653B">
        <w:rPr>
          <w:sz w:val="22"/>
          <w:szCs w:val="22"/>
        </w:rPr>
        <w:t>----------------------------------------------------------------------------</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 xml:space="preserve">Additional notes by SEMCOG: </w:t>
      </w:r>
    </w:p>
    <w:p w:rsidR="008C653B" w:rsidRPr="008C653B" w:rsidRDefault="008C653B" w:rsidP="008C653B">
      <w:pPr>
        <w:shd w:val="clear" w:color="auto" w:fill="FFFFFF"/>
        <w:spacing w:after="0" w:line="270" w:lineRule="atLeast"/>
        <w:rPr>
          <w:sz w:val="22"/>
          <w:szCs w:val="22"/>
        </w:rPr>
      </w:pPr>
      <w:r w:rsidRPr="008C653B">
        <w:rPr>
          <w:sz w:val="22"/>
          <w:szCs w:val="22"/>
        </w:rPr>
        <w:t>Workers: ABM definition is different from REMI (based on labor force)</w:t>
      </w:r>
    </w:p>
    <w:p w:rsidR="008C653B" w:rsidRPr="008C653B" w:rsidRDefault="008C653B" w:rsidP="008C653B">
      <w:pPr>
        <w:shd w:val="clear" w:color="auto" w:fill="FFFFFF"/>
        <w:spacing w:after="0" w:line="270" w:lineRule="atLeast"/>
        <w:rPr>
          <w:sz w:val="22"/>
          <w:szCs w:val="22"/>
        </w:rPr>
      </w:pPr>
      <w:r w:rsidRPr="008C653B">
        <w:rPr>
          <w:sz w:val="22"/>
          <w:szCs w:val="22"/>
        </w:rPr>
        <w:t>ABM worker: ESR category 1,2,4,5</w:t>
      </w:r>
    </w:p>
    <w:p w:rsidR="008C653B" w:rsidRPr="008C653B" w:rsidRDefault="008C653B" w:rsidP="008C653B">
      <w:pPr>
        <w:shd w:val="clear" w:color="auto" w:fill="FFFFFF"/>
        <w:spacing w:after="0" w:line="270" w:lineRule="atLeast"/>
        <w:rPr>
          <w:sz w:val="22"/>
          <w:szCs w:val="22"/>
        </w:rPr>
      </w:pPr>
      <w:r w:rsidRPr="008C653B">
        <w:rPr>
          <w:sz w:val="22"/>
          <w:szCs w:val="22"/>
        </w:rPr>
        <w:t>REMI worker: ESR category 1,2,3,4,5</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SCHG: PUMS defintion changes over year. RSG version is different from 2015, See below</w:t>
      </w:r>
    </w:p>
    <w:p w:rsidR="008C653B" w:rsidRPr="008C653B" w:rsidRDefault="008C653B" w:rsidP="008C653B">
      <w:pPr>
        <w:shd w:val="clear" w:color="auto" w:fill="FFFFFF"/>
        <w:spacing w:after="0" w:line="270" w:lineRule="atLeast"/>
        <w:rPr>
          <w:sz w:val="22"/>
          <w:szCs w:val="22"/>
        </w:rPr>
      </w:pPr>
      <w:r w:rsidRPr="008C653B">
        <w:rPr>
          <w:sz w:val="22"/>
          <w:szCs w:val="22"/>
        </w:rPr>
        <w:t>SCHG https://github.com/RSGInc/SOABM/wiki/Person-Type-Coding-in-SOABM</w:t>
      </w:r>
    </w:p>
    <w:p w:rsidR="008C653B" w:rsidRPr="008C653B" w:rsidRDefault="008C653B" w:rsidP="008C653B">
      <w:pPr>
        <w:shd w:val="clear" w:color="auto" w:fill="FFFFFF"/>
        <w:spacing w:after="0" w:line="270" w:lineRule="atLeast"/>
        <w:rPr>
          <w:sz w:val="22"/>
          <w:szCs w:val="22"/>
        </w:rPr>
      </w:pPr>
      <w:r w:rsidRPr="008C653B">
        <w:rPr>
          <w:sz w:val="22"/>
          <w:szCs w:val="22"/>
        </w:rPr>
        <w:t>Grade level attending</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b .N/A (not attending school)</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 .Nursery school/preschool</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2 .Kindergarten</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3 .Grade 1 to grade 4</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4 .Grade 5 to grade 8</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5 .Grade 9 to grade 12</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6 .College undergraduate</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7 .Graduate or professional school</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r w:rsidRPr="008C653B">
        <w:rPr>
          <w:sz w:val="22"/>
          <w:szCs w:val="22"/>
        </w:rPr>
        <w:t>SCHG (2015 PUMS variable codes, SEMCOG model base year data)</w:t>
      </w:r>
    </w:p>
    <w:p w:rsidR="008C653B" w:rsidRPr="008C653B" w:rsidRDefault="008C653B" w:rsidP="008C653B">
      <w:pPr>
        <w:shd w:val="clear" w:color="auto" w:fill="FFFFFF"/>
        <w:spacing w:after="0" w:line="270" w:lineRule="atLeast"/>
        <w:rPr>
          <w:sz w:val="22"/>
          <w:szCs w:val="22"/>
        </w:rPr>
      </w:pPr>
      <w:r w:rsidRPr="008C653B">
        <w:rPr>
          <w:sz w:val="22"/>
          <w:szCs w:val="22"/>
        </w:rPr>
        <w:t>Grade level attending</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bb .N/A (not attending school)</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01 .Nursery school/preschool</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02 .Kindergarten</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03 .Grade 1</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04 .Grade 2</w:t>
      </w:r>
    </w:p>
    <w:p w:rsidR="008C653B" w:rsidRPr="008C653B" w:rsidRDefault="008C653B" w:rsidP="008C653B">
      <w:pPr>
        <w:shd w:val="clear" w:color="auto" w:fill="FFFFFF"/>
        <w:spacing w:after="0" w:line="270" w:lineRule="atLeast"/>
        <w:rPr>
          <w:sz w:val="22"/>
          <w:szCs w:val="22"/>
        </w:rPr>
      </w:pPr>
      <w:r w:rsidRPr="008C653B">
        <w:rPr>
          <w:sz w:val="22"/>
          <w:szCs w:val="22"/>
        </w:rPr>
        <w:lastRenderedPageBreak/>
        <w:t xml:space="preserve">    05 .Grade 3</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06 .Grade 4</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07 .Grade 5</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08 .Grade 6</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09 .Grade 7</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10 .Grade 8</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11 .Grade 9</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12 .Grade 10</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13 .Grade 11</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14 .Grade 12</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15 .College undergraduate years (freshman to senior)</w:t>
      </w:r>
    </w:p>
    <w:p w:rsidR="008C653B" w:rsidRPr="008C653B" w:rsidRDefault="008C653B" w:rsidP="008C653B">
      <w:pPr>
        <w:shd w:val="clear" w:color="auto" w:fill="FFFFFF"/>
        <w:spacing w:after="0" w:line="270" w:lineRule="atLeast"/>
        <w:rPr>
          <w:sz w:val="22"/>
          <w:szCs w:val="22"/>
        </w:rPr>
      </w:pPr>
      <w:r w:rsidRPr="008C653B">
        <w:rPr>
          <w:sz w:val="22"/>
          <w:szCs w:val="22"/>
        </w:rPr>
        <w:t xml:space="preserve">    16 .Graduate or professional school beyond a bachelor's degree</w:t>
      </w:r>
    </w:p>
    <w:p w:rsidR="008C653B" w:rsidRPr="008C653B" w:rsidRDefault="008C653B" w:rsidP="008C653B">
      <w:pPr>
        <w:shd w:val="clear" w:color="auto" w:fill="FFFFFF"/>
        <w:spacing w:after="0" w:line="270" w:lineRule="atLeast"/>
        <w:rPr>
          <w:sz w:val="22"/>
          <w:szCs w:val="22"/>
        </w:rPr>
      </w:pPr>
    </w:p>
    <w:p w:rsidR="008C653B" w:rsidRPr="008C653B" w:rsidRDefault="008C653B" w:rsidP="008C653B">
      <w:pPr>
        <w:shd w:val="clear" w:color="auto" w:fill="FFFFFF"/>
        <w:spacing w:after="0" w:line="270" w:lineRule="atLeast"/>
        <w:rPr>
          <w:sz w:val="22"/>
          <w:szCs w:val="22"/>
        </w:rPr>
      </w:pPr>
    </w:p>
    <w:sectPr w:rsidR="008C653B" w:rsidRPr="008C6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97A56"/>
    <w:multiLevelType w:val="hybridMultilevel"/>
    <w:tmpl w:val="1B54A7B0"/>
    <w:lvl w:ilvl="0" w:tplc="814A972C">
      <w:start w:val="20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760ED"/>
    <w:multiLevelType w:val="hybridMultilevel"/>
    <w:tmpl w:val="BBF6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2359AF"/>
    <w:multiLevelType w:val="hybridMultilevel"/>
    <w:tmpl w:val="6838B818"/>
    <w:lvl w:ilvl="0" w:tplc="5F14DB58">
      <w:start w:val="20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494"/>
    <w:rsid w:val="0002756D"/>
    <w:rsid w:val="000650D8"/>
    <w:rsid w:val="001B67B9"/>
    <w:rsid w:val="002B1E91"/>
    <w:rsid w:val="00333C95"/>
    <w:rsid w:val="003E1494"/>
    <w:rsid w:val="00420956"/>
    <w:rsid w:val="004877A7"/>
    <w:rsid w:val="00497662"/>
    <w:rsid w:val="004A692E"/>
    <w:rsid w:val="00514C1D"/>
    <w:rsid w:val="007509D6"/>
    <w:rsid w:val="007B1E14"/>
    <w:rsid w:val="00884F03"/>
    <w:rsid w:val="00893C5A"/>
    <w:rsid w:val="008C653B"/>
    <w:rsid w:val="008F74D4"/>
    <w:rsid w:val="009056F2"/>
    <w:rsid w:val="00B0208D"/>
    <w:rsid w:val="00B64D45"/>
    <w:rsid w:val="00BA5C08"/>
    <w:rsid w:val="00BB4040"/>
    <w:rsid w:val="00D62A14"/>
    <w:rsid w:val="00D63D49"/>
    <w:rsid w:val="00ED6522"/>
    <w:rsid w:val="00FB6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843E"/>
  <w15:chartTrackingRefBased/>
  <w15:docId w15:val="{9EC79EEF-69DC-4212-95E5-EED1647F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494"/>
  </w:style>
  <w:style w:type="paragraph" w:styleId="Heading1">
    <w:name w:val="heading 1"/>
    <w:basedOn w:val="Normal"/>
    <w:next w:val="Normal"/>
    <w:link w:val="Heading1Char"/>
    <w:uiPriority w:val="9"/>
    <w:qFormat/>
    <w:rsid w:val="003E149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E149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E149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E149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E149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E149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E149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E149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E149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49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E149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E149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E149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E149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E149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E149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E149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E149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E1494"/>
    <w:pPr>
      <w:spacing w:line="240" w:lineRule="auto"/>
    </w:pPr>
    <w:rPr>
      <w:b/>
      <w:bCs/>
      <w:smallCaps/>
      <w:color w:val="595959" w:themeColor="text1" w:themeTint="A6"/>
    </w:rPr>
  </w:style>
  <w:style w:type="paragraph" w:styleId="Title">
    <w:name w:val="Title"/>
    <w:basedOn w:val="Normal"/>
    <w:next w:val="Normal"/>
    <w:link w:val="TitleChar"/>
    <w:uiPriority w:val="10"/>
    <w:qFormat/>
    <w:rsid w:val="003E149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E149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E149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E1494"/>
    <w:rPr>
      <w:rFonts w:asciiTheme="majorHAnsi" w:eastAsiaTheme="majorEastAsia" w:hAnsiTheme="majorHAnsi" w:cstheme="majorBidi"/>
      <w:sz w:val="30"/>
      <w:szCs w:val="30"/>
    </w:rPr>
  </w:style>
  <w:style w:type="character" w:styleId="Strong">
    <w:name w:val="Strong"/>
    <w:basedOn w:val="DefaultParagraphFont"/>
    <w:uiPriority w:val="22"/>
    <w:qFormat/>
    <w:rsid w:val="003E1494"/>
    <w:rPr>
      <w:b/>
      <w:bCs/>
    </w:rPr>
  </w:style>
  <w:style w:type="character" w:styleId="Emphasis">
    <w:name w:val="Emphasis"/>
    <w:basedOn w:val="DefaultParagraphFont"/>
    <w:uiPriority w:val="20"/>
    <w:qFormat/>
    <w:rsid w:val="003E1494"/>
    <w:rPr>
      <w:i/>
      <w:iCs/>
      <w:color w:val="70AD47" w:themeColor="accent6"/>
    </w:rPr>
  </w:style>
  <w:style w:type="paragraph" w:styleId="NoSpacing">
    <w:name w:val="No Spacing"/>
    <w:uiPriority w:val="1"/>
    <w:qFormat/>
    <w:rsid w:val="003E1494"/>
    <w:pPr>
      <w:spacing w:after="0" w:line="240" w:lineRule="auto"/>
    </w:pPr>
  </w:style>
  <w:style w:type="paragraph" w:styleId="Quote">
    <w:name w:val="Quote"/>
    <w:basedOn w:val="Normal"/>
    <w:next w:val="Normal"/>
    <w:link w:val="QuoteChar"/>
    <w:uiPriority w:val="29"/>
    <w:qFormat/>
    <w:rsid w:val="003E149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E1494"/>
    <w:rPr>
      <w:i/>
      <w:iCs/>
      <w:color w:val="262626" w:themeColor="text1" w:themeTint="D9"/>
    </w:rPr>
  </w:style>
  <w:style w:type="paragraph" w:styleId="IntenseQuote">
    <w:name w:val="Intense Quote"/>
    <w:basedOn w:val="Normal"/>
    <w:next w:val="Normal"/>
    <w:link w:val="IntenseQuoteChar"/>
    <w:uiPriority w:val="30"/>
    <w:qFormat/>
    <w:rsid w:val="003E149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E149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E1494"/>
    <w:rPr>
      <w:i/>
      <w:iCs/>
    </w:rPr>
  </w:style>
  <w:style w:type="character" w:styleId="IntenseEmphasis">
    <w:name w:val="Intense Emphasis"/>
    <w:basedOn w:val="DefaultParagraphFont"/>
    <w:uiPriority w:val="21"/>
    <w:qFormat/>
    <w:rsid w:val="003E1494"/>
    <w:rPr>
      <w:b/>
      <w:bCs/>
      <w:i/>
      <w:iCs/>
    </w:rPr>
  </w:style>
  <w:style w:type="character" w:styleId="SubtleReference">
    <w:name w:val="Subtle Reference"/>
    <w:basedOn w:val="DefaultParagraphFont"/>
    <w:uiPriority w:val="31"/>
    <w:qFormat/>
    <w:rsid w:val="003E1494"/>
    <w:rPr>
      <w:smallCaps/>
      <w:color w:val="595959" w:themeColor="text1" w:themeTint="A6"/>
    </w:rPr>
  </w:style>
  <w:style w:type="character" w:styleId="IntenseReference">
    <w:name w:val="Intense Reference"/>
    <w:basedOn w:val="DefaultParagraphFont"/>
    <w:uiPriority w:val="32"/>
    <w:qFormat/>
    <w:rsid w:val="003E1494"/>
    <w:rPr>
      <w:b/>
      <w:bCs/>
      <w:smallCaps/>
      <w:color w:val="70AD47" w:themeColor="accent6"/>
    </w:rPr>
  </w:style>
  <w:style w:type="character" w:styleId="BookTitle">
    <w:name w:val="Book Title"/>
    <w:basedOn w:val="DefaultParagraphFont"/>
    <w:uiPriority w:val="33"/>
    <w:qFormat/>
    <w:rsid w:val="003E1494"/>
    <w:rPr>
      <w:b/>
      <w:bCs/>
      <w:caps w:val="0"/>
      <w:smallCaps/>
      <w:spacing w:val="7"/>
      <w:sz w:val="21"/>
      <w:szCs w:val="21"/>
    </w:rPr>
  </w:style>
  <w:style w:type="paragraph" w:styleId="TOCHeading">
    <w:name w:val="TOC Heading"/>
    <w:basedOn w:val="Heading1"/>
    <w:next w:val="Normal"/>
    <w:uiPriority w:val="39"/>
    <w:semiHidden/>
    <w:unhideWhenUsed/>
    <w:qFormat/>
    <w:rsid w:val="003E1494"/>
    <w:pPr>
      <w:outlineLvl w:val="9"/>
    </w:pPr>
  </w:style>
  <w:style w:type="character" w:styleId="Hyperlink">
    <w:name w:val="Hyperlink"/>
    <w:basedOn w:val="DefaultParagraphFont"/>
    <w:uiPriority w:val="99"/>
    <w:unhideWhenUsed/>
    <w:rsid w:val="008C653B"/>
    <w:rPr>
      <w:color w:val="0000FF"/>
      <w:u w:val="single"/>
    </w:rPr>
  </w:style>
  <w:style w:type="paragraph" w:styleId="HTMLPreformatted">
    <w:name w:val="HTML Preformatted"/>
    <w:basedOn w:val="Normal"/>
    <w:link w:val="HTMLPreformattedChar"/>
    <w:uiPriority w:val="99"/>
    <w:unhideWhenUsed/>
    <w:rsid w:val="00B02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208D"/>
    <w:rPr>
      <w:rFonts w:ascii="Courier New" w:eastAsia="Times New Roman" w:hAnsi="Courier New" w:cs="Courier New"/>
      <w:sz w:val="20"/>
      <w:szCs w:val="20"/>
    </w:rPr>
  </w:style>
  <w:style w:type="paragraph" w:styleId="ListParagraph">
    <w:name w:val="List Paragraph"/>
    <w:basedOn w:val="Normal"/>
    <w:uiPriority w:val="34"/>
    <w:qFormat/>
    <w:rsid w:val="00D62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4299">
      <w:bodyDiv w:val="1"/>
      <w:marLeft w:val="0"/>
      <w:marRight w:val="0"/>
      <w:marTop w:val="0"/>
      <w:marBottom w:val="0"/>
      <w:divBdr>
        <w:top w:val="none" w:sz="0" w:space="0" w:color="auto"/>
        <w:left w:val="none" w:sz="0" w:space="0" w:color="auto"/>
        <w:bottom w:val="none" w:sz="0" w:space="0" w:color="auto"/>
        <w:right w:val="none" w:sz="0" w:space="0" w:color="auto"/>
      </w:divBdr>
      <w:divsChild>
        <w:div w:id="406538085">
          <w:marLeft w:val="0"/>
          <w:marRight w:val="0"/>
          <w:marTop w:val="0"/>
          <w:marBottom w:val="0"/>
          <w:divBdr>
            <w:top w:val="none" w:sz="0" w:space="0" w:color="auto"/>
            <w:left w:val="none" w:sz="0" w:space="0" w:color="auto"/>
            <w:bottom w:val="none" w:sz="0" w:space="0" w:color="auto"/>
            <w:right w:val="none" w:sz="0" w:space="0" w:color="auto"/>
          </w:divBdr>
          <w:divsChild>
            <w:div w:id="14358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108">
      <w:bodyDiv w:val="1"/>
      <w:marLeft w:val="0"/>
      <w:marRight w:val="0"/>
      <w:marTop w:val="0"/>
      <w:marBottom w:val="0"/>
      <w:divBdr>
        <w:top w:val="none" w:sz="0" w:space="0" w:color="auto"/>
        <w:left w:val="none" w:sz="0" w:space="0" w:color="auto"/>
        <w:bottom w:val="none" w:sz="0" w:space="0" w:color="auto"/>
        <w:right w:val="none" w:sz="0" w:space="0" w:color="auto"/>
      </w:divBdr>
    </w:div>
    <w:div w:id="322393860">
      <w:bodyDiv w:val="1"/>
      <w:marLeft w:val="0"/>
      <w:marRight w:val="0"/>
      <w:marTop w:val="0"/>
      <w:marBottom w:val="0"/>
      <w:divBdr>
        <w:top w:val="none" w:sz="0" w:space="0" w:color="auto"/>
        <w:left w:val="none" w:sz="0" w:space="0" w:color="auto"/>
        <w:bottom w:val="none" w:sz="0" w:space="0" w:color="auto"/>
        <w:right w:val="none" w:sz="0" w:space="0" w:color="auto"/>
      </w:divBdr>
    </w:div>
    <w:div w:id="396169000">
      <w:bodyDiv w:val="1"/>
      <w:marLeft w:val="0"/>
      <w:marRight w:val="0"/>
      <w:marTop w:val="0"/>
      <w:marBottom w:val="0"/>
      <w:divBdr>
        <w:top w:val="none" w:sz="0" w:space="0" w:color="auto"/>
        <w:left w:val="none" w:sz="0" w:space="0" w:color="auto"/>
        <w:bottom w:val="none" w:sz="0" w:space="0" w:color="auto"/>
        <w:right w:val="none" w:sz="0" w:space="0" w:color="auto"/>
      </w:divBdr>
      <w:divsChild>
        <w:div w:id="300621610">
          <w:marLeft w:val="0"/>
          <w:marRight w:val="0"/>
          <w:marTop w:val="0"/>
          <w:marBottom w:val="0"/>
          <w:divBdr>
            <w:top w:val="none" w:sz="0" w:space="0" w:color="auto"/>
            <w:left w:val="none" w:sz="0" w:space="0" w:color="auto"/>
            <w:bottom w:val="none" w:sz="0" w:space="0" w:color="auto"/>
            <w:right w:val="none" w:sz="0" w:space="0" w:color="auto"/>
          </w:divBdr>
          <w:divsChild>
            <w:div w:id="3047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19989">
      <w:bodyDiv w:val="1"/>
      <w:marLeft w:val="0"/>
      <w:marRight w:val="0"/>
      <w:marTop w:val="0"/>
      <w:marBottom w:val="0"/>
      <w:divBdr>
        <w:top w:val="none" w:sz="0" w:space="0" w:color="auto"/>
        <w:left w:val="none" w:sz="0" w:space="0" w:color="auto"/>
        <w:bottom w:val="none" w:sz="0" w:space="0" w:color="auto"/>
        <w:right w:val="none" w:sz="0" w:space="0" w:color="auto"/>
      </w:divBdr>
    </w:div>
    <w:div w:id="551308498">
      <w:bodyDiv w:val="1"/>
      <w:marLeft w:val="0"/>
      <w:marRight w:val="0"/>
      <w:marTop w:val="0"/>
      <w:marBottom w:val="0"/>
      <w:divBdr>
        <w:top w:val="none" w:sz="0" w:space="0" w:color="auto"/>
        <w:left w:val="none" w:sz="0" w:space="0" w:color="auto"/>
        <w:bottom w:val="none" w:sz="0" w:space="0" w:color="auto"/>
        <w:right w:val="none" w:sz="0" w:space="0" w:color="auto"/>
      </w:divBdr>
    </w:div>
    <w:div w:id="655844039">
      <w:bodyDiv w:val="1"/>
      <w:marLeft w:val="0"/>
      <w:marRight w:val="0"/>
      <w:marTop w:val="0"/>
      <w:marBottom w:val="0"/>
      <w:divBdr>
        <w:top w:val="none" w:sz="0" w:space="0" w:color="auto"/>
        <w:left w:val="none" w:sz="0" w:space="0" w:color="auto"/>
        <w:bottom w:val="none" w:sz="0" w:space="0" w:color="auto"/>
        <w:right w:val="none" w:sz="0" w:space="0" w:color="auto"/>
      </w:divBdr>
      <w:divsChild>
        <w:div w:id="292713828">
          <w:marLeft w:val="0"/>
          <w:marRight w:val="0"/>
          <w:marTop w:val="0"/>
          <w:marBottom w:val="0"/>
          <w:divBdr>
            <w:top w:val="none" w:sz="0" w:space="0" w:color="auto"/>
            <w:left w:val="none" w:sz="0" w:space="0" w:color="auto"/>
            <w:bottom w:val="none" w:sz="0" w:space="0" w:color="auto"/>
            <w:right w:val="none" w:sz="0" w:space="0" w:color="auto"/>
          </w:divBdr>
          <w:divsChild>
            <w:div w:id="9764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9551">
      <w:bodyDiv w:val="1"/>
      <w:marLeft w:val="0"/>
      <w:marRight w:val="0"/>
      <w:marTop w:val="0"/>
      <w:marBottom w:val="0"/>
      <w:divBdr>
        <w:top w:val="none" w:sz="0" w:space="0" w:color="auto"/>
        <w:left w:val="none" w:sz="0" w:space="0" w:color="auto"/>
        <w:bottom w:val="none" w:sz="0" w:space="0" w:color="auto"/>
        <w:right w:val="none" w:sz="0" w:space="0" w:color="auto"/>
      </w:divBdr>
      <w:divsChild>
        <w:div w:id="1696231053">
          <w:marLeft w:val="0"/>
          <w:marRight w:val="0"/>
          <w:marTop w:val="0"/>
          <w:marBottom w:val="0"/>
          <w:divBdr>
            <w:top w:val="none" w:sz="0" w:space="0" w:color="auto"/>
            <w:left w:val="none" w:sz="0" w:space="0" w:color="auto"/>
            <w:bottom w:val="none" w:sz="0" w:space="0" w:color="auto"/>
            <w:right w:val="none" w:sz="0" w:space="0" w:color="auto"/>
          </w:divBdr>
          <w:divsChild>
            <w:div w:id="653265220">
              <w:marLeft w:val="0"/>
              <w:marRight w:val="0"/>
              <w:marTop w:val="0"/>
              <w:marBottom w:val="0"/>
              <w:divBdr>
                <w:top w:val="none" w:sz="0" w:space="0" w:color="auto"/>
                <w:left w:val="none" w:sz="0" w:space="0" w:color="auto"/>
                <w:bottom w:val="none" w:sz="0" w:space="0" w:color="auto"/>
                <w:right w:val="none" w:sz="0" w:space="0" w:color="auto"/>
              </w:divBdr>
            </w:div>
            <w:div w:id="220604476">
              <w:marLeft w:val="0"/>
              <w:marRight w:val="0"/>
              <w:marTop w:val="0"/>
              <w:marBottom w:val="0"/>
              <w:divBdr>
                <w:top w:val="none" w:sz="0" w:space="0" w:color="auto"/>
                <w:left w:val="none" w:sz="0" w:space="0" w:color="auto"/>
                <w:bottom w:val="none" w:sz="0" w:space="0" w:color="auto"/>
                <w:right w:val="none" w:sz="0" w:space="0" w:color="auto"/>
              </w:divBdr>
            </w:div>
            <w:div w:id="573440700">
              <w:marLeft w:val="0"/>
              <w:marRight w:val="0"/>
              <w:marTop w:val="0"/>
              <w:marBottom w:val="0"/>
              <w:divBdr>
                <w:top w:val="none" w:sz="0" w:space="0" w:color="auto"/>
                <w:left w:val="none" w:sz="0" w:space="0" w:color="auto"/>
                <w:bottom w:val="none" w:sz="0" w:space="0" w:color="auto"/>
                <w:right w:val="none" w:sz="0" w:space="0" w:color="auto"/>
              </w:divBdr>
            </w:div>
            <w:div w:id="2060668053">
              <w:marLeft w:val="0"/>
              <w:marRight w:val="0"/>
              <w:marTop w:val="0"/>
              <w:marBottom w:val="0"/>
              <w:divBdr>
                <w:top w:val="none" w:sz="0" w:space="0" w:color="auto"/>
                <w:left w:val="none" w:sz="0" w:space="0" w:color="auto"/>
                <w:bottom w:val="none" w:sz="0" w:space="0" w:color="auto"/>
                <w:right w:val="none" w:sz="0" w:space="0" w:color="auto"/>
              </w:divBdr>
            </w:div>
            <w:div w:id="497186569">
              <w:marLeft w:val="0"/>
              <w:marRight w:val="0"/>
              <w:marTop w:val="0"/>
              <w:marBottom w:val="0"/>
              <w:divBdr>
                <w:top w:val="none" w:sz="0" w:space="0" w:color="auto"/>
                <w:left w:val="none" w:sz="0" w:space="0" w:color="auto"/>
                <w:bottom w:val="none" w:sz="0" w:space="0" w:color="auto"/>
                <w:right w:val="none" w:sz="0" w:space="0" w:color="auto"/>
              </w:divBdr>
            </w:div>
            <w:div w:id="932319486">
              <w:marLeft w:val="0"/>
              <w:marRight w:val="0"/>
              <w:marTop w:val="0"/>
              <w:marBottom w:val="0"/>
              <w:divBdr>
                <w:top w:val="none" w:sz="0" w:space="0" w:color="auto"/>
                <w:left w:val="none" w:sz="0" w:space="0" w:color="auto"/>
                <w:bottom w:val="none" w:sz="0" w:space="0" w:color="auto"/>
                <w:right w:val="none" w:sz="0" w:space="0" w:color="auto"/>
              </w:divBdr>
            </w:div>
            <w:div w:id="1840997907">
              <w:marLeft w:val="0"/>
              <w:marRight w:val="0"/>
              <w:marTop w:val="0"/>
              <w:marBottom w:val="0"/>
              <w:divBdr>
                <w:top w:val="none" w:sz="0" w:space="0" w:color="auto"/>
                <w:left w:val="none" w:sz="0" w:space="0" w:color="auto"/>
                <w:bottom w:val="none" w:sz="0" w:space="0" w:color="auto"/>
                <w:right w:val="none" w:sz="0" w:space="0" w:color="auto"/>
              </w:divBdr>
            </w:div>
            <w:div w:id="494763706">
              <w:marLeft w:val="0"/>
              <w:marRight w:val="0"/>
              <w:marTop w:val="0"/>
              <w:marBottom w:val="0"/>
              <w:divBdr>
                <w:top w:val="none" w:sz="0" w:space="0" w:color="auto"/>
                <w:left w:val="none" w:sz="0" w:space="0" w:color="auto"/>
                <w:bottom w:val="none" w:sz="0" w:space="0" w:color="auto"/>
                <w:right w:val="none" w:sz="0" w:space="0" w:color="auto"/>
              </w:divBdr>
            </w:div>
            <w:div w:id="1673098043">
              <w:marLeft w:val="0"/>
              <w:marRight w:val="0"/>
              <w:marTop w:val="0"/>
              <w:marBottom w:val="0"/>
              <w:divBdr>
                <w:top w:val="none" w:sz="0" w:space="0" w:color="auto"/>
                <w:left w:val="none" w:sz="0" w:space="0" w:color="auto"/>
                <w:bottom w:val="none" w:sz="0" w:space="0" w:color="auto"/>
                <w:right w:val="none" w:sz="0" w:space="0" w:color="auto"/>
              </w:divBdr>
            </w:div>
            <w:div w:id="977804364">
              <w:marLeft w:val="0"/>
              <w:marRight w:val="0"/>
              <w:marTop w:val="0"/>
              <w:marBottom w:val="0"/>
              <w:divBdr>
                <w:top w:val="none" w:sz="0" w:space="0" w:color="auto"/>
                <w:left w:val="none" w:sz="0" w:space="0" w:color="auto"/>
                <w:bottom w:val="none" w:sz="0" w:space="0" w:color="auto"/>
                <w:right w:val="none" w:sz="0" w:space="0" w:color="auto"/>
              </w:divBdr>
            </w:div>
            <w:div w:id="694303969">
              <w:marLeft w:val="0"/>
              <w:marRight w:val="0"/>
              <w:marTop w:val="0"/>
              <w:marBottom w:val="0"/>
              <w:divBdr>
                <w:top w:val="none" w:sz="0" w:space="0" w:color="auto"/>
                <w:left w:val="none" w:sz="0" w:space="0" w:color="auto"/>
                <w:bottom w:val="none" w:sz="0" w:space="0" w:color="auto"/>
                <w:right w:val="none" w:sz="0" w:space="0" w:color="auto"/>
              </w:divBdr>
            </w:div>
            <w:div w:id="5443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4194">
      <w:bodyDiv w:val="1"/>
      <w:marLeft w:val="0"/>
      <w:marRight w:val="0"/>
      <w:marTop w:val="0"/>
      <w:marBottom w:val="0"/>
      <w:divBdr>
        <w:top w:val="none" w:sz="0" w:space="0" w:color="auto"/>
        <w:left w:val="none" w:sz="0" w:space="0" w:color="auto"/>
        <w:bottom w:val="none" w:sz="0" w:space="0" w:color="auto"/>
        <w:right w:val="none" w:sz="0" w:space="0" w:color="auto"/>
      </w:divBdr>
      <w:divsChild>
        <w:div w:id="808206612">
          <w:marLeft w:val="0"/>
          <w:marRight w:val="0"/>
          <w:marTop w:val="0"/>
          <w:marBottom w:val="0"/>
          <w:divBdr>
            <w:top w:val="none" w:sz="0" w:space="0" w:color="auto"/>
            <w:left w:val="none" w:sz="0" w:space="0" w:color="auto"/>
            <w:bottom w:val="none" w:sz="0" w:space="0" w:color="auto"/>
            <w:right w:val="none" w:sz="0" w:space="0" w:color="auto"/>
          </w:divBdr>
          <w:divsChild>
            <w:div w:id="1842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4058">
      <w:bodyDiv w:val="1"/>
      <w:marLeft w:val="0"/>
      <w:marRight w:val="0"/>
      <w:marTop w:val="0"/>
      <w:marBottom w:val="0"/>
      <w:divBdr>
        <w:top w:val="none" w:sz="0" w:space="0" w:color="auto"/>
        <w:left w:val="none" w:sz="0" w:space="0" w:color="auto"/>
        <w:bottom w:val="none" w:sz="0" w:space="0" w:color="auto"/>
        <w:right w:val="none" w:sz="0" w:space="0" w:color="auto"/>
      </w:divBdr>
    </w:div>
    <w:div w:id="1900510072">
      <w:bodyDiv w:val="1"/>
      <w:marLeft w:val="0"/>
      <w:marRight w:val="0"/>
      <w:marTop w:val="0"/>
      <w:marBottom w:val="0"/>
      <w:divBdr>
        <w:top w:val="none" w:sz="0" w:space="0" w:color="auto"/>
        <w:left w:val="none" w:sz="0" w:space="0" w:color="auto"/>
        <w:bottom w:val="none" w:sz="0" w:space="0" w:color="auto"/>
        <w:right w:val="none" w:sz="0" w:space="0" w:color="auto"/>
      </w:divBdr>
      <w:divsChild>
        <w:div w:id="1357778808">
          <w:marLeft w:val="0"/>
          <w:marRight w:val="0"/>
          <w:marTop w:val="0"/>
          <w:marBottom w:val="0"/>
          <w:divBdr>
            <w:top w:val="none" w:sz="0" w:space="0" w:color="auto"/>
            <w:left w:val="none" w:sz="0" w:space="0" w:color="auto"/>
            <w:bottom w:val="none" w:sz="0" w:space="0" w:color="auto"/>
            <w:right w:val="none" w:sz="0" w:space="0" w:color="auto"/>
          </w:divBdr>
          <w:divsChild>
            <w:div w:id="1856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63193">
      <w:bodyDiv w:val="1"/>
      <w:marLeft w:val="0"/>
      <w:marRight w:val="0"/>
      <w:marTop w:val="0"/>
      <w:marBottom w:val="0"/>
      <w:divBdr>
        <w:top w:val="none" w:sz="0" w:space="0" w:color="auto"/>
        <w:left w:val="none" w:sz="0" w:space="0" w:color="auto"/>
        <w:bottom w:val="none" w:sz="0" w:space="0" w:color="auto"/>
        <w:right w:val="none" w:sz="0" w:space="0" w:color="auto"/>
      </w:divBdr>
      <w:divsChild>
        <w:div w:id="1449809766">
          <w:marLeft w:val="0"/>
          <w:marRight w:val="0"/>
          <w:marTop w:val="0"/>
          <w:marBottom w:val="0"/>
          <w:divBdr>
            <w:top w:val="none" w:sz="0" w:space="0" w:color="auto"/>
            <w:left w:val="none" w:sz="0" w:space="0" w:color="auto"/>
            <w:bottom w:val="none" w:sz="0" w:space="0" w:color="auto"/>
            <w:right w:val="none" w:sz="0" w:space="0" w:color="auto"/>
          </w:divBdr>
          <w:divsChild>
            <w:div w:id="15657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EMCOG/SEMCOG_popsim/tree/master/urbansim_to_ab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MCOG/synthpo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FE8BA-DBED-4E55-B8DB-18A672D5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5</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Guangyu</dc:creator>
  <cp:keywords/>
  <dc:description/>
  <cp:lastModifiedBy>Li, Guangyu</cp:lastModifiedBy>
  <cp:revision>15</cp:revision>
  <dcterms:created xsi:type="dcterms:W3CDTF">2020-01-29T14:42:00Z</dcterms:created>
  <dcterms:modified xsi:type="dcterms:W3CDTF">2020-02-13T19:47:00Z</dcterms:modified>
</cp:coreProperties>
</file>