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C7" w:rsidRPr="00377DC7" w:rsidRDefault="00377DC7" w:rsidP="00377DC7">
      <w:pPr>
        <w:jc w:val="center"/>
        <w:rPr>
          <w:b/>
          <w:sz w:val="36"/>
          <w:szCs w:val="36"/>
        </w:rPr>
      </w:pPr>
      <w:r w:rsidRPr="00377DC7">
        <w:rPr>
          <w:b/>
          <w:sz w:val="36"/>
          <w:szCs w:val="36"/>
        </w:rPr>
        <w:t>SEMCOG Population Synthesis</w:t>
      </w:r>
    </w:p>
    <w:p w:rsidR="00377DC7" w:rsidRDefault="00377DC7" w:rsidP="001800AF">
      <w:pPr>
        <w:jc w:val="both"/>
      </w:pPr>
    </w:p>
    <w:p w:rsidR="00AA5FEF" w:rsidRDefault="00377DC7" w:rsidP="00FA5D16">
      <w:r>
        <w:t xml:space="preserve">For 2045 Regional Development Forecast, SEMCOG adopted a new population synthesis procedure to develop </w:t>
      </w:r>
      <w:r w:rsidR="00753667">
        <w:t>its 2015 base year</w:t>
      </w:r>
      <w:r w:rsidR="00444831">
        <w:t xml:space="preserve"> households and population</w:t>
      </w:r>
      <w:r>
        <w:t xml:space="preserve">. This procedure includes three major steps: first, </w:t>
      </w:r>
      <w:r w:rsidR="007B5D8B">
        <w:t>use</w:t>
      </w:r>
      <w:r>
        <w:t xml:space="preserve"> </w:t>
      </w:r>
      <w:proofErr w:type="spellStart"/>
      <w:r>
        <w:t>UrbanSim</w:t>
      </w:r>
      <w:proofErr w:type="spellEnd"/>
      <w:r>
        <w:t xml:space="preserve"> </w:t>
      </w:r>
      <w:proofErr w:type="spellStart"/>
      <w:r>
        <w:t>Synthpop</w:t>
      </w:r>
      <w:proofErr w:type="spellEnd"/>
      <w:r>
        <w:t xml:space="preserve"> to generate households and population by </w:t>
      </w:r>
      <w:r w:rsidR="006758C0">
        <w:t xml:space="preserve">Census </w:t>
      </w:r>
      <w:r>
        <w:t xml:space="preserve">Block Group; second, assign </w:t>
      </w:r>
      <w:r w:rsidR="006758C0">
        <w:t xml:space="preserve">synthesized </w:t>
      </w:r>
      <w:r>
        <w:t>households to housing units</w:t>
      </w:r>
      <w:r w:rsidR="00266AF0" w:rsidRPr="00266AF0">
        <w:t xml:space="preserve"> </w:t>
      </w:r>
      <w:r w:rsidR="00266AF0">
        <w:t>within Block Group</w:t>
      </w:r>
      <w:r w:rsidR="00AA5FEF">
        <w:t>;</w:t>
      </w:r>
      <w:r w:rsidR="00AA5FEF">
        <w:t xml:space="preserve"> third, refine population age distribution</w:t>
      </w:r>
      <w:r w:rsidR="006758C0">
        <w:t>s</w:t>
      </w:r>
      <w:r w:rsidR="00AA5FEF">
        <w:t xml:space="preserve"> to match REMI base year </w:t>
      </w:r>
      <w:r w:rsidR="007B5D8B">
        <w:t>controls</w:t>
      </w:r>
      <w:r w:rsidR="00AA5FEF">
        <w:t xml:space="preserve">. </w:t>
      </w:r>
    </w:p>
    <w:p w:rsidR="00781EDE" w:rsidRDefault="00781EDE" w:rsidP="001800AF">
      <w:pPr>
        <w:jc w:val="both"/>
      </w:pPr>
    </w:p>
    <w:p w:rsidR="00AA5FEF" w:rsidRDefault="00AA5FEF" w:rsidP="001800AF">
      <w:pPr>
        <w:jc w:val="both"/>
      </w:pPr>
    </w:p>
    <w:p w:rsidR="00AA5FEF" w:rsidRPr="00042322" w:rsidRDefault="00AA5FEF" w:rsidP="00AA5FEF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042322">
        <w:rPr>
          <w:b/>
        </w:rPr>
        <w:t>UrbanSim</w:t>
      </w:r>
      <w:proofErr w:type="spellEnd"/>
      <w:r w:rsidRPr="00042322">
        <w:rPr>
          <w:b/>
        </w:rPr>
        <w:t xml:space="preserve"> </w:t>
      </w:r>
      <w:proofErr w:type="spellStart"/>
      <w:r w:rsidRPr="00042322">
        <w:rPr>
          <w:b/>
        </w:rPr>
        <w:t>Synthpop</w:t>
      </w:r>
      <w:proofErr w:type="spellEnd"/>
      <w:r w:rsidRPr="00042322">
        <w:rPr>
          <w:b/>
        </w:rPr>
        <w:t xml:space="preserve"> with adjusted </w:t>
      </w:r>
      <w:r w:rsidR="006758C0" w:rsidRPr="00042322">
        <w:rPr>
          <w:b/>
        </w:rPr>
        <w:t xml:space="preserve">household </w:t>
      </w:r>
      <w:r w:rsidRPr="00042322">
        <w:rPr>
          <w:b/>
        </w:rPr>
        <w:t>control totals</w:t>
      </w:r>
    </w:p>
    <w:p w:rsidR="006758C0" w:rsidRDefault="006758C0" w:rsidP="006758C0">
      <w:pPr>
        <w:pStyle w:val="ListParagraph"/>
        <w:jc w:val="both"/>
      </w:pPr>
    </w:p>
    <w:p w:rsidR="00753667" w:rsidRDefault="00AA5FEF" w:rsidP="00A220B3">
      <w:pPr>
        <w:pStyle w:val="ListParagraph"/>
      </w:pPr>
      <w:r>
        <w:t xml:space="preserve">SEMCOG reviewed and explored major population synthesizers at the time </w:t>
      </w:r>
      <w:r w:rsidR="007B5D8B">
        <w:t xml:space="preserve">of work </w:t>
      </w:r>
      <w:r>
        <w:t>and decided to adopt the “</w:t>
      </w:r>
      <w:proofErr w:type="spellStart"/>
      <w:r>
        <w:t>Synthpop</w:t>
      </w:r>
      <w:proofErr w:type="spellEnd"/>
      <w:r>
        <w:t xml:space="preserve">” population synthesizer </w:t>
      </w:r>
      <w:r w:rsidR="007B5D8B">
        <w:t>(</w:t>
      </w:r>
      <w:hyperlink r:id="rId5" w:history="1">
        <w:r w:rsidR="007B5D8B" w:rsidRPr="00A04117">
          <w:rPr>
            <w:rStyle w:val="Hyperlink"/>
          </w:rPr>
          <w:t>https://github.com/UDST/synthpop</w:t>
        </w:r>
      </w:hyperlink>
      <w:r w:rsidR="007B5D8B">
        <w:t xml:space="preserve">) </w:t>
      </w:r>
      <w:r w:rsidR="00E52CBD">
        <w:t xml:space="preserve">from </w:t>
      </w:r>
      <w:proofErr w:type="spellStart"/>
      <w:r w:rsidR="00E52CBD">
        <w:t>UrbanSim</w:t>
      </w:r>
      <w:proofErr w:type="spellEnd"/>
      <w:r w:rsidR="00E52CBD">
        <w:t xml:space="preserve"> I</w:t>
      </w:r>
      <w:r>
        <w:t>nc. This synthesizer implements IPU</w:t>
      </w:r>
      <w:r w:rsidR="00F878E1">
        <w:t xml:space="preserve"> </w:t>
      </w:r>
      <w:r w:rsidR="00C73F47">
        <w:t>(Iterative</w:t>
      </w:r>
      <w:r w:rsidR="00F878E1">
        <w:t xml:space="preserve"> Proportional </w:t>
      </w:r>
      <w:r w:rsidR="007C67F7">
        <w:t>Updating)</w:t>
      </w:r>
      <w:r>
        <w:t xml:space="preserve"> fitting method </w:t>
      </w:r>
      <w:r w:rsidR="00451E4D">
        <w:t xml:space="preserve">initially developed by </w:t>
      </w:r>
      <w:r w:rsidR="007A23DB">
        <w:t xml:space="preserve">Ye </w:t>
      </w:r>
      <w:r w:rsidR="007A23DB" w:rsidRPr="008B7EE8">
        <w:rPr>
          <w:i/>
        </w:rPr>
        <w:t>et al.</w:t>
      </w:r>
      <w:r w:rsidR="007A23DB">
        <w:t xml:space="preserve"> at </w:t>
      </w:r>
      <w:r w:rsidR="00451E4D">
        <w:t>Arizona State University. A major advantage of this synthesizer, comparing with</w:t>
      </w:r>
      <w:r w:rsidR="00186CA6">
        <w:t xml:space="preserve"> the</w:t>
      </w:r>
      <w:r w:rsidR="00451E4D">
        <w:t xml:space="preserve"> previous synthesi</w:t>
      </w:r>
      <w:r w:rsidR="007B5D8B">
        <w:t>zer</w:t>
      </w:r>
      <w:r w:rsidR="00451E4D">
        <w:t xml:space="preserve"> used by SEMCOG, is </w:t>
      </w:r>
      <w:r w:rsidR="007B7C69">
        <w:t xml:space="preserve">that </w:t>
      </w:r>
      <w:r w:rsidR="007A23DB">
        <w:t xml:space="preserve">the synthesis </w:t>
      </w:r>
      <w:r w:rsidR="00E52CBD">
        <w:t>process</w:t>
      </w:r>
      <w:r w:rsidR="00186CA6">
        <w:t xml:space="preserve"> </w:t>
      </w:r>
      <w:r w:rsidR="007B5D8B">
        <w:t>match</w:t>
      </w:r>
      <w:r w:rsidR="007B7C69">
        <w:t>es</w:t>
      </w:r>
      <w:r w:rsidR="007B5D8B">
        <w:t xml:space="preserve"> distributions of </w:t>
      </w:r>
      <w:r w:rsidR="00451E4D">
        <w:t xml:space="preserve">both household and population </w:t>
      </w:r>
      <w:r w:rsidR="000525B4">
        <w:t xml:space="preserve">attributes, resulting much improved synthesized population </w:t>
      </w:r>
      <w:r w:rsidR="00A220B3">
        <w:t>at small geographies</w:t>
      </w:r>
      <w:r w:rsidR="00753667">
        <w:t xml:space="preserve">. This </w:t>
      </w:r>
      <w:r w:rsidR="00A220B3">
        <w:t>is</w:t>
      </w:r>
      <w:r w:rsidR="00753667">
        <w:t xml:space="preserve"> important</w:t>
      </w:r>
      <w:r w:rsidR="00A220B3">
        <w:t xml:space="preserve"> </w:t>
      </w:r>
      <w:r w:rsidR="00753667">
        <w:t>as person</w:t>
      </w:r>
      <w:r w:rsidR="00186CA6">
        <w:t>al</w:t>
      </w:r>
      <w:r w:rsidR="00753667">
        <w:t xml:space="preserve"> attributes are essential inputs for both SEMCOG Regional Development Forecast</w:t>
      </w:r>
      <w:r w:rsidR="00066DF8">
        <w:t xml:space="preserve"> (RDF)</w:t>
      </w:r>
      <w:r w:rsidR="00753667">
        <w:t xml:space="preserve"> and Regional Transportation Plan</w:t>
      </w:r>
      <w:r w:rsidR="00066DF8">
        <w:t xml:space="preserve"> (RTP)</w:t>
      </w:r>
      <w:r w:rsidR="00753667">
        <w:t xml:space="preserve"> Model</w:t>
      </w:r>
      <w:r w:rsidR="00066DF8">
        <w:t>s</w:t>
      </w:r>
      <w:r w:rsidR="00753667">
        <w:t>.</w:t>
      </w:r>
      <w:r w:rsidR="00A220B3">
        <w:t xml:space="preserve"> For </w:t>
      </w:r>
      <w:r w:rsidR="00F878E1">
        <w:t xml:space="preserve">details about IPU based population </w:t>
      </w:r>
      <w:r w:rsidR="000050B4">
        <w:t>synthesis</w:t>
      </w:r>
      <w:r w:rsidR="00444831">
        <w:t xml:space="preserve"> method</w:t>
      </w:r>
      <w:r w:rsidR="00A220B3">
        <w:t>, please refer to this paper.   (</w:t>
      </w:r>
      <w:hyperlink r:id="rId6" w:history="1">
        <w:r w:rsidR="00A220B3" w:rsidRPr="00037DB0">
          <w:rPr>
            <w:rStyle w:val="Hyperlink"/>
          </w:rPr>
          <w:t>http://www.scag.ca.gov/Documents/PopulationSynthesizerPaper_TRB.pdf</w:t>
        </w:r>
      </w:hyperlink>
      <w:r w:rsidR="00A220B3">
        <w:t>)</w:t>
      </w:r>
    </w:p>
    <w:p w:rsidR="00753667" w:rsidRDefault="00753667" w:rsidP="00AA5FEF">
      <w:pPr>
        <w:pStyle w:val="ListParagraph"/>
        <w:jc w:val="both"/>
      </w:pPr>
    </w:p>
    <w:p w:rsidR="0083382C" w:rsidRDefault="00042322" w:rsidP="00AA5FEF">
      <w:pPr>
        <w:pStyle w:val="ListParagraph"/>
        <w:jc w:val="both"/>
      </w:pPr>
      <w:r>
        <w:t xml:space="preserve">SEMCOG used 2015 PUMS household and person records as synthesis “seed”. For </w:t>
      </w:r>
      <w:r w:rsidR="00266AF0">
        <w:t xml:space="preserve">synthesis </w:t>
      </w:r>
      <w:r>
        <w:t>control</w:t>
      </w:r>
      <w:r w:rsidR="00266AF0">
        <w:t>s</w:t>
      </w:r>
      <w:r>
        <w:t xml:space="preserve">, based on the needs </w:t>
      </w:r>
      <w:r w:rsidR="008B7EE8">
        <w:t>of</w:t>
      </w:r>
      <w:r>
        <w:t xml:space="preserve"> </w:t>
      </w:r>
      <w:r w:rsidR="00066DF8">
        <w:t>RDF</w:t>
      </w:r>
      <w:r>
        <w:t xml:space="preserve"> and </w:t>
      </w:r>
      <w:r w:rsidR="00066DF8">
        <w:t>RTP model</w:t>
      </w:r>
      <w:r>
        <w:t>s</w:t>
      </w:r>
      <w:r w:rsidR="00066DF8">
        <w:t>, SEMCOG selected total</w:t>
      </w:r>
      <w:r w:rsidR="00753667">
        <w:t xml:space="preserve"> </w:t>
      </w:r>
      <w:r w:rsidR="00444831">
        <w:t xml:space="preserve">of </w:t>
      </w:r>
      <w:r w:rsidR="00066DF8">
        <w:t>13 household and person</w:t>
      </w:r>
      <w:r w:rsidR="009C2352">
        <w:t>al</w:t>
      </w:r>
      <w:r w:rsidR="00066DF8">
        <w:t xml:space="preserve"> marginal variables</w:t>
      </w:r>
      <w:r w:rsidR="0083382C">
        <w:t>:</w:t>
      </w:r>
    </w:p>
    <w:p w:rsidR="0083382C" w:rsidRDefault="00066DF8" w:rsidP="00F878E1">
      <w:pPr>
        <w:pStyle w:val="ListParagraph"/>
        <w:spacing w:before="120"/>
        <w:ind w:left="1440"/>
        <w:jc w:val="both"/>
        <w:rPr>
          <w:i/>
        </w:rPr>
      </w:pPr>
      <w:r w:rsidRPr="0083382C">
        <w:rPr>
          <w:i/>
          <w:u w:val="single"/>
        </w:rPr>
        <w:t xml:space="preserve">Household </w:t>
      </w:r>
      <w:r w:rsidR="0083382C" w:rsidRPr="0083382C">
        <w:rPr>
          <w:i/>
          <w:u w:val="single"/>
        </w:rPr>
        <w:t>variables</w:t>
      </w:r>
      <w:r w:rsidR="0083382C">
        <w:rPr>
          <w:i/>
        </w:rPr>
        <w:t xml:space="preserve"> (10): </w:t>
      </w:r>
      <w:r w:rsidR="00CD780F">
        <w:rPr>
          <w:i/>
        </w:rPr>
        <w:t xml:space="preserve"> </w:t>
      </w:r>
      <w:r w:rsidR="0083382C">
        <w:rPr>
          <w:i/>
        </w:rPr>
        <w:t>age of head; race of head;</w:t>
      </w:r>
      <w:r w:rsidRPr="0083382C">
        <w:rPr>
          <w:i/>
        </w:rPr>
        <w:t xml:space="preserve"> Hispanic </w:t>
      </w:r>
      <w:r w:rsidR="0083382C">
        <w:rPr>
          <w:i/>
        </w:rPr>
        <w:t>head or not;</w:t>
      </w:r>
      <w:r w:rsidRPr="0083382C">
        <w:rPr>
          <w:i/>
        </w:rPr>
        <w:t xml:space="preserve"> househol</w:t>
      </w:r>
      <w:r w:rsidR="0083382C">
        <w:rPr>
          <w:i/>
        </w:rPr>
        <w:t>d size; income;  vehicle;  workers;  presence of children; presence of seniors;</w:t>
      </w:r>
      <w:r w:rsidR="00C73F47">
        <w:rPr>
          <w:i/>
        </w:rPr>
        <w:t xml:space="preserve"> housing tenures</w:t>
      </w:r>
    </w:p>
    <w:p w:rsidR="000F7E2A" w:rsidRDefault="0083382C" w:rsidP="00F878E1">
      <w:pPr>
        <w:pStyle w:val="ListParagraph"/>
        <w:spacing w:before="120"/>
        <w:ind w:left="1440"/>
        <w:jc w:val="both"/>
        <w:rPr>
          <w:i/>
        </w:rPr>
      </w:pPr>
      <w:r w:rsidRPr="0083382C">
        <w:rPr>
          <w:i/>
          <w:u w:val="single"/>
        </w:rPr>
        <w:t>Person</w:t>
      </w:r>
      <w:r w:rsidR="007C67F7">
        <w:rPr>
          <w:i/>
          <w:u w:val="single"/>
        </w:rPr>
        <w:t>al</w:t>
      </w:r>
      <w:r w:rsidRPr="0083382C">
        <w:rPr>
          <w:i/>
          <w:u w:val="single"/>
        </w:rPr>
        <w:t xml:space="preserve"> variables</w:t>
      </w:r>
      <w:r>
        <w:rPr>
          <w:i/>
        </w:rPr>
        <w:t xml:space="preserve"> (3)</w:t>
      </w:r>
      <w:r w:rsidRPr="0083382C">
        <w:rPr>
          <w:i/>
        </w:rPr>
        <w:t>:</w:t>
      </w:r>
      <w:r w:rsidR="00066DF8" w:rsidRPr="0083382C">
        <w:rPr>
          <w:i/>
        </w:rPr>
        <w:t xml:space="preserve"> </w:t>
      </w:r>
      <w:r w:rsidR="00CD780F">
        <w:rPr>
          <w:i/>
        </w:rPr>
        <w:t xml:space="preserve"> </w:t>
      </w:r>
      <w:r w:rsidRPr="0083382C">
        <w:rPr>
          <w:i/>
        </w:rPr>
        <w:t>age</w:t>
      </w:r>
      <w:r w:rsidR="00CD780F" w:rsidRPr="0083382C">
        <w:rPr>
          <w:i/>
        </w:rPr>
        <w:t>; gender</w:t>
      </w:r>
      <w:r w:rsidRPr="0083382C">
        <w:rPr>
          <w:i/>
        </w:rPr>
        <w:t>;</w:t>
      </w:r>
      <w:r w:rsidR="00066DF8" w:rsidRPr="0083382C">
        <w:rPr>
          <w:i/>
        </w:rPr>
        <w:t xml:space="preserve"> </w:t>
      </w:r>
      <w:r w:rsidR="00C73F47">
        <w:rPr>
          <w:i/>
        </w:rPr>
        <w:t>race</w:t>
      </w:r>
    </w:p>
    <w:p w:rsidR="00F878E1" w:rsidRPr="000F7E2A" w:rsidRDefault="00F878E1" w:rsidP="00F878E1">
      <w:pPr>
        <w:pStyle w:val="ListParagraph"/>
        <w:spacing w:before="120"/>
        <w:ind w:left="1440"/>
        <w:jc w:val="both"/>
        <w:rPr>
          <w:i/>
        </w:rPr>
      </w:pPr>
    </w:p>
    <w:p w:rsidR="00AA5FEF" w:rsidRDefault="00066DF8" w:rsidP="0083382C">
      <w:pPr>
        <w:tabs>
          <w:tab w:val="left" w:pos="180"/>
        </w:tabs>
        <w:ind w:left="720"/>
        <w:jc w:val="both"/>
      </w:pPr>
      <w:r>
        <w:t xml:space="preserve">Since 2015 is not a decennial Census year, </w:t>
      </w:r>
      <w:r w:rsidR="00E42679">
        <w:t xml:space="preserve">above marginal summaries are only available at Block Group level in Census 5-year ACS. </w:t>
      </w:r>
      <w:r w:rsidR="004747D9">
        <w:t>Two significant</w:t>
      </w:r>
      <w:r w:rsidR="007A23DB">
        <w:t xml:space="preserve"> issue</w:t>
      </w:r>
      <w:r w:rsidR="004747D9">
        <w:t>s</w:t>
      </w:r>
      <w:r w:rsidR="007A23DB">
        <w:t xml:space="preserve"> with 5-year ACS </w:t>
      </w:r>
      <w:r w:rsidR="008B7EE8">
        <w:t>are</w:t>
      </w:r>
      <w:r w:rsidR="007A23DB">
        <w:t xml:space="preserve"> that</w:t>
      </w:r>
      <w:r w:rsidR="00E42679">
        <w:t xml:space="preserve"> </w:t>
      </w:r>
      <w:r w:rsidR="007A23DB">
        <w:t>Block Group marginal patterns</w:t>
      </w:r>
      <w:r w:rsidR="00E42679">
        <w:t xml:space="preserve"> are “</w:t>
      </w:r>
      <w:r w:rsidR="007A23DB">
        <w:t>averaged</w:t>
      </w:r>
      <w:r w:rsidR="00E42679">
        <w:t>”</w:t>
      </w:r>
      <w:r w:rsidR="007A23DB">
        <w:t xml:space="preserve"> between 2011 and 2015</w:t>
      </w:r>
      <w:r w:rsidR="00F878E1">
        <w:t xml:space="preserve"> and the BG counts do not </w:t>
      </w:r>
      <w:r w:rsidR="008B7EE8">
        <w:t>add</w:t>
      </w:r>
      <w:r w:rsidR="00F878E1">
        <w:t xml:space="preserve"> up to </w:t>
      </w:r>
      <w:r w:rsidR="007C67F7">
        <w:t xml:space="preserve">the </w:t>
      </w:r>
      <w:r w:rsidR="00F878E1">
        <w:t xml:space="preserve">latest 2015 1-year county estimates. </w:t>
      </w:r>
      <w:r w:rsidR="004747D9">
        <w:t xml:space="preserve">Those issues will cause household placement difficulties in </w:t>
      </w:r>
      <w:r w:rsidR="008B7EE8">
        <w:t xml:space="preserve">next </w:t>
      </w:r>
      <w:r w:rsidR="007C67F7">
        <w:t xml:space="preserve">synthesis </w:t>
      </w:r>
      <w:r w:rsidR="004747D9">
        <w:t>step and mak</w:t>
      </w:r>
      <w:r w:rsidR="000525B4">
        <w:t>e synthesized population miss</w:t>
      </w:r>
      <w:r w:rsidR="008B7EE8">
        <w:t xml:space="preserve"> its</w:t>
      </w:r>
      <w:r w:rsidR="004747D9">
        <w:t xml:space="preserve"> true targets. Therefore, SEMCOG developed a </w:t>
      </w:r>
      <w:r w:rsidR="00444831">
        <w:t>MCD-to-</w:t>
      </w:r>
      <w:r w:rsidR="004747D9">
        <w:t xml:space="preserve">Block Group crosswalk table and distribute its own MCD estimates, which is controlled to </w:t>
      </w:r>
      <w:r w:rsidR="00E45D41">
        <w:t xml:space="preserve">2015 </w:t>
      </w:r>
      <w:r w:rsidR="007C67F7">
        <w:t xml:space="preserve">1-year </w:t>
      </w:r>
      <w:r w:rsidR="004747D9">
        <w:t xml:space="preserve">ACS </w:t>
      </w:r>
      <w:r w:rsidR="00E45D41">
        <w:t>c</w:t>
      </w:r>
      <w:r w:rsidR="004747D9">
        <w:t xml:space="preserve">ounty </w:t>
      </w:r>
      <w:r w:rsidR="000050B4">
        <w:t>estimates</w:t>
      </w:r>
      <w:r w:rsidR="004747D9">
        <w:t xml:space="preserve">, to Block Groups. </w:t>
      </w:r>
      <w:r w:rsidR="00E52CBD">
        <w:t>As a result,</w:t>
      </w:r>
      <w:r w:rsidR="004747D9">
        <w:t xml:space="preserve"> synthesized demographic data will meet both SEMCOG MCD and Census county estimates as close as possible. </w:t>
      </w:r>
      <w:r w:rsidR="00E52CBD">
        <w:t xml:space="preserve">Original ACS 5-year </w:t>
      </w:r>
      <w:r w:rsidR="004747D9">
        <w:t xml:space="preserve">Block Group marginal distributions by household and population attributes were </w:t>
      </w:r>
      <w:r w:rsidR="005479DC">
        <w:t xml:space="preserve">then </w:t>
      </w:r>
      <w:r w:rsidR="00CD780F">
        <w:t xml:space="preserve">adjusted </w:t>
      </w:r>
      <w:r w:rsidR="007C67F7">
        <w:t xml:space="preserve">according </w:t>
      </w:r>
      <w:r w:rsidR="00444831">
        <w:t>to</w:t>
      </w:r>
      <w:r w:rsidR="00266AF0">
        <w:t xml:space="preserve"> new Block Group targets </w:t>
      </w:r>
      <w:r w:rsidR="00CD780F">
        <w:t xml:space="preserve">and </w:t>
      </w:r>
      <w:r w:rsidR="008B7EE8">
        <w:t>served</w:t>
      </w:r>
      <w:r w:rsidR="00CD780F">
        <w:t xml:space="preserve"> as the</w:t>
      </w:r>
      <w:r w:rsidR="005479DC">
        <w:t xml:space="preserve"> new marginal</w:t>
      </w:r>
      <w:r w:rsidR="00CD780F">
        <w:t xml:space="preserve"> controls in synthesizer. </w:t>
      </w:r>
      <w:r w:rsidR="00E42679">
        <w:t xml:space="preserve"> </w:t>
      </w:r>
    </w:p>
    <w:p w:rsidR="006758C0" w:rsidRDefault="006758C0" w:rsidP="00AA5FEF">
      <w:pPr>
        <w:pStyle w:val="ListParagraph"/>
        <w:jc w:val="both"/>
      </w:pPr>
    </w:p>
    <w:p w:rsidR="00066DF8" w:rsidRDefault="00046A6B" w:rsidP="000050B4">
      <w:pPr>
        <w:pStyle w:val="ListParagraph"/>
        <w:jc w:val="both"/>
      </w:pPr>
      <w:r>
        <w:t xml:space="preserve">Early </w:t>
      </w:r>
      <w:r w:rsidR="00FA4802">
        <w:t xml:space="preserve">synthesis </w:t>
      </w:r>
      <w:r w:rsidR="00CD780F">
        <w:t>test</w:t>
      </w:r>
      <w:r w:rsidR="00FA4802">
        <w:t>s</w:t>
      </w:r>
      <w:r>
        <w:t xml:space="preserve"> showed </w:t>
      </w:r>
      <w:r w:rsidR="00FA4802">
        <w:t xml:space="preserve">that </w:t>
      </w:r>
      <w:proofErr w:type="spellStart"/>
      <w:r w:rsidR="00CD780F">
        <w:t>Synthpop</w:t>
      </w:r>
      <w:proofErr w:type="spellEnd"/>
      <w:r w:rsidR="00CD780F">
        <w:t xml:space="preserve"> had </w:t>
      </w:r>
      <w:r>
        <w:t xml:space="preserve">good </w:t>
      </w:r>
      <w:r w:rsidR="00FA4802">
        <w:t xml:space="preserve">matches </w:t>
      </w:r>
      <w:r w:rsidR="000525B4">
        <w:t>to</w:t>
      </w:r>
      <w:r w:rsidR="00FA4802">
        <w:t xml:space="preserve"> household</w:t>
      </w:r>
      <w:r>
        <w:t xml:space="preserve"> </w:t>
      </w:r>
      <w:r w:rsidR="00E52CBD">
        <w:t>targets</w:t>
      </w:r>
      <w:r w:rsidR="00FA4802">
        <w:t xml:space="preserve"> </w:t>
      </w:r>
      <w:r w:rsidR="008B7EE8">
        <w:t>but population</w:t>
      </w:r>
      <w:r w:rsidR="000050B4">
        <w:t xml:space="preserve"> </w:t>
      </w:r>
      <w:r w:rsidR="00FA4802">
        <w:t>results</w:t>
      </w:r>
      <w:r w:rsidR="008B7EE8">
        <w:t xml:space="preserve"> were poor</w:t>
      </w:r>
      <w:r>
        <w:t>. Depends on the specific county</w:t>
      </w:r>
      <w:r w:rsidR="00FA4802">
        <w:t xml:space="preserve"> in SEMCOG region</w:t>
      </w:r>
      <w:r w:rsidR="00E52CBD">
        <w:t xml:space="preserve">, </w:t>
      </w:r>
      <w:r w:rsidR="007C67F7">
        <w:t xml:space="preserve">the </w:t>
      </w:r>
      <w:r w:rsidR="00E52CBD">
        <w:t xml:space="preserve">synthesized population </w:t>
      </w:r>
      <w:r>
        <w:t xml:space="preserve">could </w:t>
      </w:r>
      <w:r w:rsidR="00E52CBD">
        <w:t>be 2% to 8</w:t>
      </w:r>
      <w:r>
        <w:t>%</w:t>
      </w:r>
      <w:r w:rsidR="00E52CBD">
        <w:t xml:space="preserve"> less than its control totals</w:t>
      </w:r>
      <w:r>
        <w:t xml:space="preserve">. Further analysis showed that this discrepancy </w:t>
      </w:r>
      <w:r w:rsidR="007C67F7">
        <w:t>was</w:t>
      </w:r>
      <w:r>
        <w:t xml:space="preserve"> largely caused by </w:t>
      </w:r>
      <w:r w:rsidR="008B7EE8">
        <w:t>ACS</w:t>
      </w:r>
      <w:r>
        <w:t xml:space="preserve"> household size distribution, which is heavily skewed toward </w:t>
      </w:r>
      <w:r w:rsidR="000050B4">
        <w:t>small</w:t>
      </w:r>
      <w:r>
        <w:t xml:space="preserve"> household</w:t>
      </w:r>
      <w:r w:rsidR="000050B4">
        <w:t>s.</w:t>
      </w:r>
      <w:r>
        <w:t xml:space="preserve"> SEMCOG corrected this issue by </w:t>
      </w:r>
      <w:r w:rsidR="007C1A26">
        <w:t xml:space="preserve">shifting </w:t>
      </w:r>
      <w:r w:rsidR="007C67F7">
        <w:t>overall</w:t>
      </w:r>
      <w:r w:rsidR="007C1A26">
        <w:t xml:space="preserve"> household size </w:t>
      </w:r>
      <w:r w:rsidR="007C1A26">
        <w:lastRenderedPageBreak/>
        <w:t xml:space="preserve">distribution </w:t>
      </w:r>
      <w:r w:rsidR="000050B4">
        <w:t>upwards</w:t>
      </w:r>
      <w:r w:rsidR="007C1A26">
        <w:t xml:space="preserve"> while holding both </w:t>
      </w:r>
      <w:r w:rsidR="00E52CBD">
        <w:t xml:space="preserve">BG </w:t>
      </w:r>
      <w:r w:rsidR="007C1A26">
        <w:t xml:space="preserve">household and population </w:t>
      </w:r>
      <w:r w:rsidR="00E52CBD">
        <w:t>control</w:t>
      </w:r>
      <w:r w:rsidR="000050B4">
        <w:t>s</w:t>
      </w:r>
      <w:r w:rsidR="00FA4802">
        <w:t xml:space="preserve"> constant</w:t>
      </w:r>
      <w:r w:rsidR="007C1A26">
        <w:t xml:space="preserve">. </w:t>
      </w:r>
      <w:r w:rsidR="00E52CBD">
        <w:t xml:space="preserve">At the end, </w:t>
      </w:r>
      <w:r w:rsidR="007C1A26">
        <w:t>s</w:t>
      </w:r>
      <w:r w:rsidR="007C67F7">
        <w:t>ynthesized household and person</w:t>
      </w:r>
      <w:r w:rsidR="007C1A26">
        <w:t xml:space="preserve"> </w:t>
      </w:r>
      <w:r w:rsidR="00400A3D">
        <w:t xml:space="preserve">counts at county level are around </w:t>
      </w:r>
      <w:r w:rsidR="00C73F47">
        <w:t>99.9% and 99</w:t>
      </w:r>
      <w:r w:rsidR="00400A3D">
        <w:t>% accuracy.</w:t>
      </w:r>
      <w:r w:rsidR="007C1A26">
        <w:t xml:space="preserve">   </w:t>
      </w:r>
      <w:r>
        <w:t xml:space="preserve">  </w:t>
      </w:r>
    </w:p>
    <w:p w:rsidR="00066DF8" w:rsidRDefault="00066DF8" w:rsidP="00AA5FEF">
      <w:pPr>
        <w:pStyle w:val="ListParagraph"/>
        <w:jc w:val="both"/>
      </w:pPr>
    </w:p>
    <w:p w:rsidR="00066DF8" w:rsidRDefault="00066DF8" w:rsidP="00AA5FEF">
      <w:pPr>
        <w:pStyle w:val="ListParagraph"/>
        <w:jc w:val="both"/>
      </w:pPr>
    </w:p>
    <w:p w:rsidR="00377DC7" w:rsidRDefault="00287977" w:rsidP="00AA5FEF">
      <w:pPr>
        <w:pStyle w:val="ListParagraph"/>
        <w:numPr>
          <w:ilvl w:val="0"/>
          <w:numId w:val="1"/>
        </w:numPr>
        <w:jc w:val="both"/>
        <w:rPr>
          <w:b/>
        </w:rPr>
      </w:pPr>
      <w:r w:rsidRPr="00F1768D">
        <w:rPr>
          <w:b/>
        </w:rPr>
        <w:t>Household Assignment to Residential Units</w:t>
      </w:r>
    </w:p>
    <w:p w:rsidR="00F1768D" w:rsidRDefault="00F1768D" w:rsidP="00F1768D">
      <w:pPr>
        <w:pStyle w:val="ListParagraph"/>
        <w:jc w:val="both"/>
      </w:pPr>
    </w:p>
    <w:p w:rsidR="0091499E" w:rsidRDefault="004B3CDF" w:rsidP="00E52CBD">
      <w:pPr>
        <w:tabs>
          <w:tab w:val="left" w:pos="540"/>
        </w:tabs>
        <w:ind w:left="720"/>
      </w:pPr>
      <w:r>
        <w:t>At this stage, s</w:t>
      </w:r>
      <w:r w:rsidR="006F20F0">
        <w:t xml:space="preserve">ynthesized households were further placed into individual residential housing unit </w:t>
      </w:r>
      <w:r w:rsidR="00115F84">
        <w:t>within Block Groups</w:t>
      </w:r>
      <w:r w:rsidR="006F20F0">
        <w:t xml:space="preserve">. </w:t>
      </w:r>
      <w:r w:rsidR="00C52CC0">
        <w:t>H</w:t>
      </w:r>
      <w:r w:rsidR="00C94666">
        <w:t>ousehold</w:t>
      </w:r>
      <w:r w:rsidR="007C67F7">
        <w:t>s</w:t>
      </w:r>
      <w:r w:rsidR="00C94666">
        <w:t xml:space="preserve"> from step 1 </w:t>
      </w:r>
      <w:r w:rsidR="00C52CC0">
        <w:t xml:space="preserve">synthesis </w:t>
      </w:r>
      <w:r w:rsidR="00E52BD3">
        <w:t xml:space="preserve">carry </w:t>
      </w:r>
      <w:r w:rsidR="00C52CC0">
        <w:t>PUMS</w:t>
      </w:r>
      <w:r w:rsidR="0091499E">
        <w:t xml:space="preserve"> </w:t>
      </w:r>
      <w:r w:rsidR="00E52BD3">
        <w:t>housing information</w:t>
      </w:r>
      <w:r w:rsidR="00C94666">
        <w:t xml:space="preserve"> </w:t>
      </w:r>
      <w:r w:rsidR="00C73F47">
        <w:t>such as</w:t>
      </w:r>
      <w:r w:rsidR="00C94666">
        <w:t xml:space="preserve"> </w:t>
      </w:r>
      <w:r w:rsidR="00C73F47">
        <w:t xml:space="preserve">property </w:t>
      </w:r>
      <w:r w:rsidR="00266AF0">
        <w:t>types</w:t>
      </w:r>
      <w:r w:rsidR="00C73F47">
        <w:t xml:space="preserve"> and year built</w:t>
      </w:r>
      <w:r w:rsidR="00E15E65">
        <w:t xml:space="preserve">, </w:t>
      </w:r>
      <w:r w:rsidR="0091499E">
        <w:t>allowing</w:t>
      </w:r>
      <w:r w:rsidR="00C73F47">
        <w:t xml:space="preserve"> the possibility to</w:t>
      </w:r>
      <w:r w:rsidR="0091499E">
        <w:t xml:space="preserve"> </w:t>
      </w:r>
      <w:r w:rsidR="00C73F47">
        <w:t>match</w:t>
      </w:r>
      <w:r w:rsidR="00E15E65">
        <w:t xml:space="preserve"> households to suitable residential units </w:t>
      </w:r>
      <w:r w:rsidR="00115F84">
        <w:t>from</w:t>
      </w:r>
      <w:r w:rsidR="0091499E">
        <w:t xml:space="preserve"> 2015 </w:t>
      </w:r>
      <w:r w:rsidR="00266AF0">
        <w:t xml:space="preserve">SEMCOG </w:t>
      </w:r>
      <w:r w:rsidR="0091499E">
        <w:t xml:space="preserve">building data. </w:t>
      </w:r>
      <w:r w:rsidR="00E15E65">
        <w:t xml:space="preserve">SEMCOG developed a special household </w:t>
      </w:r>
      <w:r w:rsidR="00C94666">
        <w:t>assignmen</w:t>
      </w:r>
      <w:r w:rsidR="00DD09D2">
        <w:t>t program</w:t>
      </w:r>
      <w:r w:rsidR="00C94666">
        <w:t xml:space="preserve"> and</w:t>
      </w:r>
      <w:r w:rsidR="0091499E" w:rsidRPr="0091499E">
        <w:t xml:space="preserve"> implement</w:t>
      </w:r>
      <w:r w:rsidR="00C94666">
        <w:t xml:space="preserve">ed the </w:t>
      </w:r>
      <w:r w:rsidR="0091499E" w:rsidRPr="0091499E">
        <w:t>standard</w:t>
      </w:r>
      <w:r w:rsidR="00C52CC0">
        <w:t xml:space="preserve"> “Stable Matching Problem” </w:t>
      </w:r>
      <w:r w:rsidR="0091499E" w:rsidRPr="0091499E">
        <w:t>algorithm</w:t>
      </w:r>
      <w:r w:rsidR="00C73F47">
        <w:t xml:space="preserve"> (</w:t>
      </w:r>
      <w:hyperlink r:id="rId7" w:history="1">
        <w:r w:rsidR="00C73F47" w:rsidRPr="00A04117">
          <w:rPr>
            <w:rStyle w:val="Hyperlink"/>
          </w:rPr>
          <w:t>https://en.wikipedia.org/wiki/Stable_marriage_problem</w:t>
        </w:r>
      </w:hyperlink>
      <w:r w:rsidR="00C73F47">
        <w:t xml:space="preserve">). </w:t>
      </w:r>
      <w:r w:rsidR="0091499E" w:rsidRPr="0091499E">
        <w:t xml:space="preserve">This algorithm guarantees that there is no </w:t>
      </w:r>
      <w:r w:rsidR="00C94666">
        <w:t>pair</w:t>
      </w:r>
      <w:r w:rsidR="0091499E" w:rsidRPr="0091499E">
        <w:t xml:space="preserve"> of household and building where the building is more suitable to the household </w:t>
      </w:r>
      <w:r w:rsidR="00C94666">
        <w:t>than</w:t>
      </w:r>
      <w:r w:rsidR="0091499E" w:rsidRPr="0091499E">
        <w:t xml:space="preserve"> its current home and the household is mo</w:t>
      </w:r>
      <w:r w:rsidR="0091499E">
        <w:t>re suitable for the building tha</w:t>
      </w:r>
      <w:r w:rsidR="0091499E" w:rsidRPr="0091499E">
        <w:t xml:space="preserve">n its current occupant. The quality of the placement hinges on the definition of suitable used in the algorithm. </w:t>
      </w:r>
    </w:p>
    <w:p w:rsidR="0091499E" w:rsidRPr="0091499E" w:rsidRDefault="0091499E" w:rsidP="00E52CBD">
      <w:pPr>
        <w:tabs>
          <w:tab w:val="left" w:pos="540"/>
        </w:tabs>
        <w:ind w:left="720"/>
      </w:pPr>
    </w:p>
    <w:p w:rsidR="0091499E" w:rsidRPr="0091499E" w:rsidRDefault="0091499E" w:rsidP="00E52CBD">
      <w:pPr>
        <w:tabs>
          <w:tab w:val="left" w:pos="540"/>
        </w:tabs>
        <w:ind w:left="720"/>
      </w:pPr>
      <w:r w:rsidRPr="0091499E">
        <w:t>The function chosen considered a series of comparisons in order: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1.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>Do they have the same County?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2.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>Do they have the same MCD?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3.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>Do they have the same Tract?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4.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>Do they have the same Block Group?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5.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>Do they have the same Tenure status?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6.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 xml:space="preserve">Are the buildings type and households </w:t>
      </w:r>
      <w:r>
        <w:t>building</w:t>
      </w:r>
      <w:r w:rsidRPr="0091499E">
        <w:t xml:space="preserve"> code compatible?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7.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 xml:space="preserve">Are the number of housing units </w:t>
      </w:r>
      <w:r>
        <w:t xml:space="preserve">is </w:t>
      </w:r>
      <w:r w:rsidRPr="0091499E">
        <w:t>co</w:t>
      </w:r>
      <w:r>
        <w:t>mpatible with the household’s building info</w:t>
      </w:r>
      <w:r w:rsidRPr="0091499E">
        <w:t>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8.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>How similar are the quantile of the property value of the building to quantile of the home value / rent of the household?</w:t>
      </w:r>
    </w:p>
    <w:p w:rsidR="0091499E" w:rsidRPr="0091499E" w:rsidRDefault="0091499E" w:rsidP="00E52CBD">
      <w:pPr>
        <w:pStyle w:val="ListParagraph"/>
        <w:tabs>
          <w:tab w:val="left" w:pos="540"/>
        </w:tabs>
      </w:pPr>
      <w:r w:rsidRPr="0091499E">
        <w:t>9.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     </w:t>
      </w:r>
      <w:r w:rsidRPr="0091499E">
        <w:t>How similar is the age of the building to the age of the househ</w:t>
      </w:r>
      <w:r w:rsidR="007C67F7">
        <w:t>olds dwelling, recoded into C</w:t>
      </w:r>
      <w:r w:rsidRPr="0091499E">
        <w:t>ens</w:t>
      </w:r>
      <w:r w:rsidR="007C67F7">
        <w:t>u</w:t>
      </w:r>
      <w:r w:rsidRPr="0091499E">
        <w:t>s categories?</w:t>
      </w:r>
    </w:p>
    <w:p w:rsidR="0091499E" w:rsidRDefault="0091499E" w:rsidP="00E52CBD">
      <w:pPr>
        <w:pStyle w:val="ListParagraph"/>
        <w:tabs>
          <w:tab w:val="left" w:pos="540"/>
        </w:tabs>
      </w:pPr>
      <w:r w:rsidRPr="0091499E">
        <w:t>10.</w:t>
      </w:r>
      <w:r w:rsidRPr="0091499E">
        <w:rPr>
          <w:rFonts w:ascii="Times New Roman" w:hAnsi="Times New Roman" w:cs="Times New Roman"/>
          <w:sz w:val="14"/>
          <w:szCs w:val="14"/>
        </w:rPr>
        <w:t xml:space="preserve">   </w:t>
      </w:r>
      <w:r w:rsidRPr="0091499E">
        <w:t>How similar are the quantile of the property value of the building to quantile of the income of the household?</w:t>
      </w:r>
    </w:p>
    <w:p w:rsidR="00C73F47" w:rsidRPr="0091499E" w:rsidRDefault="00C73F47" w:rsidP="0091499E">
      <w:pPr>
        <w:pStyle w:val="ListParagraph"/>
        <w:ind w:left="1080" w:hanging="360"/>
      </w:pPr>
    </w:p>
    <w:p w:rsidR="0091499E" w:rsidRPr="0091499E" w:rsidRDefault="0091499E" w:rsidP="0091499E">
      <w:pPr>
        <w:ind w:left="360"/>
      </w:pPr>
      <w:r w:rsidRPr="0091499E">
        <w:t> </w:t>
      </w:r>
    </w:p>
    <w:p w:rsidR="0091499E" w:rsidRDefault="0091499E" w:rsidP="0091499E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Refine</w:t>
      </w:r>
      <w:r w:rsidRPr="0091499E">
        <w:rPr>
          <w:b/>
          <w:bCs/>
        </w:rPr>
        <w:t xml:space="preserve"> synthesized popula</w:t>
      </w:r>
      <w:r>
        <w:rPr>
          <w:b/>
          <w:bCs/>
        </w:rPr>
        <w:t xml:space="preserve">tion to match REMI’s 2015 </w:t>
      </w:r>
      <w:r w:rsidRPr="0091499E">
        <w:rPr>
          <w:b/>
          <w:bCs/>
        </w:rPr>
        <w:t>age distribution</w:t>
      </w:r>
    </w:p>
    <w:p w:rsidR="00377DC7" w:rsidRDefault="0091499E" w:rsidP="0091499E">
      <w:pPr>
        <w:jc w:val="both"/>
      </w:pPr>
      <w:r>
        <w:rPr>
          <w:color w:val="1F4E79"/>
        </w:rPr>
        <w:t> </w:t>
      </w:r>
    </w:p>
    <w:p w:rsidR="0091499E" w:rsidRDefault="008E512C" w:rsidP="0095013E">
      <w:pPr>
        <w:ind w:left="720"/>
        <w:jc w:val="both"/>
      </w:pPr>
      <w:r>
        <w:t xml:space="preserve">REMI population forecast provided essential demographic controls for SEMCOG forecast model. Its base year </w:t>
      </w:r>
      <w:r w:rsidR="000C2AF7">
        <w:t>age</w:t>
      </w:r>
      <w:r w:rsidR="00E45D41">
        <w:t xml:space="preserve"> </w:t>
      </w:r>
      <w:r w:rsidR="000C2AF7">
        <w:t>distribution is</w:t>
      </w:r>
      <w:r>
        <w:t xml:space="preserve"> based on 2015 1-year ACS, which is different from the </w:t>
      </w:r>
      <w:r w:rsidR="00242A68">
        <w:t xml:space="preserve">5-year ACS </w:t>
      </w:r>
      <w:r>
        <w:t>synthesized population</w:t>
      </w:r>
      <w:r w:rsidR="0095013E">
        <w:t>. This</w:t>
      </w:r>
      <w:r w:rsidR="00F33AAF">
        <w:t xml:space="preserve"> difference </w:t>
      </w:r>
      <w:r w:rsidR="0095013E">
        <w:t>broadcasts</w:t>
      </w:r>
      <w:r w:rsidR="00242A68">
        <w:t xml:space="preserve"> into the f</w:t>
      </w:r>
      <w:r w:rsidR="0095013E">
        <w:t>orecast</w:t>
      </w:r>
      <w:r w:rsidR="00242A68">
        <w:t xml:space="preserve"> period</w:t>
      </w:r>
      <w:r w:rsidR="0095013E">
        <w:t xml:space="preserve"> and causes</w:t>
      </w:r>
      <w:r w:rsidR="00F33AAF">
        <w:t xml:space="preserve"> </w:t>
      </w:r>
      <w:r w:rsidR="0095013E">
        <w:t xml:space="preserve">some volatility in demographic </w:t>
      </w:r>
      <w:r w:rsidR="00400A3D">
        <w:t>forecast simulation</w:t>
      </w:r>
      <w:r w:rsidR="0095013E">
        <w:t xml:space="preserve">, especially in early forecast years.  </w:t>
      </w:r>
      <w:r>
        <w:t xml:space="preserve">Therefore, SEMCOG applied </w:t>
      </w:r>
      <w:r w:rsidR="005E12BD">
        <w:t>a</w:t>
      </w:r>
      <w:r w:rsidR="0095013E">
        <w:t xml:space="preserve"> </w:t>
      </w:r>
      <w:r w:rsidR="000C2AF7">
        <w:t>refinement process</w:t>
      </w:r>
      <w:r w:rsidR="00242A68">
        <w:t xml:space="preserve"> to </w:t>
      </w:r>
      <w:r w:rsidR="00E45D41">
        <w:t>better align synthesized household</w:t>
      </w:r>
      <w:r w:rsidR="000C2AF7">
        <w:t xml:space="preserve"> ages</w:t>
      </w:r>
      <w:r w:rsidR="00E45D41">
        <w:t xml:space="preserve"> to REMI baseline</w:t>
      </w:r>
      <w:r w:rsidR="000C2AF7">
        <w:t xml:space="preserve"> age distribution</w:t>
      </w:r>
      <w:r w:rsidR="00E45D41">
        <w:t xml:space="preserve">. </w:t>
      </w:r>
      <w:r w:rsidR="0095013E">
        <w:t xml:space="preserve">The </w:t>
      </w:r>
      <w:r w:rsidR="000C2AF7">
        <w:t>refinement program</w:t>
      </w:r>
      <w:r w:rsidR="0095013E">
        <w:t xml:space="preserve"> </w:t>
      </w:r>
      <w:r w:rsidR="0091499E">
        <w:t>random</w:t>
      </w:r>
      <w:r w:rsidR="0095013E">
        <w:t>ly</w:t>
      </w:r>
      <w:r w:rsidR="0091499E">
        <w:t xml:space="preserve"> select</w:t>
      </w:r>
      <w:r w:rsidR="0095013E">
        <w:t>ed</w:t>
      </w:r>
      <w:r w:rsidR="0091499E">
        <w:t xml:space="preserve"> synthesized population that are </w:t>
      </w:r>
      <w:r w:rsidR="00242A68">
        <w:t xml:space="preserve">not the heads of households </w:t>
      </w:r>
      <w:r w:rsidR="0091499E">
        <w:t xml:space="preserve">from each 5 year age group and “aged” </w:t>
      </w:r>
      <w:r w:rsidR="00242A68">
        <w:t xml:space="preserve">them </w:t>
      </w:r>
      <w:r w:rsidR="0091499E">
        <w:t xml:space="preserve">into the next higher age group. Care </w:t>
      </w:r>
      <w:r w:rsidR="00242A68">
        <w:t>was</w:t>
      </w:r>
      <w:r w:rsidR="0091499E">
        <w:t xml:space="preserve"> taken to maintain the single year age distributions within each age group.</w:t>
      </w:r>
    </w:p>
    <w:p w:rsidR="00377DC7" w:rsidRDefault="00377DC7" w:rsidP="001800AF">
      <w:pPr>
        <w:jc w:val="both"/>
      </w:pPr>
    </w:p>
    <w:p w:rsidR="00377DC7" w:rsidRDefault="00377DC7" w:rsidP="001800AF">
      <w:pPr>
        <w:jc w:val="both"/>
      </w:pPr>
    </w:p>
    <w:p w:rsidR="001F2CD9" w:rsidRDefault="001F2CD9">
      <w:pPr>
        <w:spacing w:after="160" w:line="259" w:lineRule="auto"/>
      </w:pPr>
      <w:r>
        <w:br w:type="page"/>
      </w:r>
    </w:p>
    <w:p w:rsidR="001F2CD9" w:rsidRDefault="00266AF0" w:rsidP="001800AF">
      <w:r w:rsidRPr="00266AF0">
        <w:lastRenderedPageBreak/>
        <w:t xml:space="preserve">The </w:t>
      </w:r>
      <w:r>
        <w:t xml:space="preserve">final synthesized </w:t>
      </w:r>
      <w:r w:rsidR="00AA440F">
        <w:t xml:space="preserve">households </w:t>
      </w:r>
      <w:bookmarkStart w:id="0" w:name="_GoBack"/>
      <w:bookmarkEnd w:id="0"/>
      <w:r w:rsidR="00AA440F">
        <w:t>and persons</w:t>
      </w:r>
      <w:r>
        <w:t xml:space="preserve"> </w:t>
      </w:r>
      <w:r w:rsidR="001F2CD9">
        <w:t>structure:</w:t>
      </w:r>
    </w:p>
    <w:p w:rsidR="009471BC" w:rsidRDefault="001F2CD9" w:rsidP="001800AF">
      <w:r>
        <w:tab/>
      </w:r>
    </w:p>
    <w:p w:rsidR="002177EE" w:rsidRDefault="001F2CD9" w:rsidP="001800AF">
      <w:r>
        <w:t xml:space="preserve">Households:   </w:t>
      </w:r>
    </w:p>
    <w:p w:rsidR="002177EE" w:rsidRDefault="002177EE" w:rsidP="002177EE">
      <w:pPr>
        <w:pStyle w:val="ListParagraph"/>
        <w:numPr>
          <w:ilvl w:val="0"/>
          <w:numId w:val="2"/>
        </w:numPr>
      </w:pPr>
      <w:r>
        <w:t>age of head</w:t>
      </w:r>
    </w:p>
    <w:p w:rsidR="002177EE" w:rsidRDefault="001F2CD9" w:rsidP="002177EE">
      <w:pPr>
        <w:pStyle w:val="ListParagraph"/>
        <w:numPr>
          <w:ilvl w:val="0"/>
          <w:numId w:val="2"/>
        </w:numPr>
      </w:pPr>
      <w:r>
        <w:t>race of head</w:t>
      </w:r>
      <w:r w:rsidR="002177EE">
        <w:t xml:space="preserve"> (White, Black, Hispanic, Others)</w:t>
      </w:r>
    </w:p>
    <w:p w:rsidR="002177EE" w:rsidRDefault="002177EE" w:rsidP="002177EE">
      <w:pPr>
        <w:pStyle w:val="ListParagraph"/>
        <w:numPr>
          <w:ilvl w:val="0"/>
          <w:numId w:val="2"/>
        </w:numPr>
      </w:pPr>
      <w:r>
        <w:t>income</w:t>
      </w:r>
    </w:p>
    <w:p w:rsidR="002177EE" w:rsidRDefault="002177EE" w:rsidP="002177EE">
      <w:pPr>
        <w:pStyle w:val="ListParagraph"/>
        <w:numPr>
          <w:ilvl w:val="0"/>
          <w:numId w:val="2"/>
        </w:numPr>
      </w:pPr>
      <w:r>
        <w:t># of workers</w:t>
      </w:r>
    </w:p>
    <w:p w:rsidR="002177EE" w:rsidRDefault="002177EE" w:rsidP="002177EE">
      <w:pPr>
        <w:pStyle w:val="ListParagraph"/>
        <w:numPr>
          <w:ilvl w:val="0"/>
          <w:numId w:val="2"/>
        </w:numPr>
      </w:pPr>
      <w:r>
        <w:t># of cars</w:t>
      </w:r>
    </w:p>
    <w:p w:rsidR="002177EE" w:rsidRDefault="002177EE" w:rsidP="002177EE">
      <w:pPr>
        <w:pStyle w:val="ListParagraph"/>
        <w:numPr>
          <w:ilvl w:val="0"/>
          <w:numId w:val="2"/>
        </w:numPr>
      </w:pPr>
      <w:r>
        <w:t xml:space="preserve"># </w:t>
      </w:r>
      <w:r w:rsidR="001F2CD9">
        <w:t>children</w:t>
      </w:r>
    </w:p>
    <w:p w:rsidR="002177EE" w:rsidRDefault="002177EE" w:rsidP="002177EE">
      <w:pPr>
        <w:pStyle w:val="ListParagraph"/>
        <w:numPr>
          <w:ilvl w:val="0"/>
          <w:numId w:val="2"/>
        </w:numPr>
      </w:pPr>
      <w:r>
        <w:t># of persons</w:t>
      </w:r>
    </w:p>
    <w:p w:rsidR="002177EE" w:rsidRDefault="009471BC" w:rsidP="002177EE">
      <w:pPr>
        <w:pStyle w:val="ListParagraph"/>
        <w:numPr>
          <w:ilvl w:val="0"/>
          <w:numId w:val="2"/>
        </w:numPr>
      </w:pPr>
      <w:r>
        <w:t>b</w:t>
      </w:r>
      <w:r w:rsidR="002177EE">
        <w:t>uilding ID</w:t>
      </w:r>
    </w:p>
    <w:p w:rsidR="002177EE" w:rsidRDefault="002177EE" w:rsidP="009471BC">
      <w:r>
        <w:t>Persons:</w:t>
      </w:r>
    </w:p>
    <w:p w:rsidR="002177EE" w:rsidRDefault="002177EE" w:rsidP="002177EE">
      <w:pPr>
        <w:pStyle w:val="ListParagraph"/>
        <w:numPr>
          <w:ilvl w:val="0"/>
          <w:numId w:val="3"/>
        </w:numPr>
      </w:pPr>
      <w:r>
        <w:t>age</w:t>
      </w:r>
    </w:p>
    <w:p w:rsidR="002177EE" w:rsidRDefault="002177EE" w:rsidP="002177EE">
      <w:pPr>
        <w:pStyle w:val="ListParagraph"/>
        <w:numPr>
          <w:ilvl w:val="0"/>
          <w:numId w:val="3"/>
        </w:numPr>
      </w:pPr>
      <w:r>
        <w:t xml:space="preserve">race </w:t>
      </w:r>
      <w:r>
        <w:t xml:space="preserve"> (White, Black, Hispanic, Others)</w:t>
      </w:r>
    </w:p>
    <w:p w:rsidR="002177EE" w:rsidRDefault="002177EE" w:rsidP="002177EE">
      <w:pPr>
        <w:pStyle w:val="ListParagraph"/>
        <w:numPr>
          <w:ilvl w:val="0"/>
          <w:numId w:val="3"/>
        </w:numPr>
      </w:pPr>
      <w:r>
        <w:t>worker status</w:t>
      </w:r>
    </w:p>
    <w:p w:rsidR="001800AF" w:rsidRDefault="009471BC" w:rsidP="002177EE">
      <w:pPr>
        <w:pStyle w:val="ListParagraph"/>
        <w:numPr>
          <w:ilvl w:val="0"/>
          <w:numId w:val="3"/>
        </w:numPr>
      </w:pPr>
      <w:r>
        <w:t>household ID</w:t>
      </w:r>
      <w:r w:rsidR="001F2CD9">
        <w:t xml:space="preserve"> </w:t>
      </w:r>
      <w:r w:rsidR="00266AF0">
        <w:t xml:space="preserve"> </w:t>
      </w:r>
    </w:p>
    <w:sectPr w:rsidR="0018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4904"/>
    <w:multiLevelType w:val="hybridMultilevel"/>
    <w:tmpl w:val="D6F07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01F5"/>
    <w:multiLevelType w:val="hybridMultilevel"/>
    <w:tmpl w:val="9A80AF50"/>
    <w:lvl w:ilvl="0" w:tplc="27C414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9856C3"/>
    <w:multiLevelType w:val="hybridMultilevel"/>
    <w:tmpl w:val="6B286B6A"/>
    <w:lvl w:ilvl="0" w:tplc="A6BAA6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AF"/>
    <w:rsid w:val="000050B4"/>
    <w:rsid w:val="00042322"/>
    <w:rsid w:val="00046A6B"/>
    <w:rsid w:val="000525B4"/>
    <w:rsid w:val="00066DF8"/>
    <w:rsid w:val="000C2AF7"/>
    <w:rsid w:val="000F7E2A"/>
    <w:rsid w:val="00115F84"/>
    <w:rsid w:val="001800AF"/>
    <w:rsid w:val="00186CA6"/>
    <w:rsid w:val="001F2CD9"/>
    <w:rsid w:val="002177EE"/>
    <w:rsid w:val="00242A68"/>
    <w:rsid w:val="00266AF0"/>
    <w:rsid w:val="002842A3"/>
    <w:rsid w:val="00287977"/>
    <w:rsid w:val="00377DC7"/>
    <w:rsid w:val="00400A3D"/>
    <w:rsid w:val="00444831"/>
    <w:rsid w:val="00451E4D"/>
    <w:rsid w:val="004747D9"/>
    <w:rsid w:val="004B3CDF"/>
    <w:rsid w:val="005479DC"/>
    <w:rsid w:val="005E12BD"/>
    <w:rsid w:val="00641211"/>
    <w:rsid w:val="006758C0"/>
    <w:rsid w:val="006F20F0"/>
    <w:rsid w:val="00706E78"/>
    <w:rsid w:val="00753667"/>
    <w:rsid w:val="00781EDE"/>
    <w:rsid w:val="007A23DB"/>
    <w:rsid w:val="007B5D8B"/>
    <w:rsid w:val="007B7C69"/>
    <w:rsid w:val="007C1A26"/>
    <w:rsid w:val="007C67F7"/>
    <w:rsid w:val="0083382C"/>
    <w:rsid w:val="008B7EE8"/>
    <w:rsid w:val="008E512C"/>
    <w:rsid w:val="0091499E"/>
    <w:rsid w:val="009471BC"/>
    <w:rsid w:val="0095013E"/>
    <w:rsid w:val="009C2352"/>
    <w:rsid w:val="00A003C7"/>
    <w:rsid w:val="00A220B3"/>
    <w:rsid w:val="00AA440F"/>
    <w:rsid w:val="00AA5FEF"/>
    <w:rsid w:val="00B423A6"/>
    <w:rsid w:val="00BD23E7"/>
    <w:rsid w:val="00C52CC0"/>
    <w:rsid w:val="00C73F47"/>
    <w:rsid w:val="00C94666"/>
    <w:rsid w:val="00CD780F"/>
    <w:rsid w:val="00D26CFE"/>
    <w:rsid w:val="00DD09D2"/>
    <w:rsid w:val="00E07E00"/>
    <w:rsid w:val="00E15E65"/>
    <w:rsid w:val="00E42679"/>
    <w:rsid w:val="00E45D41"/>
    <w:rsid w:val="00E52BD3"/>
    <w:rsid w:val="00E52CBD"/>
    <w:rsid w:val="00F1768D"/>
    <w:rsid w:val="00F33AAF"/>
    <w:rsid w:val="00F878E1"/>
    <w:rsid w:val="00FA4802"/>
    <w:rsid w:val="00FA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4CC5"/>
  <w15:chartTrackingRefBased/>
  <w15:docId w15:val="{208CBC64-57A5-4FD9-803B-B31E716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0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AF"/>
    <w:pPr>
      <w:ind w:left="720"/>
    </w:pPr>
  </w:style>
  <w:style w:type="character" w:styleId="Hyperlink">
    <w:name w:val="Hyperlink"/>
    <w:basedOn w:val="DefaultParagraphFont"/>
    <w:uiPriority w:val="99"/>
    <w:unhideWhenUsed/>
    <w:rsid w:val="001800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ble_marriage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ag.ca.gov/Documents/PopulationSynthesizerPaper_TRB.pdf" TargetMode="External"/><Relationship Id="rId5" Type="http://schemas.openxmlformats.org/officeDocument/2006/relationships/hyperlink" Target="https://github.com/UDST/synthp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Guangyu</dc:creator>
  <cp:keywords/>
  <dc:description/>
  <cp:lastModifiedBy>Li, Guangyu</cp:lastModifiedBy>
  <cp:revision>20</cp:revision>
  <dcterms:created xsi:type="dcterms:W3CDTF">2019-02-14T18:17:00Z</dcterms:created>
  <dcterms:modified xsi:type="dcterms:W3CDTF">2019-02-15T15:16:00Z</dcterms:modified>
</cp:coreProperties>
</file>