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57F8" w14:textId="77777777" w:rsidR="003279D5" w:rsidRDefault="003279D5" w:rsidP="003279D5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Швидкій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Вадим 01-19-06</w:t>
      </w:r>
    </w:p>
    <w:p w14:paraId="1C69B749" w14:textId="77777777" w:rsidR="003279D5" w:rsidRDefault="003279D5" w:rsidP="003279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EA93E78" w14:textId="77777777" w:rsidR="003279D5" w:rsidRDefault="003279D5" w:rsidP="003279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Есе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на тему </w:t>
      </w:r>
    </w:p>
    <w:p w14:paraId="5DCE37FD" w14:textId="77777777" w:rsidR="003279D5" w:rsidRDefault="003279D5" w:rsidP="003279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абсолютним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B46E02B" w14:textId="77777777" w:rsidR="003279D5" w:rsidRDefault="003279D5" w:rsidP="003279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2A3BD" w14:textId="59762E28" w:rsidR="003279D5" w:rsidRPr="00F73BF3" w:rsidRDefault="003279D5" w:rsidP="003279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одним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фундаментальних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Відомо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цінним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даром,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hyperlink r:id="rId4" w:tooltip="28 квітня" w:history="1">
        <w:r w:rsidR="004378A9">
          <w:rPr>
            <w:rStyle w:val="a3"/>
            <w:rFonts w:ascii="Arial" w:hAnsi="Arial" w:cs="Arial"/>
            <w:color w:val="0B0080"/>
            <w:sz w:val="21"/>
            <w:szCs w:val="21"/>
          </w:rPr>
          <w:t>28 квітня</w:t>
        </w:r>
      </w:hyperlink>
      <w:r w:rsidR="004378A9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378A9">
        <w:fldChar w:fldCharType="begin"/>
      </w:r>
      <w:r w:rsidR="004378A9">
        <w:instrText xml:space="preserve"> HYPERLINK "https://uk.wikipedia.org/wiki/1983" \o "1983" </w:instrText>
      </w:r>
      <w:r w:rsidR="004378A9">
        <w:fldChar w:fldCharType="separate"/>
      </w:r>
      <w:r w:rsidR="004378A9">
        <w:rPr>
          <w:rStyle w:val="a3"/>
          <w:rFonts w:ascii="Arial" w:hAnsi="Arial" w:cs="Arial"/>
          <w:color w:val="0B0080"/>
          <w:sz w:val="21"/>
          <w:szCs w:val="21"/>
        </w:rPr>
        <w:t>1983</w:t>
      </w:r>
      <w:r w:rsidR="004378A9">
        <w:fldChar w:fldCharType="end"/>
      </w:r>
      <w:r w:rsidR="004378A9">
        <w:rPr>
          <w:rFonts w:ascii="Arial" w:hAnsi="Arial" w:cs="Arial"/>
          <w:color w:val="202122"/>
          <w:sz w:val="21"/>
          <w:szCs w:val="21"/>
          <w:shd w:val="clear" w:color="auto" w:fill="FFFFFF"/>
        </w:rPr>
        <w:t> р. було прийнято</w:t>
      </w:r>
      <w:r w:rsidR="004378A9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378A9">
        <w:rPr>
          <w:rFonts w:ascii="Arial" w:hAnsi="Arial" w:cs="Arial"/>
          <w:i/>
          <w:iCs/>
          <w:color w:val="202122"/>
          <w:sz w:val="21"/>
          <w:szCs w:val="21"/>
        </w:rPr>
        <w:t>Протокол № 6 до</w:t>
      </w:r>
      <w:r w:rsidR="004378A9">
        <w:rPr>
          <w:rStyle w:val="apple-converted-space"/>
          <w:rFonts w:ascii="Arial" w:hAnsi="Arial" w:cs="Arial"/>
          <w:i/>
          <w:iCs/>
          <w:color w:val="202122"/>
          <w:sz w:val="21"/>
          <w:szCs w:val="21"/>
        </w:rPr>
        <w:t> </w:t>
      </w:r>
      <w:r w:rsidR="004378A9"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 w:rsidR="004378A9"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uk.wikipedia.org/wiki/%D0%9A%D0%BE%D0%BD%D0%B2%D0%B5%D0%BD%D1%86%D1%96%D1%8F_%D0%BF%D1%80%D0%BE_%D0%B7%D0%B0%D1%85%D0%B8%D1%81%D1%82_%D0%BF%D1%80%D0%B0%D0%B2_%D0%BB%D1%8E%D0%B4%D0%B8%D0%BD%D0%B8_%D1%96_%D0%BE%D1%81%D0%BD%D0%BE%D0%B2%D0%BE%D0%BF%D0%BE%D0%BB%D0%BE%D0%B6%D0%BD%D0%B8%D1%85_%D1%81%D0%B2%D0%BE%D0%B1%D0%BE%D0%B4" \o "Конвенція про захист прав людини і основоположних свобод" </w:instrText>
      </w:r>
      <w:r w:rsidR="004378A9"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 w:rsidR="004378A9">
        <w:rPr>
          <w:rStyle w:val="a3"/>
          <w:rFonts w:ascii="Arial" w:hAnsi="Arial" w:cs="Arial"/>
          <w:i/>
          <w:iCs/>
          <w:color w:val="0B0080"/>
          <w:sz w:val="21"/>
          <w:szCs w:val="21"/>
        </w:rPr>
        <w:t>Конвенції про захист прав людини і основоположних свобод</w:t>
      </w:r>
      <w:r w:rsidR="004378A9"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 w:rsidR="004378A9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Протокол щодо скасування смертної кари. У преамбулі цього документа вказано, що він був прийнятий з огляду на те, що розвиток подій у державах-членах Ради Європи відображає загальну тенденцію до скасування смертної кари. Стаття 1 Протоколу № 6 проголошує скасування смертної кари. Нікого не може бути засуджено до такого покарання або страчено. Відповідно до ст. 2 Протоколу, держава може передбачити у своєму законодавстві смертну кару за діяння, вчинені під час війни або неминучої загрози війни; таке покарання застосовується лише у випадках, передбачених законом і згідно з його положеннями.</w:t>
      </w:r>
    </w:p>
    <w:p w14:paraId="5B208CDC" w14:textId="77777777" w:rsidR="003279D5" w:rsidRDefault="003279D5" w:rsidP="003279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Європейська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конвенція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прав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прийнята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1950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році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гарантує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кожній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конвенція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жодна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особа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позбавлена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передбачене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законом та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дотримання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процедур.</w:t>
      </w:r>
    </w:p>
    <w:p w14:paraId="0AC8AFDD" w14:textId="77777777" w:rsidR="003279D5" w:rsidRDefault="003279D5" w:rsidP="003279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конвенція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абсолютного права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існують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коли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обмежене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самооборони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захисту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насильства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загрози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людей,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обов'язків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військової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служби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правоохоронних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органів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00F5FE4" w14:textId="77777777" w:rsidR="003279D5" w:rsidRDefault="003279D5" w:rsidP="003279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того,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Європейський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суд з прав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давним-давно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смертної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кари,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висічення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жорстокими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нелюдськими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принижуючими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образами, і тому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підлягають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застосуванню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абсолютним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обмежувати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обставини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8DE86EA" w14:textId="77777777" w:rsidR="003279D5" w:rsidRDefault="003279D5" w:rsidP="003279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Європейської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конвенції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прав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існують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міжнародні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договори,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невід'ємне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але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абсолютного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захисту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Міжнародний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пакт про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громадянські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політичні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прийнятий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1966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році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невід'ємне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повинне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захищене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законом.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того, пакт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забороняє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довільне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позбавлення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жодна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держава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позбавити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жодної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окрім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передбачено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законом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проведене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процедурами,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законом.</w:t>
      </w:r>
    </w:p>
    <w:p w14:paraId="0BEABE17" w14:textId="77777777" w:rsidR="003279D5" w:rsidRDefault="003279D5" w:rsidP="003279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і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Європейській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конвенції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прав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Міжнародний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пакт про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громадянські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політичні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права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абсолютного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захисту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пакт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смертної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кари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обмежених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випадках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законом, таких як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важкі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злочини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вчинені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зломислим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наміром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але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дотримання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процедур.</w:t>
      </w:r>
    </w:p>
    <w:p w14:paraId="478B2E3B" w14:textId="77777777" w:rsidR="003279D5" w:rsidRDefault="003279D5" w:rsidP="003279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того,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Міжнародний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пакт про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громадянські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політичні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ефективний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підтримуючи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безпеку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захищаючи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громадян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насильства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повинні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приймати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закони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регулюючі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обов'язків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правоохоронних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органів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державних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служб.</w:t>
      </w:r>
    </w:p>
    <w:p w14:paraId="3F29AA8F" w14:textId="417957EA" w:rsidR="003279D5" w:rsidRDefault="003279D5" w:rsidP="003279D5"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одним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важливих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невід'ємних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але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абсолютним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Існують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коли право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обмежене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життів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32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D5"/>
    <w:rsid w:val="003279D5"/>
    <w:rsid w:val="004378A9"/>
    <w:rsid w:val="00F7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DD44C"/>
  <w15:chartTrackingRefBased/>
  <w15:docId w15:val="{57392CCB-B2DB-1640-A4A7-E45DD3FC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8A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28_%D0%BA%D0%B2%D1%96%D1%82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Vadym shvydkiy</cp:lastModifiedBy>
  <cp:revision>2</cp:revision>
  <dcterms:created xsi:type="dcterms:W3CDTF">2023-03-28T17:26:00Z</dcterms:created>
  <dcterms:modified xsi:type="dcterms:W3CDTF">2023-05-22T04:58:00Z</dcterms:modified>
</cp:coreProperties>
</file>