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bidi w:val="0"/>
        <w:spacing w:before="240" w:after="120"/>
        <w:jc w:val="center"/>
        <w:rPr/>
      </w:pPr>
      <w:r>
        <w:rPr/>
        <w:t>Datenschutzerklärung</w:t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Informationen zum Datenschutz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Die folgenden Informationen zum Datenschutz sind ab dem 25. Mai 2018 gültig und spiegeln die gesteigerten Transparenzanforderungen der EU-Datenschutz-Grundverordnung wieder.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36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Verantwortliche nach DSGVO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Verarbeitung personenbezogener Daten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Die mit dieser Applikation verarbeiteten personenbezogenen Daten werden ausschließlich zum Zweck der Nachverfolgung von bestätigten Corona-Infizierungen oder -Verdachtsfälle erhoben. Grundlage der Verarbeitung bildet das Gesetz zur Verhütung und Bekämpfung von Infektionskrankheiten beim Menschen (Infektionsschutzgesetz - IfSG)  und dem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CoronaVMeldeV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Folgende Personenbezogene Daten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1"/>
          <w:highlight w:val="white"/>
          <w:lang w:val="de-DE"/>
        </w:rPr>
        <w:t>des Infektionsbetroffenen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 xml:space="preserve">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werden erfasst und verarbeitet: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663" w:leader="none"/>
        </w:tabs>
        <w:bidi w:val="0"/>
        <w:spacing w:lineRule="atLeast" w:line="270" w:before="0" w:after="0"/>
        <w:ind w:left="663" w:right="0" w:hanging="283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Identifikationsdaten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663" w:leader="none"/>
        </w:tabs>
        <w:bidi w:val="0"/>
        <w:spacing w:lineRule="atLeast" w:line="270" w:before="0" w:after="0"/>
        <w:ind w:left="663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Adressdaten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663" w:leader="none"/>
        </w:tabs>
        <w:bidi w:val="0"/>
        <w:spacing w:lineRule="atLeast" w:line="270" w:before="0" w:after="0"/>
        <w:ind w:left="663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Berufliche Tätigkeiten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663" w:leader="none"/>
        </w:tabs>
        <w:bidi w:val="0"/>
        <w:spacing w:lineRule="atLeast" w:line="270" w:before="0" w:after="0"/>
        <w:ind w:left="663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Gesundheitliche Betreuung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2"/>
        </w:numPr>
        <w:tabs>
          <w:tab w:val="clear" w:pos="709"/>
          <w:tab w:val="left" w:pos="663" w:leader="none"/>
        </w:tabs>
        <w:bidi w:val="0"/>
        <w:spacing w:lineRule="atLeast" w:line="270" w:before="0" w:after="0"/>
        <w:ind w:left="663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Befund des Infektionsbetroffenen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0"/>
        </w:numPr>
        <w:bidi w:val="0"/>
        <w:spacing w:lineRule="atLeast" w:line="270" w:before="0" w:after="0"/>
        <w:ind w:left="663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Sowie die folgenden Personenbezogenen Daten von Kontaktpersonen des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1"/>
          <w:highlight w:val="white"/>
          <w:lang w:val="de-DE"/>
        </w:rPr>
        <w:t>Infektionsbetroffenen: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Identifikationsdaten 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Adressdaten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1"/>
          <w:highlight w:val="white"/>
          <w:lang w:val="de-DE"/>
        </w:rPr>
        <w:t>Alle hier aufgeführten Personenbezogenen Daten sind nach dem Infektionsschutzgesetz und nachfolgend zur Corona-Pandemie erlassenden Verordnungen verpflichtend vom Betroffenen einer bestätigten Corona-Infizierung oder –Verdachtsfalles anzugeben. 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1"/>
          <w:highlight w:val="white"/>
          <w:lang w:val="de-DE"/>
        </w:rPr>
        <w:t>Darüber hinaus sind ebenso verpflichtend die Personenbezogenen Daten von Kontaktpersonen anzugeben.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55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 xml:space="preserve">Verwendung von Cookies sowie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PlugIns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 xml:space="preserve"> von Drittanbietern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In unserer Applikation werden keine Daten erhoben, die über Cookies oder über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PlugIns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 von Drittanbietern weiteren Unternehmen oder Organisationen als das für den Infektionsbetroffenen zuständige Gesundheitsamt weitergegeben werden.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  <w:r>
        <w:br w:type="page"/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caps w:val="false"/>
          <w:smallCaps w:val="false"/>
          <w:color w:val="1E4E79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Rechte des Betroffenen nach DSGVO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Die über die DSGVO geltenden Rechte zum Betroffenenschutz bleiben bestehen, soweit diese mit den geltenden Gesetzen und Verordnungen zum Infektionsschutz anwendbar sind: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Auskunft, Art. 15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Berichtigung, Art. 16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Löschung („Recht auf Vergessenwerden“), Art. 17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Einschränkung der Verarbeitung, Art. 18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Datenübertragbarkeit, Art. 20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lineRule="atLeast" w:line="270" w:before="0" w:after="0"/>
        <w:ind w:left="720" w:right="0" w:hanging="283"/>
        <w:jc w:val="left"/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Recht auf Widerspruch, Art. 21 DSGVO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00"/>
          <w:sz w:val="22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Informationen zum Recht auf Löschung (Art. 17 DSGVO) und Recht auf Einschränkung der Verarbeitung (Art. 18 DSGVO)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Über die in dem Infektionsschutzgesetz definierten Meldepflichten sind die Rechte zu Löschung und der Einschränkung der Verarbeitung nur eingeschränkt gültig, da die erhobenen Personenbezogenen Daten verpflichtend erhoben werden müssen.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39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1E4E79"/>
          <w:sz w:val="32"/>
          <w:lang w:val="de-DE"/>
        </w:rPr>
        <w:t>Recht auf Beschwerde</w:t>
      </w:r>
      <w:r>
        <w:rPr>
          <w:rFonts w:ascii="quot" w:hAnsi="quot"/>
          <w:b w:val="false"/>
          <w:i w:val="false"/>
          <w:caps w:val="false"/>
          <w:smallCaps w:val="false"/>
          <w:color w:val="1E4E79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 xml:space="preserve">Darüber hinaus haben Sie nach Art. 77 DSGVO 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i.V.m</w:t>
      </w: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color w:val="000000"/>
          <w:sz w:val="22"/>
          <w:lang w:val="de-DE"/>
        </w:rPr>
        <w:t>. § 19 BDSG das Recht auf Beschwerde bei einer Aufsichtsbehörde. Die für den Betroffenen zuständige Aufsichtsbehörde richtet sich nach dem Bundesland des für den Betroffenen zuständigen Gesundheitsamt.</w:t>
      </w:r>
      <w:r>
        <w:rPr>
          <w:rFonts w:ascii="quot" w:hAnsi="quot"/>
          <w:b w:val="false"/>
          <w:i w:val="false"/>
          <w:caps w:val="false"/>
          <w:smallCaps w:val="false"/>
          <w:color w:val="000000"/>
          <w:lang w:val="de-DE"/>
        </w:rPr>
        <w:t> </w:t>
      </w:r>
    </w:p>
    <w:p>
      <w:pPr>
        <w:pStyle w:val="Textkrper"/>
        <w:bidi w:val="0"/>
        <w:spacing w:lineRule="atLeast" w:line="270" w:before="0" w:after="0"/>
        <w:ind w:left="0" w:right="0" w:hanging="0"/>
        <w:jc w:val="left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  <w:t> </w:t>
      </w:r>
    </w:p>
    <w:p>
      <w:pPr>
        <w:pStyle w:val="Textkrper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altName w:val="Calibri MSFontService"/>
    <w:charset w:val="00"/>
    <w:family w:val="auto"/>
    <w:pitch w:val="default"/>
  </w:font>
  <w:font w:name="quot">
    <w:charset w:val="00"/>
    <w:family w:val="auto"/>
    <w:pitch w:val="default"/>
  </w:font>
  <w:font w:name="Calibri">
    <w:altName w:val="Sans-Serif"/>
    <w:charset w:val="00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34"/>
        </w:tabs>
        <w:ind w:left="213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841"/>
        </w:tabs>
        <w:ind w:left="284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548"/>
        </w:tabs>
        <w:ind w:left="354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4255"/>
        </w:tabs>
        <w:ind w:left="425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962"/>
        </w:tabs>
        <w:ind w:left="496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669"/>
        </w:tabs>
        <w:ind w:left="566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376"/>
        </w:tabs>
        <w:ind w:left="637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7083"/>
        </w:tabs>
        <w:ind w:left="708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360"/>
        </w:tabs>
        <w:ind w:left="36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360"/>
        </w:tabs>
        <w:ind w:left="36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itel">
    <w:name w:val="Title"/>
    <w:basedOn w:val="Berschrift"/>
    <w:next w:val="Textkrper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LibreOffice/6.4.2.2$Windows_X86_64 LibreOffice_project/4e471d8c02c9c90f512f7f9ead8875b57fcb1ec3</Application>
  <Pages>2</Pages>
  <Words>335</Words>
  <Characters>2398</Characters>
  <CharactersWithSpaces>2747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2020-04-15T17:58:44Z</dcterms:created>
  <dc:creator/>
  <dc:description/>
  <dc:language>de-DE</dc:language>
  <cp:lastModifiedBy/>
  <dcterms:modified xsi:type="dcterms:W3CDTF">2020-04-15T18:05:15Z</dcterms:modified>
  <cp:revision>1</cp:revision>
  <dc:subject/>
  <dc:title/>
</cp:coreProperties>
</file>