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46" w:hanging="360"/>
        <w:jc w:val="center"/>
        <w:rPr>
          <w:b w:val="1"/>
        </w:rPr>
      </w:pPr>
      <w:r w:rsidDel="00000000" w:rsidR="00000000" w:rsidRPr="00000000">
        <w:rPr>
          <w:rtl w:val="0"/>
        </w:rPr>
      </w:r>
    </w:p>
    <w:p w:rsidR="00000000" w:rsidDel="00000000" w:rsidP="00000000" w:rsidRDefault="00000000" w:rsidRPr="00000000" w14:paraId="00000002">
      <w:pPr>
        <w:ind w:left="1146" w:hanging="360"/>
        <w:jc w:val="center"/>
        <w:rPr>
          <w:b w:val="1"/>
        </w:rPr>
      </w:pPr>
      <w:r w:rsidDel="00000000" w:rsidR="00000000" w:rsidRPr="00000000">
        <w:rPr>
          <w:b w:val="1"/>
          <w:rtl w:val="0"/>
        </w:rPr>
        <w:t xml:space="preserve">Tipos de métodos de control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4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Justo a tiempo: este método fue creado para ser empleado en los procesos logísticos y de almacenamiento donde el principal objetivo es el de contar con la cantidad exacta de materias primas para la fabricación de los productos demandados evitando los desperdicios, optimizando la capacidad de almacenamiento y logrando la mayor eficiencia.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ABC: </w:t>
      </w:r>
      <w:r w:rsidDel="00000000" w:rsidR="00000000" w:rsidRPr="00000000">
        <w:rPr>
          <w:rtl w:val="0"/>
        </w:rPr>
        <w:t xml:space="preserve">Es una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basada en realizar una segmentación de los productos que se van a almacenar para brindar un orden de acuerdo a los niveles de importancia en cada uno de ellos.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Categorías del sistema ABC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b w:val="1"/>
          <w:color w:val="7f7f7f"/>
          <w:sz w:val="18"/>
          <w:szCs w:val="18"/>
        </w:rPr>
      </w:pPr>
      <w:r w:rsidDel="00000000" w:rsidR="00000000" w:rsidRPr="00000000">
        <w:rPr>
          <w:rtl w:val="0"/>
        </w:rPr>
        <w:t xml:space="preserve">                                                    </w:t>
      </w:r>
      <w:r w:rsidDel="00000000" w:rsidR="00000000" w:rsidRPr="00000000">
        <w:rPr/>
        <mc:AlternateContent>
          <mc:Choice Requires="wpg">
            <w:drawing>
              <wp:inline distB="0" distT="0" distL="0" distR="0">
                <wp:extent cx="5486400" cy="3200400"/>
                <wp:effectExtent b="0" l="0" r="0" t="0"/>
                <wp:docPr id="145"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180022" y="180877"/>
                              <a:ext cx="1200150" cy="840105"/>
                            </a:xfrm>
                            <a:prstGeom prst="chevron">
                              <a:avLst>
                                <a:gd fmla="val 50000" name="adj"/>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 y="420908"/>
                              <a:ext cx="840105"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t xml:space="preserve">A</w:t>
                                </w:r>
                              </w:p>
                            </w:txbxContent>
                          </wps:txbx>
                          <wps:bodyPr anchorCtr="0" anchor="ctr" bIns="15225" lIns="15225" spcFirstLastPara="1" rIns="15225" wrap="square" tIns="15225">
                            <a:noAutofit/>
                          </wps:bodyPr>
                        </wps:wsp>
                        <wps:wsp>
                          <wps:cNvSpPr/>
                          <wps:cNvPr id="7" name="Shape 7"/>
                          <wps:spPr>
                            <a:xfrm rot="5400000">
                              <a:off x="2773203" y="-1932243"/>
                              <a:ext cx="780097" cy="4646295"/>
                            </a:xfrm>
                            <a:prstGeom prst="round2SameRect">
                              <a:avLst>
                                <a:gd fmla="val 16667" name="adj1"/>
                                <a:gd fmla="val 0" name="adj2"/>
                              </a:avLst>
                            </a:prstGeom>
                            <a:solidFill>
                              <a:schemeClr val="lt1">
                                <a:alpha val="89803"/>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840105" y="38936"/>
                              <a:ext cx="4608214" cy="70393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Los productos de mayor reelevancia estarán en esta categoría, los cuales tan solo componen un 20% del inventario, pero son los de mayor rotación y los que proporcionan el 80% de los ingresos.</w:t>
                                </w:r>
                              </w:p>
                            </w:txbxContent>
                          </wps:txbx>
                          <wps:bodyPr anchorCtr="0" anchor="ctr" bIns="6975" lIns="78225" spcFirstLastPara="1" rIns="6975" wrap="square" tIns="6975">
                            <a:noAutofit/>
                          </wps:bodyPr>
                        </wps:wsp>
                        <wps:wsp>
                          <wps:cNvSpPr/>
                          <wps:cNvPr id="9" name="Shape 9"/>
                          <wps:spPr>
                            <a:xfrm rot="5400000">
                              <a:off x="-180022" y="1180147"/>
                              <a:ext cx="1200150" cy="840105"/>
                            </a:xfrm>
                            <a:prstGeom prst="chevron">
                              <a:avLst>
                                <a:gd fmla="val 50000" name="adj"/>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 y="1420178"/>
                              <a:ext cx="840105"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t xml:space="preserve">B</w:t>
                                </w:r>
                              </w:p>
                            </w:txbxContent>
                          </wps:txbx>
                          <wps:bodyPr anchorCtr="0" anchor="ctr" bIns="15225" lIns="15225" spcFirstLastPara="1" rIns="15225" wrap="square" tIns="15225">
                            <a:noAutofit/>
                          </wps:bodyPr>
                        </wps:wsp>
                        <wps:wsp>
                          <wps:cNvSpPr/>
                          <wps:cNvPr id="11" name="Shape 11"/>
                          <wps:spPr>
                            <a:xfrm rot="5400000">
                              <a:off x="2773203" y="-932973"/>
                              <a:ext cx="780097" cy="4646295"/>
                            </a:xfrm>
                            <a:prstGeom prst="round2SameRect">
                              <a:avLst>
                                <a:gd fmla="val 16667" name="adj1"/>
                                <a:gd fmla="val 0" name="adj2"/>
                              </a:avLst>
                            </a:prstGeom>
                            <a:solidFill>
                              <a:schemeClr val="lt1">
                                <a:alpha val="89803"/>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840105" y="1038206"/>
                              <a:ext cx="4608214" cy="70393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Los articulos que se encuentran dentro de esta categoría son de un valor medio y tienen una rotación estable. Compone al rededor de un 30% del stock total y no produce más del 20% de los ingresos.</w:t>
                                </w:r>
                              </w:p>
                            </w:txbxContent>
                          </wps:txbx>
                          <wps:bodyPr anchorCtr="0" anchor="ctr" bIns="6975" lIns="78225" spcFirstLastPara="1" rIns="6975" wrap="square" tIns="6975">
                            <a:noAutofit/>
                          </wps:bodyPr>
                        </wps:wsp>
                        <wps:wsp>
                          <wps:cNvSpPr/>
                          <wps:cNvPr id="13" name="Shape 13"/>
                          <wps:spPr>
                            <a:xfrm rot="5400000">
                              <a:off x="-180022" y="2179417"/>
                              <a:ext cx="1200150" cy="840105"/>
                            </a:xfrm>
                            <a:prstGeom prst="chevron">
                              <a:avLst>
                                <a:gd fmla="val 50000" name="adj"/>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 y="2419448"/>
                              <a:ext cx="840105" cy="360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t xml:space="preserve">C</w:t>
                                </w:r>
                              </w:p>
                            </w:txbxContent>
                          </wps:txbx>
                          <wps:bodyPr anchorCtr="0" anchor="ctr" bIns="15225" lIns="15225" spcFirstLastPara="1" rIns="15225" wrap="square" tIns="15225">
                            <a:noAutofit/>
                          </wps:bodyPr>
                        </wps:wsp>
                        <wps:wsp>
                          <wps:cNvSpPr/>
                          <wps:cNvPr id="15" name="Shape 15"/>
                          <wps:spPr>
                            <a:xfrm rot="5400000">
                              <a:off x="2773203" y="66296"/>
                              <a:ext cx="780097" cy="4646295"/>
                            </a:xfrm>
                            <a:prstGeom prst="round2SameRect">
                              <a:avLst>
                                <a:gd fmla="val 16667" name="adj1"/>
                                <a:gd fmla="val 0" name="adj2"/>
                              </a:avLst>
                            </a:prstGeom>
                            <a:solidFill>
                              <a:schemeClr val="lt1">
                                <a:alpha val="89803"/>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840105" y="2037476"/>
                              <a:ext cx="4608214" cy="70393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Las referencias categorizadas en esta sección son los de menor valor, mayor cantidad y menor rotación. Comprende más del 50% de existencias totales, pero no aporta más del 5% de los ingresos.</w:t>
                                </w:r>
                              </w:p>
                            </w:txbxContent>
                          </wps:txbx>
                          <wps:bodyPr anchorCtr="0" anchor="ctr" bIns="6975" lIns="78225" spcFirstLastPara="1" rIns="6975" wrap="square" tIns="6975">
                            <a:noAutofit/>
                          </wps:bodyPr>
                        </wps:wsp>
                      </wpg:grpSp>
                    </wpg:wgp>
                  </a:graphicData>
                </a:graphic>
              </wp:inline>
            </w:drawing>
          </mc:Choice>
          <mc:Fallback>
            <w:drawing>
              <wp:inline distB="0" distT="0" distL="0" distR="0">
                <wp:extent cx="5486400" cy="3200400"/>
                <wp:effectExtent b="0" l="0" r="0" t="0"/>
                <wp:docPr id="14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Elaboración del instructor (2022)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137200_i_01</w:t>
      </w:r>
    </w:p>
    <w:p w:rsidR="00000000" w:rsidDel="00000000" w:rsidP="00000000" w:rsidRDefault="00000000" w:rsidRPr="00000000" w14:paraId="0000000F">
      <w:pPr>
        <w:ind w:left="426" w:firstLine="0"/>
        <w:rPr/>
      </w:pPr>
      <w:r w:rsidDel="00000000" w:rsidR="00000000" w:rsidRPr="00000000">
        <w:rPr>
          <w:rtl w:val="0"/>
        </w:rPr>
      </w:r>
    </w:p>
    <w:p w:rsidR="00000000" w:rsidDel="00000000" w:rsidP="00000000" w:rsidRDefault="00000000" w:rsidRPr="00000000" w14:paraId="00000010">
      <w:pPr>
        <w:ind w:left="426"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FIFO o PEPS: este método consiste en ofertar los productos que llevan un mayor tiempo en stock, almacenados o que contemplan un menor periodo de caducidad para evitar tener pérdidas. Un ejemplo de ellos son las empresas que comercializan frutas, verduras, productos cárnicos y medicamentos. Para ellos es de vital importancia tener un excelente proceso de rotación donde se debe de tener en cuenta cuales son las primeras mercancías que ingresan a bodega para que estas mismas sean las primera que deberá ser comercializada o llevada a proceso productivo.</w:t>
      </w:r>
    </w:p>
    <w:p w:rsidR="00000000" w:rsidDel="00000000" w:rsidP="00000000" w:rsidRDefault="00000000" w:rsidRPr="00000000" w14:paraId="00000012">
      <w:pPr>
        <w:ind w:left="720" w:firstLine="0"/>
        <w:jc w:val="both"/>
        <w:rPr>
          <w:b w:val="1"/>
          <w:color w:val="7f7f7f"/>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mínimos de mercancía: este modelo es similar al método de Just in Time en cuanto a que buscan el mínimo gasto en los procesos de inventarios y almacenamiento pero la diferencia es que en este sistema si se busca tener un mínimo de productos acaparados para atender la demanda.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Order Quantity: este método consiste en efectuar un cálculo sobre el pedido deseado para minimizar los gastos, costos y almacenamientos de los inventarios. Teniendo en cuenta esto, se puede notar que es un método bastante sencillo pero efectivo en su ejecución y se puede llevar a cabo en cualquier empresa comercial. Para calcular la cantidad económica de pedido debemos tener en cuenta tres (3) variables, donde sus datos se tomarán anualmente:</w:t>
      </w:r>
    </w:p>
    <w:p w:rsidR="00000000" w:rsidDel="00000000" w:rsidP="00000000" w:rsidRDefault="00000000" w:rsidRPr="00000000" w14:paraId="00000016">
      <w:pPr>
        <w:ind w:left="426"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63500</wp:posOffset>
                </wp:positionV>
                <wp:extent cx="2171700" cy="523875"/>
                <wp:effectExtent b="0" l="0" r="0" t="0"/>
                <wp:wrapNone/>
                <wp:docPr id="144" name=""/>
                <a:graphic>
                  <a:graphicData uri="http://schemas.microsoft.com/office/word/2010/wordprocessingShape">
                    <wps:wsp>
                      <wps:cNvSpPr/>
                      <wps:cNvPr id="2" name="Shape 2"/>
                      <wps:spPr>
                        <a:xfrm>
                          <a:off x="4264913" y="3522825"/>
                          <a:ext cx="2162175" cy="51435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Formula: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63500</wp:posOffset>
                </wp:positionV>
                <wp:extent cx="2171700" cy="523875"/>
                <wp:effectExtent b="0" l="0" r="0" t="0"/>
                <wp:wrapNone/>
                <wp:docPr id="14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171700" cy="523875"/>
                        </a:xfrm>
                        <a:prstGeom prst="rect"/>
                        <a:ln/>
                      </pic:spPr>
                    </pic:pic>
                  </a:graphicData>
                </a:graphic>
              </wp:anchor>
            </w:drawing>
          </mc:Fallback>
        </mc:AlternateContent>
      </w:r>
    </w:p>
    <w:p w:rsidR="00000000" w:rsidDel="00000000" w:rsidP="00000000" w:rsidRDefault="00000000" w:rsidRPr="00000000" w14:paraId="00000017">
      <w:pPr>
        <w:ind w:left="1080" w:firstLine="0"/>
        <w:jc w:val="both"/>
        <w:rPr/>
      </w:pPr>
      <w:r w:rsidDel="00000000" w:rsidR="00000000" w:rsidRPr="00000000">
        <w:rPr>
          <w:rtl w:val="0"/>
        </w:rPr>
        <w:t xml:space="preserve">D= Demanda (und)</w:t>
      </w:r>
    </w:p>
    <w:p w:rsidR="00000000" w:rsidDel="00000000" w:rsidP="00000000" w:rsidRDefault="00000000" w:rsidRPr="00000000" w14:paraId="00000018">
      <w:pPr>
        <w:ind w:left="1080" w:firstLine="0"/>
        <w:jc w:val="both"/>
        <w:rPr/>
      </w:pPr>
      <w:r w:rsidDel="00000000" w:rsidR="00000000" w:rsidRPr="00000000">
        <w:rPr>
          <w:rtl w:val="0"/>
        </w:rPr>
        <w:t xml:space="preserve">S= costo del pedido</w:t>
      </w:r>
    </w:p>
    <w:p w:rsidR="00000000" w:rsidDel="00000000" w:rsidP="00000000" w:rsidRDefault="00000000" w:rsidRPr="00000000" w14:paraId="00000019">
      <w:pPr>
        <w:ind w:left="1080" w:firstLine="0"/>
        <w:jc w:val="both"/>
        <w:rPr/>
      </w:pPr>
      <w:r w:rsidDel="00000000" w:rsidR="00000000" w:rsidRPr="00000000">
        <w:rPr>
          <w:rtl w:val="0"/>
        </w:rPr>
        <w:t xml:space="preserve">H= costo de mantenimiento (und)</w:t>
      </w:r>
    </w:p>
    <w:p w:rsidR="00000000" w:rsidDel="00000000" w:rsidP="00000000" w:rsidRDefault="00000000" w:rsidRPr="00000000" w14:paraId="0000001A">
      <w:pPr>
        <w:rPr/>
      </w:pPr>
      <w:r w:rsidDel="00000000" w:rsidR="00000000" w:rsidRPr="00000000">
        <w:rPr>
          <w:rtl w:val="0"/>
        </w:rPr>
      </w:r>
    </w:p>
    <w:sectPr>
      <w:headerReference r:id="rId10" w:type="default"/>
      <w:footerReference r:id="rId11" w:type="default"/>
      <w:pgSz w:h="11909" w:w="16834" w:orient="landscape"/>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-344915</wp:posOffset>
          </wp:positionH>
          <wp:positionV relativeFrom="paragraph">
            <wp:posOffset>-277401</wp:posOffset>
          </wp:positionV>
          <wp:extent cx="10671819" cy="887683"/>
          <wp:effectExtent b="0" l="0" r="0" t="0"/>
          <wp:wrapNone/>
          <wp:docPr id="14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71819" cy="88768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-357504</wp:posOffset>
          </wp:positionH>
          <wp:positionV relativeFrom="paragraph">
            <wp:posOffset>-567739</wp:posOffset>
          </wp:positionV>
          <wp:extent cx="10679430" cy="1009015"/>
          <wp:effectExtent b="0" l="0" r="0" t="0"/>
          <wp:wrapSquare wrapText="bothSides" distB="0" distT="0" distL="114300" distR="114300"/>
          <wp:docPr id="14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679430" cy="100901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8770620</wp:posOffset>
              </wp:positionH>
              <wp:positionV relativeFrom="paragraph">
                <wp:posOffset>-492936</wp:posOffset>
              </wp:positionV>
              <wp:extent cx="823595" cy="1164590"/>
              <wp:wrapNone/>
              <wp:docPr id="143" name=""/>
              <a:graphic>
                <a:graphicData uri="http://schemas.microsoft.com/office/word/2010/wordprocessingShape">
                  <wps:wsp>
                    <wps:cNvSpPr/>
                    <wps:spPr>
                      <a:xfrm>
                        <a:off x="0" y="0"/>
                        <a:ext cx="823595" cy="11645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1507B0" w:rsidDel="00000000" w:rsidP="001507B0" w:rsidRDefault="001507B0" w:rsidRPr="00000000" w14:paraId="6D60DAFA" w14:textId="77777777">
                          <w:pPr>
                            <w:spacing w:line="240" w:lineRule="auto"/>
                            <w:ind w:hanging="2"/>
                          </w:pPr>
                          <w:r w:rsidDel="00000000" w:rsidR="00000000" w:rsidRPr="00000000">
                            <w:rPr>
                              <w:noProof w:val="1"/>
                              <w:lang w:eastAsia="en-US" w:val="en-US"/>
                            </w:rPr>
                            <w:drawing>
                              <wp:inline distB="0" distT="0" distL="0" distR="0">
                                <wp:extent cx="633600" cy="1108800"/>
                                <wp:effectExtent b="0" l="0" r="0" t="0"/>
                                <wp:docPr id="10" name="Imagen 10"/>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633600" cy="1108800"/>
                                        </a:xfrm>
                                        <a:prstGeom prst="rect">
                                          <a:avLst/>
                                        </a:prstGeom>
                                        <a:noFill/>
                                        <a:ln>
                                          <a:noFill/>
                                        </a:ln>
                                      </pic:spPr>
                                    </pic:pic>
                                  </a:graphicData>
                                </a:graphic>
                              </wp:inline>
                            </w:drawing>
                          </w:r>
                        </w:p>
                      </w:txbxContent>
                    </wps:txbx>
                    <wps:bodyPr anchorCtr="0" anchor="ctr" bIns="91425" lIns="91425" spcFirstLastPara="1" rIns="91425" wrap="non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8770620</wp:posOffset>
              </wp:positionH>
              <wp:positionV relativeFrom="paragraph">
                <wp:posOffset>-492936</wp:posOffset>
              </wp:positionV>
              <wp:extent cx="823595" cy="1164590"/>
              <wp:effectExtent b="0" l="0" r="0" t="0"/>
              <wp:wrapNone/>
              <wp:docPr id="14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52C8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7040A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040A6"/>
  </w:style>
  <w:style w:type="paragraph" w:styleId="Piedepgina">
    <w:name w:val="footer"/>
    <w:basedOn w:val="Normal"/>
    <w:link w:val="PiedepginaCar"/>
    <w:uiPriority w:val="99"/>
    <w:unhideWhenUsed w:val="1"/>
    <w:rsid w:val="007040A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040A6"/>
  </w:style>
  <w:style w:type="paragraph" w:styleId="Textodeglobo">
    <w:name w:val="Balloon Text"/>
    <w:basedOn w:val="Normal"/>
    <w:link w:val="TextodegloboCar"/>
    <w:uiPriority w:val="99"/>
    <w:semiHidden w:val="1"/>
    <w:unhideWhenUsed w:val="1"/>
    <w:rsid w:val="00842A2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2A2A"/>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842A2A"/>
    <w:rPr>
      <w:b w:val="1"/>
      <w:bCs w:val="1"/>
    </w:rPr>
  </w:style>
  <w:style w:type="character" w:styleId="AsuntodelcomentarioCar" w:customStyle="1">
    <w:name w:val="Asunto del comentario Car"/>
    <w:basedOn w:val="TextocomentarioCar"/>
    <w:link w:val="Asuntodelcomentario"/>
    <w:uiPriority w:val="99"/>
    <w:semiHidden w:val="1"/>
    <w:rsid w:val="00842A2A"/>
    <w:rPr>
      <w:b w:val="1"/>
      <w:bCs w:val="1"/>
      <w:sz w:val="20"/>
      <w:szCs w:val="20"/>
    </w:rPr>
  </w:style>
  <w:style w:type="paragraph" w:styleId="Prrafodelista">
    <w:name w:val="List Paragraph"/>
    <w:basedOn w:val="Normal"/>
    <w:uiPriority w:val="34"/>
    <w:qFormat w:val="1"/>
    <w:rsid w:val="00C11ED6"/>
    <w:pPr>
      <w:ind w:left="720"/>
      <w:contextualSpacing w:val="1"/>
    </w:pPr>
  </w:style>
  <w:style w:type="table" w:styleId="Tablaconcuadrcula">
    <w:name w:val="Table Grid"/>
    <w:basedOn w:val="Tablanormal"/>
    <w:uiPriority w:val="39"/>
    <w:rsid w:val="00052C8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3LJfmGSWoi9VzasEa6s79emr5Q==">AMUW2mUDx6HI1xtp4CWPfiGRDuWRkVSboiJmLTT4OVjohUh5+7mz97iA40d1/jMCB/GLPFIv+Vo04SlgSIRzA05s9y83awTTHW+XtqPPxZ9Z8hOa9l0+Ysw=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2022-08-23T23:38:00Z</dcterms:created>
  <dc:creator>Johan Jimenez Tovar</dc:creator>
</cp:coreProperties>
</file>