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B52B" w14:textId="77777777" w:rsidR="002F7AB0" w:rsidRDefault="00000000" w:rsidP="008434EA">
      <w:pPr>
        <w:pStyle w:val="Ttulo"/>
        <w:spacing w:after="120" w:line="240" w:lineRule="auto"/>
        <w:jc w:val="both"/>
        <w:rPr>
          <w:sz w:val="22"/>
          <w:szCs w:val="22"/>
        </w:rPr>
      </w:pPr>
      <w:bookmarkStart w:id="0" w:name="_heading=h.tyjcwt" w:colFirst="0" w:colLast="0"/>
      <w:bookmarkEnd w:id="0"/>
      <w:r>
        <w:rPr>
          <w:sz w:val="22"/>
          <w:szCs w:val="22"/>
        </w:rPr>
        <w:t xml:space="preserve"> </w:t>
      </w:r>
    </w:p>
    <w:p w14:paraId="4487F8AE" w14:textId="77777777" w:rsidR="002F7AB0" w:rsidRDefault="002F7AB0" w:rsidP="008434EA">
      <w:pPr>
        <w:jc w:val="both"/>
      </w:pPr>
    </w:p>
    <w:p w14:paraId="2F5BFEAF" w14:textId="77777777" w:rsidR="002F7AB0" w:rsidRDefault="00000000" w:rsidP="008434EA">
      <w:pPr>
        <w:ind w:left="720"/>
        <w:jc w:val="both"/>
      </w:pPr>
      <w:r>
        <w:rPr>
          <w:b/>
        </w:rPr>
        <w:t>Promoción comercial:</w:t>
      </w:r>
      <w:r>
        <w:t xml:space="preserve"> su finalidad es promocionar a las empresas de cualquier sector. Hacen parte de la actividad empresarial de las organizaciones y por tanto de las estrategias de mercadeo.</w:t>
      </w:r>
    </w:p>
    <w:p w14:paraId="77464062" w14:textId="77777777" w:rsidR="002F7AB0" w:rsidRDefault="002F7AB0" w:rsidP="008434EA">
      <w:pPr>
        <w:ind w:left="720"/>
        <w:jc w:val="both"/>
      </w:pPr>
    </w:p>
    <w:p w14:paraId="5D20F45F" w14:textId="77777777" w:rsidR="002F7AB0" w:rsidRDefault="00000000" w:rsidP="008434EA">
      <w:pPr>
        <w:ind w:left="720"/>
        <w:jc w:val="both"/>
      </w:pPr>
      <w:r>
        <w:t>Se realizan con la intención de que las empresas promuevan sus servicios y / o productos a un gran número de personas interesadas en un período muy corto de tiempo.</w:t>
      </w:r>
    </w:p>
    <w:p w14:paraId="544BDB9E" w14:textId="77777777" w:rsidR="002F7AB0" w:rsidRDefault="002F7AB0" w:rsidP="008434EA">
      <w:pPr>
        <w:ind w:left="720"/>
        <w:jc w:val="both"/>
      </w:pPr>
    </w:p>
    <w:p w14:paraId="7D3526F1" w14:textId="77777777" w:rsidR="002F7AB0" w:rsidRDefault="00000000" w:rsidP="008434EA">
      <w:pPr>
        <w:ind w:left="720"/>
        <w:jc w:val="both"/>
      </w:pPr>
      <w:r>
        <w:t>Normalmente los eventos de promoción comercial pueden ser ferias comerciales, las cuales suelen ocurrir en un solo lugar y sólo duran unos pocos días; se utilizan stands para mostrar los productos, en los stands se pueden ubicar pantallas desplegables para crear un ambiente agradable. Las empresas pueden aspirar a generar clientes potenciales para ventas futuras o incluso realizar las ventas durante la celebración del evento. La publicidad realizada antes del inicio de la feria es determinante.</w:t>
      </w:r>
    </w:p>
    <w:p w14:paraId="7B23F6FD" w14:textId="77777777" w:rsidR="002F7AB0" w:rsidRDefault="002F7AB0" w:rsidP="008434EA">
      <w:pPr>
        <w:ind w:left="720"/>
        <w:jc w:val="both"/>
      </w:pPr>
    </w:p>
    <w:p w14:paraId="2DC74976" w14:textId="77777777" w:rsidR="002F7AB0" w:rsidRDefault="00000000" w:rsidP="008434EA">
      <w:pPr>
        <w:ind w:left="720"/>
        <w:jc w:val="both"/>
      </w:pPr>
      <w:r>
        <w:t>Es importante que el personal contratado para representar a la marca en un evento conozca bien el producto por lo que es habitual que sea personal propio de la empresa o debidamente capacitado para la ocasión.</w:t>
      </w:r>
    </w:p>
    <w:p w14:paraId="515A0FF4" w14:textId="77777777" w:rsidR="002F7AB0" w:rsidRDefault="002F7AB0" w:rsidP="008434EA">
      <w:pPr>
        <w:ind w:left="720"/>
        <w:jc w:val="both"/>
      </w:pPr>
    </w:p>
    <w:p w14:paraId="0722E68D" w14:textId="77777777" w:rsidR="002F7AB0" w:rsidRDefault="00000000" w:rsidP="008434EA">
      <w:pPr>
        <w:ind w:left="720"/>
        <w:jc w:val="both"/>
      </w:pPr>
      <w:r>
        <w:t xml:space="preserve">Lanzamientos de productos en un evento: duran aproximadamente 2 horas. El objetivo es que el producto perdure en la mente del público durante y después del evento. </w:t>
      </w:r>
    </w:p>
    <w:p w14:paraId="60F359B5" w14:textId="77777777" w:rsidR="002F7AB0" w:rsidRDefault="002F7AB0" w:rsidP="008434EA">
      <w:pPr>
        <w:ind w:left="720"/>
        <w:jc w:val="both"/>
      </w:pPr>
    </w:p>
    <w:p w14:paraId="72C54E37" w14:textId="77777777" w:rsidR="002F7AB0" w:rsidRDefault="00000000" w:rsidP="008434EA">
      <w:pPr>
        <w:ind w:left="720"/>
        <w:jc w:val="both"/>
      </w:pPr>
      <w:r>
        <w:t>Estos eventos deben tener: breve discurso de apertura sobre la empresa a cargo de un alto directivo de esta.</w:t>
      </w:r>
    </w:p>
    <w:p w14:paraId="16568F8A" w14:textId="77777777" w:rsidR="002F7AB0" w:rsidRDefault="00000000" w:rsidP="008434EA">
      <w:pPr>
        <w:ind w:left="720"/>
        <w:jc w:val="both"/>
      </w:pPr>
      <w:r>
        <w:t>Dar una explicación sobre el producto: características, colores, sabores, beneficios, etc.</w:t>
      </w:r>
    </w:p>
    <w:p w14:paraId="11CD68D8" w14:textId="77777777" w:rsidR="002F7AB0" w:rsidRDefault="00000000" w:rsidP="008434EA">
      <w:pPr>
        <w:ind w:left="720"/>
        <w:jc w:val="both"/>
      </w:pPr>
      <w:r>
        <w:t>En caso de ser comida o bebida se debe invitar a degustar el producto.</w:t>
      </w:r>
    </w:p>
    <w:p w14:paraId="103BD36E" w14:textId="77777777" w:rsidR="002F7AB0" w:rsidRDefault="00000000" w:rsidP="008434EA">
      <w:pPr>
        <w:ind w:left="720"/>
        <w:jc w:val="both"/>
      </w:pPr>
      <w:r>
        <w:t>En caso de ser otro tipo de producto o servicio, realizar una demostración.</w:t>
      </w:r>
    </w:p>
    <w:p w14:paraId="622AD5D6" w14:textId="77777777" w:rsidR="002F7AB0" w:rsidRDefault="00000000" w:rsidP="008434EA">
      <w:pPr>
        <w:ind w:left="720"/>
        <w:jc w:val="both"/>
      </w:pPr>
      <w:r>
        <w:t>Como cierre se debe convocar al almuerzo o a un cocktail, según corresponda.</w:t>
      </w:r>
    </w:p>
    <w:p w14:paraId="205A5965" w14:textId="77777777" w:rsidR="002F7AB0" w:rsidRDefault="00000000" w:rsidP="008434EA">
      <w:pPr>
        <w:ind w:left="720"/>
        <w:jc w:val="both"/>
      </w:pPr>
      <w:r>
        <w:t>Regalos para los asistentes.</w:t>
      </w:r>
    </w:p>
    <w:p w14:paraId="45244BB0" w14:textId="77777777" w:rsidR="002F7AB0" w:rsidRDefault="002F7AB0" w:rsidP="008434EA">
      <w:pPr>
        <w:jc w:val="both"/>
      </w:pPr>
    </w:p>
    <w:p w14:paraId="1C786A2B" w14:textId="77777777" w:rsidR="002F7AB0" w:rsidRDefault="00000000" w:rsidP="008434EA">
      <w:pPr>
        <w:ind w:left="720"/>
        <w:jc w:val="both"/>
        <w:rPr>
          <w:b/>
        </w:rPr>
      </w:pPr>
      <w:r>
        <w:rPr>
          <w:b/>
        </w:rPr>
        <w:t>Tabla 1</w:t>
      </w:r>
    </w:p>
    <w:p w14:paraId="528DB52F" w14:textId="77777777" w:rsidR="002F7AB0" w:rsidRDefault="00000000" w:rsidP="008434EA">
      <w:pPr>
        <w:ind w:left="720"/>
        <w:jc w:val="both"/>
        <w:rPr>
          <w:i/>
        </w:rPr>
      </w:pPr>
      <w:r>
        <w:rPr>
          <w:i/>
        </w:rPr>
        <w:t>Tipología de los eventos</w:t>
      </w:r>
    </w:p>
    <w:p w14:paraId="216CA371" w14:textId="77777777" w:rsidR="002F7AB0" w:rsidRDefault="002F7AB0" w:rsidP="008434EA">
      <w:pPr>
        <w:spacing w:line="240" w:lineRule="auto"/>
        <w:ind w:left="720"/>
        <w:jc w:val="both"/>
        <w:rPr>
          <w:b/>
          <w:i/>
        </w:rPr>
      </w:pPr>
    </w:p>
    <w:tbl>
      <w:tblPr>
        <w:tblStyle w:val="afff9"/>
        <w:tblW w:w="13935" w:type="dxa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3060"/>
        <w:gridCol w:w="3735"/>
        <w:gridCol w:w="4545"/>
      </w:tblGrid>
      <w:tr w:rsidR="002F7AB0" w14:paraId="716900E3" w14:textId="77777777">
        <w:trPr>
          <w:trHeight w:val="561"/>
        </w:trPr>
        <w:tc>
          <w:tcPr>
            <w:tcW w:w="2595" w:type="dxa"/>
          </w:tcPr>
          <w:p w14:paraId="5FC6F7F2" w14:textId="77777777" w:rsidR="002F7AB0" w:rsidRDefault="00000000" w:rsidP="008434EA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>TIPOLOGÍA</w:t>
            </w:r>
          </w:p>
        </w:tc>
        <w:tc>
          <w:tcPr>
            <w:tcW w:w="3060" w:type="dxa"/>
          </w:tcPr>
          <w:p w14:paraId="6F22ED35" w14:textId="77777777" w:rsidR="002F7AB0" w:rsidRDefault="00000000" w:rsidP="008434EA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>TIPO DE EVENTO</w:t>
            </w:r>
          </w:p>
        </w:tc>
        <w:tc>
          <w:tcPr>
            <w:tcW w:w="3735" w:type="dxa"/>
          </w:tcPr>
          <w:p w14:paraId="29F2F27B" w14:textId="77777777" w:rsidR="002F7AB0" w:rsidRDefault="00000000" w:rsidP="008434EA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4545" w:type="dxa"/>
          </w:tcPr>
          <w:p w14:paraId="684D25A2" w14:textId="77777777" w:rsidR="002F7AB0" w:rsidRDefault="00000000" w:rsidP="008434EA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>ENTIDAD</w:t>
            </w:r>
          </w:p>
          <w:p w14:paraId="72A9A698" w14:textId="77777777" w:rsidR="002F7AB0" w:rsidRDefault="00000000" w:rsidP="008434EA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>PROMOTORA</w:t>
            </w:r>
          </w:p>
        </w:tc>
      </w:tr>
      <w:tr w:rsidR="002F7AB0" w14:paraId="2F6AA010" w14:textId="77777777">
        <w:trPr>
          <w:trHeight w:val="2207"/>
        </w:trPr>
        <w:tc>
          <w:tcPr>
            <w:tcW w:w="2595" w:type="dxa"/>
          </w:tcPr>
          <w:p w14:paraId="6454056A" w14:textId="77777777" w:rsidR="002F7AB0" w:rsidRDefault="002F7AB0" w:rsidP="008434EA">
            <w:pPr>
              <w:ind w:left="720"/>
              <w:jc w:val="both"/>
            </w:pPr>
          </w:p>
          <w:p w14:paraId="0660A494" w14:textId="77777777" w:rsidR="002F7AB0" w:rsidRDefault="002F7AB0" w:rsidP="008434EA">
            <w:pPr>
              <w:ind w:left="720"/>
              <w:jc w:val="both"/>
            </w:pPr>
          </w:p>
          <w:p w14:paraId="449678EA" w14:textId="77777777" w:rsidR="002F7AB0" w:rsidRDefault="00000000" w:rsidP="008434EA">
            <w:pPr>
              <w:ind w:left="720"/>
              <w:jc w:val="both"/>
            </w:pPr>
            <w:r>
              <w:t>Celebraciones culturales</w:t>
            </w:r>
          </w:p>
        </w:tc>
        <w:tc>
          <w:tcPr>
            <w:tcW w:w="3060" w:type="dxa"/>
          </w:tcPr>
          <w:p w14:paraId="5BA976DB" w14:textId="77777777" w:rsidR="002F7AB0" w:rsidRDefault="002F7AB0" w:rsidP="008434EA">
            <w:pPr>
              <w:ind w:left="720"/>
              <w:jc w:val="both"/>
            </w:pPr>
          </w:p>
          <w:p w14:paraId="0F41A533" w14:textId="77777777" w:rsidR="002F7AB0" w:rsidRDefault="00000000" w:rsidP="008434EA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Festivales</w:t>
            </w:r>
          </w:p>
          <w:p w14:paraId="646B4FBF" w14:textId="77777777" w:rsidR="002F7AB0" w:rsidRDefault="00000000" w:rsidP="008434EA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Carnavales</w:t>
            </w:r>
          </w:p>
          <w:p w14:paraId="03DF3166" w14:textId="77777777" w:rsidR="002F7AB0" w:rsidRDefault="00000000" w:rsidP="008434EA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Conmemoraciones históricas</w:t>
            </w:r>
          </w:p>
          <w:p w14:paraId="2476D5D2" w14:textId="77777777" w:rsidR="002F7AB0" w:rsidRDefault="00000000" w:rsidP="008434EA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Desfiles</w:t>
            </w:r>
          </w:p>
        </w:tc>
        <w:tc>
          <w:tcPr>
            <w:tcW w:w="3735" w:type="dxa"/>
          </w:tcPr>
          <w:p w14:paraId="7DF5A2DD" w14:textId="77777777" w:rsidR="002F7AB0" w:rsidRDefault="00000000" w:rsidP="008434EA">
            <w:pPr>
              <w:ind w:left="720"/>
              <w:jc w:val="both"/>
            </w:pPr>
            <w:r>
              <w:t>Son eventos que tienen un significado cultural y se diferencian de los eventos de entretenimiento precisamente por el valor cultural que</w:t>
            </w:r>
          </w:p>
          <w:p w14:paraId="537606B9" w14:textId="77777777" w:rsidR="002F7AB0" w:rsidRDefault="00000000" w:rsidP="008434EA">
            <w:pPr>
              <w:ind w:left="720"/>
              <w:jc w:val="both"/>
            </w:pPr>
            <w:r>
              <w:t>expresan</w:t>
            </w:r>
          </w:p>
        </w:tc>
        <w:tc>
          <w:tcPr>
            <w:tcW w:w="4545" w:type="dxa"/>
          </w:tcPr>
          <w:p w14:paraId="71ECCC95" w14:textId="77777777" w:rsidR="002F7AB0" w:rsidRDefault="002F7AB0" w:rsidP="008434EA">
            <w:pPr>
              <w:ind w:left="720"/>
              <w:jc w:val="both"/>
            </w:pPr>
          </w:p>
          <w:p w14:paraId="2471671E" w14:textId="77777777" w:rsidR="002F7AB0" w:rsidRDefault="002F7AB0" w:rsidP="008434EA">
            <w:pPr>
              <w:ind w:left="720"/>
              <w:jc w:val="both"/>
            </w:pPr>
          </w:p>
          <w:p w14:paraId="2D8DAE76" w14:textId="77777777" w:rsidR="002F7AB0" w:rsidRDefault="00000000" w:rsidP="008434EA">
            <w:pPr>
              <w:ind w:left="720"/>
              <w:jc w:val="both"/>
            </w:pPr>
            <w:r>
              <w:t>Instituciones públicas o privadas</w:t>
            </w:r>
          </w:p>
        </w:tc>
      </w:tr>
      <w:tr w:rsidR="002F7AB0" w14:paraId="56BA98EC" w14:textId="77777777">
        <w:trPr>
          <w:trHeight w:val="2010"/>
        </w:trPr>
        <w:tc>
          <w:tcPr>
            <w:tcW w:w="2595" w:type="dxa"/>
          </w:tcPr>
          <w:p w14:paraId="288B4C52" w14:textId="77777777" w:rsidR="002F7AB0" w:rsidRDefault="002F7AB0" w:rsidP="008434EA">
            <w:pPr>
              <w:ind w:left="720"/>
              <w:jc w:val="both"/>
            </w:pPr>
          </w:p>
          <w:p w14:paraId="02FBBCB6" w14:textId="77777777" w:rsidR="002F7AB0" w:rsidRDefault="002F7AB0" w:rsidP="008434EA">
            <w:pPr>
              <w:ind w:left="720"/>
              <w:jc w:val="both"/>
            </w:pPr>
          </w:p>
          <w:p w14:paraId="0E833A35" w14:textId="77777777" w:rsidR="002F7AB0" w:rsidRDefault="00000000" w:rsidP="008434EA">
            <w:pPr>
              <w:ind w:left="720"/>
              <w:jc w:val="both"/>
            </w:pPr>
            <w:r>
              <w:t>Eventos religiosos</w:t>
            </w:r>
          </w:p>
        </w:tc>
        <w:tc>
          <w:tcPr>
            <w:tcW w:w="3060" w:type="dxa"/>
          </w:tcPr>
          <w:p w14:paraId="5B5CBD8D" w14:textId="77777777" w:rsidR="002F7AB0" w:rsidRDefault="002F7AB0" w:rsidP="008434EA">
            <w:pPr>
              <w:ind w:left="720"/>
              <w:jc w:val="both"/>
            </w:pPr>
          </w:p>
          <w:p w14:paraId="0FE0A0D8" w14:textId="77777777" w:rsidR="002F7AB0" w:rsidRDefault="002F7AB0" w:rsidP="008434EA">
            <w:pPr>
              <w:ind w:left="720"/>
              <w:jc w:val="both"/>
            </w:pPr>
          </w:p>
          <w:p w14:paraId="3787310C" w14:textId="77777777" w:rsidR="002F7AB0" w:rsidRDefault="00000000" w:rsidP="008434EA">
            <w:pPr>
              <w:numPr>
                <w:ilvl w:val="0"/>
                <w:numId w:val="2"/>
              </w:numPr>
              <w:spacing w:line="240" w:lineRule="auto"/>
              <w:jc w:val="both"/>
            </w:pPr>
            <w:r>
              <w:t>Ceremonias religiosas</w:t>
            </w:r>
          </w:p>
          <w:p w14:paraId="58716423" w14:textId="77777777" w:rsidR="002F7AB0" w:rsidRDefault="00000000" w:rsidP="008434EA">
            <w:pPr>
              <w:numPr>
                <w:ilvl w:val="0"/>
                <w:numId w:val="2"/>
              </w:numPr>
              <w:spacing w:line="240" w:lineRule="auto"/>
              <w:jc w:val="both"/>
            </w:pPr>
            <w:r>
              <w:t>Procesiones</w:t>
            </w:r>
          </w:p>
        </w:tc>
        <w:tc>
          <w:tcPr>
            <w:tcW w:w="3735" w:type="dxa"/>
          </w:tcPr>
          <w:p w14:paraId="111B7732" w14:textId="77777777" w:rsidR="002F7AB0" w:rsidRDefault="00000000" w:rsidP="008434EA">
            <w:pPr>
              <w:ind w:left="720"/>
              <w:jc w:val="both"/>
            </w:pPr>
            <w:r>
              <w:t>Rituales solemnes, considerados sagrados en el contexto de una religión determinada y que refuerzan la identidad cultural y religiosa de una</w:t>
            </w:r>
          </w:p>
          <w:p w14:paraId="65B882E4" w14:textId="77777777" w:rsidR="002F7AB0" w:rsidRDefault="00000000" w:rsidP="008434EA">
            <w:pPr>
              <w:ind w:left="720"/>
              <w:jc w:val="both"/>
            </w:pPr>
            <w:r>
              <w:t>comunidad o destino</w:t>
            </w:r>
          </w:p>
        </w:tc>
        <w:tc>
          <w:tcPr>
            <w:tcW w:w="4545" w:type="dxa"/>
          </w:tcPr>
          <w:p w14:paraId="72825AD6" w14:textId="77777777" w:rsidR="002F7AB0" w:rsidRDefault="002F7AB0" w:rsidP="008434EA">
            <w:pPr>
              <w:ind w:left="720"/>
              <w:jc w:val="both"/>
            </w:pPr>
          </w:p>
          <w:p w14:paraId="0DE3C72B" w14:textId="77777777" w:rsidR="002F7AB0" w:rsidRDefault="002F7AB0" w:rsidP="008434EA">
            <w:pPr>
              <w:ind w:left="720"/>
              <w:jc w:val="both"/>
            </w:pPr>
          </w:p>
          <w:p w14:paraId="765C872C" w14:textId="77777777" w:rsidR="002F7AB0" w:rsidRDefault="00000000" w:rsidP="008434EA">
            <w:pPr>
              <w:ind w:left="720"/>
              <w:jc w:val="both"/>
            </w:pPr>
            <w:r>
              <w:t>Instituciones religiosas y asociaciones de culto</w:t>
            </w:r>
          </w:p>
        </w:tc>
      </w:tr>
      <w:tr w:rsidR="002F7AB0" w14:paraId="797AAF0C" w14:textId="77777777">
        <w:trPr>
          <w:trHeight w:val="1204"/>
        </w:trPr>
        <w:tc>
          <w:tcPr>
            <w:tcW w:w="2595" w:type="dxa"/>
          </w:tcPr>
          <w:p w14:paraId="4F896BFA" w14:textId="77777777" w:rsidR="002F7AB0" w:rsidRDefault="00000000" w:rsidP="008434EA">
            <w:pPr>
              <w:ind w:left="720"/>
              <w:jc w:val="both"/>
            </w:pPr>
            <w:r>
              <w:t>Eventos públicos (estatales y políticos)</w:t>
            </w:r>
          </w:p>
        </w:tc>
        <w:tc>
          <w:tcPr>
            <w:tcW w:w="3060" w:type="dxa"/>
          </w:tcPr>
          <w:p w14:paraId="66003248" w14:textId="77777777" w:rsidR="002F7AB0" w:rsidRDefault="00000000" w:rsidP="008434EA">
            <w:pPr>
              <w:numPr>
                <w:ilvl w:val="0"/>
                <w:numId w:val="9"/>
              </w:numPr>
              <w:spacing w:line="240" w:lineRule="auto"/>
              <w:jc w:val="both"/>
            </w:pPr>
            <w:r>
              <w:t>Elecciones y mítines políticos</w:t>
            </w:r>
          </w:p>
          <w:p w14:paraId="3095D38B" w14:textId="77777777" w:rsidR="002F7AB0" w:rsidRDefault="00000000" w:rsidP="008434EA">
            <w:pPr>
              <w:numPr>
                <w:ilvl w:val="0"/>
                <w:numId w:val="9"/>
              </w:numPr>
              <w:spacing w:line="240" w:lineRule="auto"/>
              <w:jc w:val="both"/>
            </w:pPr>
            <w:r>
              <w:t>Cumbres internacionales</w:t>
            </w:r>
          </w:p>
          <w:p w14:paraId="7EE137BC" w14:textId="77777777" w:rsidR="002F7AB0" w:rsidRDefault="00000000" w:rsidP="008434EA">
            <w:pPr>
              <w:numPr>
                <w:ilvl w:val="0"/>
                <w:numId w:val="9"/>
              </w:numPr>
              <w:spacing w:line="240" w:lineRule="auto"/>
              <w:jc w:val="both"/>
            </w:pPr>
            <w:r>
              <w:t>Actos reales</w:t>
            </w:r>
          </w:p>
        </w:tc>
        <w:tc>
          <w:tcPr>
            <w:tcW w:w="3735" w:type="dxa"/>
          </w:tcPr>
          <w:p w14:paraId="21242900" w14:textId="77777777" w:rsidR="002F7AB0" w:rsidRDefault="00000000" w:rsidP="008434EA">
            <w:pPr>
              <w:ind w:left="720"/>
              <w:jc w:val="both"/>
            </w:pPr>
            <w:r>
              <w:t>Eventos organizados por organismos públicos o partidos políticos</w:t>
            </w:r>
          </w:p>
        </w:tc>
        <w:tc>
          <w:tcPr>
            <w:tcW w:w="4545" w:type="dxa"/>
          </w:tcPr>
          <w:p w14:paraId="0345A8AA" w14:textId="77777777" w:rsidR="002F7AB0" w:rsidRDefault="002F7AB0" w:rsidP="008434EA">
            <w:pPr>
              <w:ind w:left="720"/>
              <w:jc w:val="both"/>
            </w:pPr>
          </w:p>
          <w:p w14:paraId="2264360F" w14:textId="77777777" w:rsidR="002F7AB0" w:rsidRDefault="00000000" w:rsidP="008434EA">
            <w:pPr>
              <w:ind w:left="720"/>
              <w:jc w:val="both"/>
            </w:pPr>
            <w:r>
              <w:t>Instituciones públicas</w:t>
            </w:r>
          </w:p>
        </w:tc>
      </w:tr>
      <w:tr w:rsidR="002F7AB0" w14:paraId="6FC180F3" w14:textId="77777777">
        <w:trPr>
          <w:trHeight w:val="1656"/>
        </w:trPr>
        <w:tc>
          <w:tcPr>
            <w:tcW w:w="2595" w:type="dxa"/>
          </w:tcPr>
          <w:p w14:paraId="729A48C8" w14:textId="77777777" w:rsidR="002F7AB0" w:rsidRDefault="002F7AB0" w:rsidP="008434EA">
            <w:pPr>
              <w:ind w:left="720"/>
              <w:jc w:val="both"/>
            </w:pPr>
          </w:p>
          <w:p w14:paraId="23E71060" w14:textId="77777777" w:rsidR="002F7AB0" w:rsidRDefault="002F7AB0" w:rsidP="008434EA">
            <w:pPr>
              <w:ind w:left="720"/>
              <w:jc w:val="both"/>
            </w:pPr>
          </w:p>
          <w:p w14:paraId="726C061E" w14:textId="77777777" w:rsidR="002F7AB0" w:rsidRDefault="00000000" w:rsidP="008434EA">
            <w:pPr>
              <w:ind w:left="720"/>
              <w:jc w:val="both"/>
            </w:pPr>
            <w:r>
              <w:t>Arte y entretenimiento</w:t>
            </w:r>
          </w:p>
        </w:tc>
        <w:tc>
          <w:tcPr>
            <w:tcW w:w="3060" w:type="dxa"/>
          </w:tcPr>
          <w:p w14:paraId="3533A589" w14:textId="77777777" w:rsidR="002F7AB0" w:rsidRDefault="002F7AB0" w:rsidP="008434EA">
            <w:pPr>
              <w:ind w:left="720"/>
              <w:jc w:val="both"/>
            </w:pPr>
          </w:p>
          <w:p w14:paraId="19623D55" w14:textId="77777777" w:rsidR="002F7AB0" w:rsidRDefault="00000000" w:rsidP="008434EA">
            <w:pPr>
              <w:numPr>
                <w:ilvl w:val="0"/>
                <w:numId w:val="6"/>
              </w:numPr>
              <w:spacing w:line="240" w:lineRule="auto"/>
              <w:jc w:val="both"/>
            </w:pPr>
            <w:r>
              <w:t>Artes escénicas</w:t>
            </w:r>
          </w:p>
          <w:p w14:paraId="68D7A112" w14:textId="77777777" w:rsidR="002F7AB0" w:rsidRDefault="00000000" w:rsidP="008434EA">
            <w:pPr>
              <w:ind w:left="720"/>
              <w:jc w:val="both"/>
            </w:pPr>
            <w:r>
              <w:t>/interpretativas</w:t>
            </w:r>
          </w:p>
          <w:p w14:paraId="334B1C69" w14:textId="77777777" w:rsidR="002F7AB0" w:rsidRDefault="00000000" w:rsidP="008434EA">
            <w:pPr>
              <w:numPr>
                <w:ilvl w:val="0"/>
                <w:numId w:val="6"/>
              </w:numPr>
              <w:spacing w:line="240" w:lineRule="auto"/>
              <w:jc w:val="both"/>
            </w:pPr>
            <w:r>
              <w:t>Literatura</w:t>
            </w:r>
          </w:p>
        </w:tc>
        <w:tc>
          <w:tcPr>
            <w:tcW w:w="3735" w:type="dxa"/>
          </w:tcPr>
          <w:p w14:paraId="638DBF0F" w14:textId="77777777" w:rsidR="002F7AB0" w:rsidRDefault="00000000" w:rsidP="008434EA">
            <w:pPr>
              <w:ind w:left="720"/>
              <w:jc w:val="both"/>
            </w:pPr>
            <w:r>
              <w:t>Son eventos donde el entretenimiento es pasivo, se experimenta por un placer sin tener</w:t>
            </w:r>
          </w:p>
          <w:p w14:paraId="4FE79743" w14:textId="77777777" w:rsidR="002F7AB0" w:rsidRDefault="00000000" w:rsidP="008434EA">
            <w:pPr>
              <w:ind w:left="720"/>
              <w:jc w:val="both"/>
            </w:pPr>
            <w:r>
              <w:t>un vínculo con la cultura del evento</w:t>
            </w:r>
          </w:p>
        </w:tc>
        <w:tc>
          <w:tcPr>
            <w:tcW w:w="4545" w:type="dxa"/>
          </w:tcPr>
          <w:p w14:paraId="02A2C600" w14:textId="77777777" w:rsidR="002F7AB0" w:rsidRDefault="002F7AB0" w:rsidP="008434EA">
            <w:pPr>
              <w:ind w:left="720"/>
              <w:jc w:val="both"/>
            </w:pPr>
          </w:p>
          <w:p w14:paraId="3992AD9D" w14:textId="77777777" w:rsidR="002F7AB0" w:rsidRDefault="002F7AB0" w:rsidP="008434EA">
            <w:pPr>
              <w:ind w:left="720"/>
              <w:jc w:val="both"/>
            </w:pPr>
          </w:p>
          <w:p w14:paraId="4B1B420B" w14:textId="77777777" w:rsidR="002F7AB0" w:rsidRDefault="00000000" w:rsidP="008434EA">
            <w:pPr>
              <w:ind w:left="720"/>
              <w:jc w:val="both"/>
            </w:pPr>
            <w:r>
              <w:t>Instituciones privadas</w:t>
            </w:r>
          </w:p>
        </w:tc>
      </w:tr>
    </w:tbl>
    <w:p w14:paraId="6D7CEC20" w14:textId="77777777" w:rsidR="002F7AB0" w:rsidRDefault="002F7AB0" w:rsidP="008434EA">
      <w:pPr>
        <w:widowControl w:val="0"/>
        <w:spacing w:line="240" w:lineRule="auto"/>
        <w:jc w:val="both"/>
      </w:pPr>
    </w:p>
    <w:tbl>
      <w:tblPr>
        <w:tblStyle w:val="afffa"/>
        <w:tblW w:w="13980" w:type="dxa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3075"/>
        <w:gridCol w:w="3690"/>
        <w:gridCol w:w="4530"/>
      </w:tblGrid>
      <w:tr w:rsidR="002F7AB0" w14:paraId="1543C012" w14:textId="77777777">
        <w:trPr>
          <w:trHeight w:val="1049"/>
        </w:trPr>
        <w:tc>
          <w:tcPr>
            <w:tcW w:w="2685" w:type="dxa"/>
          </w:tcPr>
          <w:p w14:paraId="6C7B7F95" w14:textId="77777777" w:rsidR="002F7AB0" w:rsidRDefault="002F7AB0" w:rsidP="008434EA">
            <w:pPr>
              <w:ind w:left="720"/>
              <w:jc w:val="both"/>
            </w:pPr>
          </w:p>
        </w:tc>
        <w:tc>
          <w:tcPr>
            <w:tcW w:w="3075" w:type="dxa"/>
          </w:tcPr>
          <w:p w14:paraId="58DA6FFD" w14:textId="77777777" w:rsidR="002F7AB0" w:rsidRDefault="00000000" w:rsidP="008434EA">
            <w:pPr>
              <w:numPr>
                <w:ilvl w:val="0"/>
                <w:numId w:val="8"/>
              </w:num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Outdoor training</w:t>
            </w:r>
          </w:p>
          <w:p w14:paraId="4F07164D" w14:textId="77777777" w:rsidR="002F7AB0" w:rsidRDefault="00000000" w:rsidP="008434EA">
            <w:pPr>
              <w:numPr>
                <w:ilvl w:val="0"/>
                <w:numId w:val="8"/>
              </w:num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Team building</w:t>
            </w:r>
          </w:p>
          <w:p w14:paraId="5DEF5632" w14:textId="77777777" w:rsidR="002F7AB0" w:rsidRDefault="00000000" w:rsidP="008434EA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Viaje de</w:t>
            </w:r>
          </w:p>
          <w:p w14:paraId="41CAAE48" w14:textId="77777777" w:rsidR="002F7AB0" w:rsidRDefault="00000000" w:rsidP="008434EA">
            <w:pPr>
              <w:ind w:left="720"/>
              <w:jc w:val="both"/>
            </w:pPr>
            <w:r>
              <w:t>incentivos</w:t>
            </w:r>
          </w:p>
          <w:p w14:paraId="178CCC23" w14:textId="77777777" w:rsidR="002F7AB0" w:rsidRPr="008434EA" w:rsidRDefault="00000000" w:rsidP="008434EA">
            <w:pPr>
              <w:numPr>
                <w:ilvl w:val="0"/>
                <w:numId w:val="8"/>
              </w:numPr>
              <w:spacing w:line="240" w:lineRule="auto"/>
              <w:jc w:val="both"/>
              <w:rPr>
                <w:i/>
                <w:iCs/>
              </w:rPr>
            </w:pPr>
            <w:r w:rsidRPr="008434EA">
              <w:rPr>
                <w:i/>
                <w:iCs/>
              </w:rPr>
              <w:t>Road shows</w:t>
            </w:r>
          </w:p>
        </w:tc>
        <w:tc>
          <w:tcPr>
            <w:tcW w:w="3690" w:type="dxa"/>
          </w:tcPr>
          <w:p w14:paraId="0F80153D" w14:textId="77777777" w:rsidR="002F7AB0" w:rsidRDefault="002F7AB0" w:rsidP="008434EA">
            <w:pPr>
              <w:ind w:left="720"/>
              <w:jc w:val="both"/>
            </w:pPr>
          </w:p>
        </w:tc>
        <w:tc>
          <w:tcPr>
            <w:tcW w:w="4530" w:type="dxa"/>
          </w:tcPr>
          <w:p w14:paraId="3FBB7351" w14:textId="77777777" w:rsidR="002F7AB0" w:rsidRDefault="002F7AB0" w:rsidP="008434EA">
            <w:pPr>
              <w:ind w:left="720"/>
              <w:jc w:val="both"/>
            </w:pPr>
          </w:p>
        </w:tc>
      </w:tr>
      <w:tr w:rsidR="002F7AB0" w14:paraId="21E09EB7" w14:textId="77777777">
        <w:trPr>
          <w:trHeight w:val="523"/>
        </w:trPr>
        <w:tc>
          <w:tcPr>
            <w:tcW w:w="2685" w:type="dxa"/>
          </w:tcPr>
          <w:p w14:paraId="632C3D9E" w14:textId="77777777" w:rsidR="002F7AB0" w:rsidRDefault="00000000" w:rsidP="008434EA">
            <w:pPr>
              <w:ind w:left="720"/>
              <w:jc w:val="both"/>
            </w:pPr>
            <w:r>
              <w:t>Eventos educativos y</w:t>
            </w:r>
          </w:p>
          <w:p w14:paraId="3344B063" w14:textId="77777777" w:rsidR="002F7AB0" w:rsidRDefault="00000000" w:rsidP="008434EA">
            <w:pPr>
              <w:ind w:left="720"/>
              <w:jc w:val="both"/>
            </w:pPr>
            <w:r>
              <w:t>científicos</w:t>
            </w:r>
          </w:p>
        </w:tc>
        <w:tc>
          <w:tcPr>
            <w:tcW w:w="3075" w:type="dxa"/>
          </w:tcPr>
          <w:p w14:paraId="6D2FA592" w14:textId="77777777" w:rsidR="002F7AB0" w:rsidRDefault="00000000" w:rsidP="008434EA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Congresos y conferencias</w:t>
            </w:r>
          </w:p>
        </w:tc>
        <w:tc>
          <w:tcPr>
            <w:tcW w:w="3690" w:type="dxa"/>
          </w:tcPr>
          <w:p w14:paraId="57EFC98C" w14:textId="77777777" w:rsidR="002F7AB0" w:rsidRDefault="00000000" w:rsidP="008434EA">
            <w:pPr>
              <w:ind w:left="720"/>
              <w:jc w:val="both"/>
            </w:pPr>
            <w:r>
              <w:t>Eventos centrados en crear y compartir</w:t>
            </w:r>
          </w:p>
          <w:p w14:paraId="2513F546" w14:textId="77777777" w:rsidR="002F7AB0" w:rsidRDefault="00000000" w:rsidP="008434EA">
            <w:pPr>
              <w:ind w:left="720"/>
              <w:jc w:val="both"/>
            </w:pPr>
            <w:r>
              <w:t>conocimiento</w:t>
            </w:r>
          </w:p>
        </w:tc>
        <w:tc>
          <w:tcPr>
            <w:tcW w:w="4530" w:type="dxa"/>
          </w:tcPr>
          <w:p w14:paraId="09B54A1C" w14:textId="77777777" w:rsidR="002F7AB0" w:rsidRDefault="00000000" w:rsidP="008434EA">
            <w:pPr>
              <w:ind w:left="720"/>
              <w:jc w:val="both"/>
            </w:pPr>
            <w:r>
              <w:t>Instituciones públicas o</w:t>
            </w:r>
          </w:p>
          <w:p w14:paraId="0AE8D92F" w14:textId="77777777" w:rsidR="002F7AB0" w:rsidRDefault="00000000" w:rsidP="008434EA">
            <w:pPr>
              <w:ind w:left="720"/>
              <w:jc w:val="both"/>
            </w:pPr>
            <w:r>
              <w:t>privadas</w:t>
            </w:r>
          </w:p>
        </w:tc>
      </w:tr>
      <w:tr w:rsidR="002F7AB0" w14:paraId="3423B1DE" w14:textId="77777777">
        <w:trPr>
          <w:trHeight w:val="523"/>
        </w:trPr>
        <w:tc>
          <w:tcPr>
            <w:tcW w:w="2685" w:type="dxa"/>
          </w:tcPr>
          <w:p w14:paraId="4135A6A0" w14:textId="77777777" w:rsidR="002F7AB0" w:rsidRDefault="00000000" w:rsidP="008434EA">
            <w:pPr>
              <w:ind w:left="720"/>
              <w:jc w:val="both"/>
            </w:pPr>
            <w:r>
              <w:t>Competiciones deportivas</w:t>
            </w:r>
          </w:p>
        </w:tc>
        <w:tc>
          <w:tcPr>
            <w:tcW w:w="3075" w:type="dxa"/>
          </w:tcPr>
          <w:p w14:paraId="4246214A" w14:textId="77777777" w:rsidR="002F7AB0" w:rsidRDefault="00000000" w:rsidP="008434EA">
            <w:pPr>
              <w:numPr>
                <w:ilvl w:val="0"/>
                <w:numId w:val="10"/>
              </w:numPr>
              <w:spacing w:line="240" w:lineRule="auto"/>
              <w:jc w:val="both"/>
            </w:pPr>
            <w:r>
              <w:t>Eventos</w:t>
            </w:r>
          </w:p>
          <w:p w14:paraId="1777F392" w14:textId="77777777" w:rsidR="002F7AB0" w:rsidRDefault="00000000" w:rsidP="008434EA">
            <w:pPr>
              <w:ind w:left="720"/>
              <w:jc w:val="both"/>
            </w:pPr>
            <w:r>
              <w:t>deportivos</w:t>
            </w:r>
          </w:p>
        </w:tc>
        <w:tc>
          <w:tcPr>
            <w:tcW w:w="3690" w:type="dxa"/>
          </w:tcPr>
          <w:p w14:paraId="6FC7D9CA" w14:textId="77777777" w:rsidR="002F7AB0" w:rsidRDefault="00000000" w:rsidP="008434EA">
            <w:pPr>
              <w:ind w:left="720"/>
              <w:jc w:val="both"/>
            </w:pPr>
            <w:r>
              <w:t>Eventos relacionados con la competición y</w:t>
            </w:r>
          </w:p>
          <w:p w14:paraId="60FB0B99" w14:textId="77777777" w:rsidR="002F7AB0" w:rsidRDefault="00000000" w:rsidP="008434EA">
            <w:pPr>
              <w:ind w:left="720"/>
              <w:jc w:val="both"/>
            </w:pPr>
            <w:r>
              <w:t>práctica deportiva</w:t>
            </w:r>
          </w:p>
        </w:tc>
        <w:tc>
          <w:tcPr>
            <w:tcW w:w="4530" w:type="dxa"/>
          </w:tcPr>
          <w:p w14:paraId="19F8D81B" w14:textId="77777777" w:rsidR="002F7AB0" w:rsidRDefault="00000000" w:rsidP="008434EA">
            <w:pPr>
              <w:ind w:left="720"/>
              <w:jc w:val="both"/>
            </w:pPr>
            <w:r>
              <w:t>Instituciones públicas o</w:t>
            </w:r>
          </w:p>
          <w:p w14:paraId="7A875062" w14:textId="77777777" w:rsidR="002F7AB0" w:rsidRDefault="00000000" w:rsidP="008434EA">
            <w:pPr>
              <w:ind w:left="720"/>
              <w:jc w:val="both"/>
            </w:pPr>
            <w:r>
              <w:t>privadas</w:t>
            </w:r>
          </w:p>
        </w:tc>
      </w:tr>
      <w:tr w:rsidR="002F7AB0" w14:paraId="1B5120C3" w14:textId="77777777">
        <w:trPr>
          <w:trHeight w:val="873"/>
        </w:trPr>
        <w:tc>
          <w:tcPr>
            <w:tcW w:w="2685" w:type="dxa"/>
          </w:tcPr>
          <w:p w14:paraId="586B6BA3" w14:textId="77777777" w:rsidR="002F7AB0" w:rsidRDefault="002F7AB0" w:rsidP="008434EA">
            <w:pPr>
              <w:ind w:left="720"/>
              <w:jc w:val="both"/>
            </w:pPr>
          </w:p>
          <w:p w14:paraId="2C0D2BD3" w14:textId="77777777" w:rsidR="002F7AB0" w:rsidRDefault="002F7AB0" w:rsidP="008434EA">
            <w:pPr>
              <w:ind w:left="720"/>
              <w:jc w:val="both"/>
            </w:pPr>
          </w:p>
          <w:p w14:paraId="10570ECE" w14:textId="77777777" w:rsidR="002F7AB0" w:rsidRDefault="00000000" w:rsidP="008434EA">
            <w:pPr>
              <w:ind w:left="720"/>
              <w:jc w:val="both"/>
            </w:pPr>
            <w:r>
              <w:t>Recreación</w:t>
            </w:r>
          </w:p>
        </w:tc>
        <w:tc>
          <w:tcPr>
            <w:tcW w:w="3075" w:type="dxa"/>
          </w:tcPr>
          <w:p w14:paraId="76DF9D72" w14:textId="77777777" w:rsidR="002F7AB0" w:rsidRDefault="00000000" w:rsidP="008434EA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Ferias</w:t>
            </w:r>
          </w:p>
          <w:p w14:paraId="7BA8097C" w14:textId="77777777" w:rsidR="002F7AB0" w:rsidRDefault="00000000" w:rsidP="008434EA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Arte visual</w:t>
            </w:r>
          </w:p>
          <w:p w14:paraId="7880C99D" w14:textId="77777777" w:rsidR="002F7AB0" w:rsidRDefault="00000000" w:rsidP="008434EA">
            <w:pPr>
              <w:ind w:left="720"/>
              <w:jc w:val="both"/>
            </w:pPr>
            <w:r>
              <w:t>/performances</w:t>
            </w:r>
          </w:p>
          <w:p w14:paraId="7FC377B4" w14:textId="77777777" w:rsidR="002F7AB0" w:rsidRDefault="00000000" w:rsidP="008434EA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Espectáculos en la calle</w:t>
            </w:r>
          </w:p>
        </w:tc>
        <w:tc>
          <w:tcPr>
            <w:tcW w:w="3690" w:type="dxa"/>
          </w:tcPr>
          <w:p w14:paraId="08D43559" w14:textId="77777777" w:rsidR="002F7AB0" w:rsidRDefault="002F7AB0" w:rsidP="008434EA">
            <w:pPr>
              <w:ind w:left="720"/>
              <w:jc w:val="both"/>
            </w:pPr>
          </w:p>
          <w:p w14:paraId="500F3BAC" w14:textId="77777777" w:rsidR="002F7AB0" w:rsidRDefault="00000000" w:rsidP="008434EA">
            <w:pPr>
              <w:ind w:left="720"/>
              <w:jc w:val="both"/>
            </w:pPr>
            <w:r>
              <w:t>Por su naturaleza, suelen estar basados en la diversión y el juego</w:t>
            </w:r>
          </w:p>
        </w:tc>
        <w:tc>
          <w:tcPr>
            <w:tcW w:w="4530" w:type="dxa"/>
          </w:tcPr>
          <w:p w14:paraId="737112FE" w14:textId="77777777" w:rsidR="002F7AB0" w:rsidRDefault="002F7AB0" w:rsidP="008434EA">
            <w:pPr>
              <w:ind w:left="720"/>
              <w:jc w:val="both"/>
            </w:pPr>
          </w:p>
          <w:p w14:paraId="53F28E7D" w14:textId="77777777" w:rsidR="002F7AB0" w:rsidRDefault="00000000" w:rsidP="008434EA">
            <w:pPr>
              <w:ind w:left="720"/>
              <w:jc w:val="both"/>
            </w:pPr>
            <w:r>
              <w:t>Instituciones públicas o privadas</w:t>
            </w:r>
          </w:p>
        </w:tc>
      </w:tr>
      <w:tr w:rsidR="002F7AB0" w14:paraId="7764A829" w14:textId="77777777">
        <w:trPr>
          <w:gridAfter w:val="1"/>
          <w:wAfter w:w="4530" w:type="dxa"/>
          <w:trHeight w:val="872"/>
        </w:trPr>
        <w:tc>
          <w:tcPr>
            <w:tcW w:w="2685" w:type="dxa"/>
          </w:tcPr>
          <w:p w14:paraId="12629A08" w14:textId="77777777" w:rsidR="002F7AB0" w:rsidRDefault="002F7AB0" w:rsidP="008434EA">
            <w:pPr>
              <w:ind w:left="720"/>
              <w:jc w:val="both"/>
            </w:pPr>
          </w:p>
          <w:p w14:paraId="6BBBD96E" w14:textId="77777777" w:rsidR="002F7AB0" w:rsidRDefault="002F7AB0" w:rsidP="008434EA">
            <w:pPr>
              <w:ind w:left="720"/>
              <w:jc w:val="both"/>
            </w:pPr>
          </w:p>
          <w:p w14:paraId="20913777" w14:textId="77777777" w:rsidR="002F7AB0" w:rsidRDefault="00000000" w:rsidP="008434EA">
            <w:pPr>
              <w:ind w:left="720"/>
              <w:jc w:val="both"/>
            </w:pPr>
            <w:r>
              <w:t>Eventos sociales</w:t>
            </w:r>
          </w:p>
        </w:tc>
        <w:tc>
          <w:tcPr>
            <w:tcW w:w="3075" w:type="dxa"/>
          </w:tcPr>
          <w:p w14:paraId="7E099649" w14:textId="77777777" w:rsidR="002F7AB0" w:rsidRDefault="00000000" w:rsidP="008434EA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Recaudación de fondo</w:t>
            </w:r>
          </w:p>
          <w:p w14:paraId="50D7685A" w14:textId="77777777" w:rsidR="002F7AB0" w:rsidRDefault="00000000" w:rsidP="008434EA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Campañas de sensibilización o educación</w:t>
            </w:r>
          </w:p>
        </w:tc>
        <w:tc>
          <w:tcPr>
            <w:tcW w:w="3690" w:type="dxa"/>
          </w:tcPr>
          <w:p w14:paraId="72CB2C05" w14:textId="77777777" w:rsidR="002F7AB0" w:rsidRDefault="00000000" w:rsidP="008434EA">
            <w:pPr>
              <w:ind w:left="720"/>
              <w:jc w:val="both"/>
            </w:pPr>
            <w:r>
              <w:t>Eventos con un alto componente de sensibilización y educación ciudadana</w:t>
            </w:r>
          </w:p>
        </w:tc>
      </w:tr>
      <w:tr w:rsidR="002F7AB0" w14:paraId="1D36B80E" w14:textId="77777777">
        <w:trPr>
          <w:trHeight w:val="523"/>
        </w:trPr>
        <w:tc>
          <w:tcPr>
            <w:tcW w:w="2685" w:type="dxa"/>
          </w:tcPr>
          <w:p w14:paraId="6B941FE8" w14:textId="77777777" w:rsidR="002F7AB0" w:rsidRDefault="00000000" w:rsidP="008434EA">
            <w:pPr>
              <w:ind w:left="720"/>
              <w:jc w:val="both"/>
            </w:pPr>
            <w:r>
              <w:t>Eventos privados</w:t>
            </w:r>
          </w:p>
        </w:tc>
        <w:tc>
          <w:tcPr>
            <w:tcW w:w="3075" w:type="dxa"/>
          </w:tcPr>
          <w:p w14:paraId="2C990097" w14:textId="77777777" w:rsidR="002F7AB0" w:rsidRDefault="00000000" w:rsidP="008434EA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>Fiestas</w:t>
            </w:r>
          </w:p>
          <w:p w14:paraId="04B87DB2" w14:textId="77777777" w:rsidR="002F7AB0" w:rsidRDefault="00000000" w:rsidP="008434EA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>Bodas</w:t>
            </w:r>
          </w:p>
        </w:tc>
        <w:tc>
          <w:tcPr>
            <w:tcW w:w="3690" w:type="dxa"/>
          </w:tcPr>
          <w:p w14:paraId="34BACB2A" w14:textId="77777777" w:rsidR="002F7AB0" w:rsidRDefault="00000000" w:rsidP="008434EA">
            <w:pPr>
              <w:ind w:left="720"/>
              <w:jc w:val="both"/>
            </w:pPr>
            <w:r>
              <w:t>Organizados principalmente para</w:t>
            </w:r>
          </w:p>
          <w:p w14:paraId="7D10D841" w14:textId="77777777" w:rsidR="002F7AB0" w:rsidRDefault="00000000" w:rsidP="008434EA">
            <w:pPr>
              <w:ind w:left="720"/>
              <w:jc w:val="both"/>
            </w:pPr>
            <w:r>
              <w:t>celebraciones sociales</w:t>
            </w:r>
          </w:p>
        </w:tc>
        <w:tc>
          <w:tcPr>
            <w:tcW w:w="4530" w:type="dxa"/>
          </w:tcPr>
          <w:p w14:paraId="0A453931" w14:textId="77777777" w:rsidR="002F7AB0" w:rsidRDefault="002F7AB0" w:rsidP="008434EA">
            <w:pPr>
              <w:ind w:left="720"/>
              <w:jc w:val="both"/>
            </w:pPr>
          </w:p>
          <w:p w14:paraId="1CAFBEC8" w14:textId="77777777" w:rsidR="002F7AB0" w:rsidRDefault="00000000" w:rsidP="008434EA">
            <w:pPr>
              <w:ind w:left="720"/>
              <w:jc w:val="both"/>
            </w:pPr>
            <w:r>
              <w:t>Particulares</w:t>
            </w:r>
          </w:p>
        </w:tc>
      </w:tr>
    </w:tbl>
    <w:p w14:paraId="573FA9CE" w14:textId="3E5EB321" w:rsidR="002F7AB0" w:rsidRDefault="00000000" w:rsidP="008434EA">
      <w:pPr>
        <w:widowControl w:val="0"/>
        <w:spacing w:line="240" w:lineRule="auto"/>
        <w:ind w:left="720"/>
        <w:jc w:val="both"/>
        <w:rPr>
          <w:color w:val="0000FF"/>
        </w:rPr>
      </w:pPr>
      <w:r>
        <w:rPr>
          <w:i/>
          <w:color w:val="0000FF"/>
        </w:rPr>
        <w:t>Fuente</w:t>
      </w:r>
      <w:r>
        <w:rPr>
          <w:color w:val="0000FF"/>
        </w:rPr>
        <w:t xml:space="preserve">: Adaptado de Moreira Quesada, 2015, </w:t>
      </w:r>
      <w:r w:rsidR="008434EA">
        <w:rPr>
          <w:color w:val="0000FF"/>
        </w:rPr>
        <w:t>pág.</w:t>
      </w:r>
      <w:r>
        <w:rPr>
          <w:color w:val="0000FF"/>
        </w:rPr>
        <w:t xml:space="preserve"> 3</w:t>
      </w:r>
    </w:p>
    <w:p w14:paraId="406230EF" w14:textId="77777777" w:rsidR="002F7AB0" w:rsidRDefault="002F7AB0" w:rsidP="008434EA">
      <w:pPr>
        <w:widowControl w:val="0"/>
        <w:spacing w:line="240" w:lineRule="auto"/>
        <w:jc w:val="both"/>
      </w:pPr>
    </w:p>
    <w:p w14:paraId="11FC0649" w14:textId="77777777" w:rsidR="002F7AB0" w:rsidRDefault="00000000" w:rsidP="008434EA">
      <w:pPr>
        <w:widowControl w:val="0"/>
        <w:spacing w:line="240" w:lineRule="auto"/>
        <w:ind w:left="720"/>
        <w:jc w:val="both"/>
      </w:pPr>
      <w:r>
        <w:rPr>
          <w:i/>
        </w:rPr>
        <w:t>Nota</w:t>
      </w:r>
      <w:r>
        <w:t xml:space="preserve">: Esta tabla contiene a manera de resumen la clasificación de eventos de acuerdo con su tipología. </w:t>
      </w:r>
    </w:p>
    <w:p w14:paraId="0C89E09C" w14:textId="77777777" w:rsidR="002F7AB0" w:rsidRDefault="002F7AB0" w:rsidP="008434EA">
      <w:pPr>
        <w:widowControl w:val="0"/>
        <w:spacing w:line="240" w:lineRule="auto"/>
        <w:jc w:val="both"/>
      </w:pPr>
    </w:p>
    <w:p w14:paraId="207A7C18" w14:textId="77777777" w:rsidR="002F7AB0" w:rsidRDefault="002F7AB0" w:rsidP="008434EA">
      <w:pPr>
        <w:widowControl w:val="0"/>
        <w:spacing w:line="240" w:lineRule="auto"/>
        <w:jc w:val="both"/>
      </w:pPr>
    </w:p>
    <w:p w14:paraId="15F759C5" w14:textId="77777777" w:rsidR="002F7AB0" w:rsidRDefault="002F7AB0" w:rsidP="008434EA">
      <w:pPr>
        <w:widowControl w:val="0"/>
        <w:spacing w:line="480" w:lineRule="auto"/>
        <w:jc w:val="both"/>
        <w:rPr>
          <w:b/>
        </w:rPr>
      </w:pPr>
    </w:p>
    <w:p w14:paraId="4D3BA51F" w14:textId="77777777" w:rsidR="002F7AB0" w:rsidRDefault="002F7AB0" w:rsidP="008434EA">
      <w:pPr>
        <w:widowControl w:val="0"/>
        <w:spacing w:line="480" w:lineRule="auto"/>
        <w:ind w:left="720"/>
        <w:jc w:val="both"/>
      </w:pPr>
    </w:p>
    <w:p w14:paraId="043A65D7" w14:textId="77777777" w:rsidR="002F7AB0" w:rsidRDefault="002F7AB0" w:rsidP="008434EA">
      <w:pPr>
        <w:widowControl w:val="0"/>
        <w:spacing w:line="240" w:lineRule="auto"/>
        <w:jc w:val="both"/>
      </w:pPr>
    </w:p>
    <w:p w14:paraId="4F6198D6" w14:textId="77777777" w:rsidR="002F7AB0" w:rsidRDefault="002F7AB0" w:rsidP="008434EA">
      <w:pPr>
        <w:jc w:val="both"/>
        <w:rPr>
          <w:b/>
        </w:rPr>
      </w:pPr>
    </w:p>
    <w:p w14:paraId="6E311844" w14:textId="77777777" w:rsidR="002F7AB0" w:rsidRDefault="002F7AB0" w:rsidP="008434EA">
      <w:pPr>
        <w:jc w:val="both"/>
      </w:pPr>
    </w:p>
    <w:sectPr w:rsidR="002F7AB0">
      <w:headerReference w:type="default" r:id="rId9"/>
      <w:pgSz w:w="16834" w:h="11909" w:orient="landscape"/>
      <w:pgMar w:top="851" w:right="1393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C0A0" w14:textId="77777777" w:rsidR="00A7756E" w:rsidRDefault="00A7756E">
      <w:pPr>
        <w:spacing w:line="240" w:lineRule="auto"/>
      </w:pPr>
      <w:r>
        <w:separator/>
      </w:r>
    </w:p>
  </w:endnote>
  <w:endnote w:type="continuationSeparator" w:id="0">
    <w:p w14:paraId="69A241A1" w14:textId="77777777" w:rsidR="00A7756E" w:rsidRDefault="00A7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19B7" w14:textId="77777777" w:rsidR="00A7756E" w:rsidRDefault="00A7756E">
      <w:pPr>
        <w:spacing w:line="240" w:lineRule="auto"/>
      </w:pPr>
      <w:r>
        <w:separator/>
      </w:r>
    </w:p>
  </w:footnote>
  <w:footnote w:type="continuationSeparator" w:id="0">
    <w:p w14:paraId="6B898E02" w14:textId="77777777" w:rsidR="00A7756E" w:rsidRDefault="00A775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FDB9" w14:textId="77777777" w:rsidR="002F7A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6FE8F9" wp14:editId="56499C1B">
          <wp:simplePos x="0" y="0"/>
          <wp:positionH relativeFrom="column">
            <wp:posOffset>-360043</wp:posOffset>
          </wp:positionH>
          <wp:positionV relativeFrom="paragraph">
            <wp:posOffset>-457199</wp:posOffset>
          </wp:positionV>
          <wp:extent cx="2369820" cy="609600"/>
          <wp:effectExtent l="0" t="0" r="0" b="0"/>
          <wp:wrapSquare wrapText="bothSides" distT="0" distB="0" distL="114300" distR="114300"/>
          <wp:docPr id="10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7142"/>
                  <a:stretch>
                    <a:fillRect/>
                  </a:stretch>
                </pic:blipFill>
                <pic:spPr>
                  <a:xfrm>
                    <a:off x="0" y="0"/>
                    <a:ext cx="236982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2C64D2" w14:textId="77777777" w:rsidR="002F7AB0" w:rsidRDefault="002F7A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29C"/>
    <w:multiLevelType w:val="multilevel"/>
    <w:tmpl w:val="69FC8794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1" w15:restartNumberingAfterBreak="0">
    <w:nsid w:val="16DA58BE"/>
    <w:multiLevelType w:val="multilevel"/>
    <w:tmpl w:val="577CAA78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2" w15:restartNumberingAfterBreak="0">
    <w:nsid w:val="1FCF0F78"/>
    <w:multiLevelType w:val="multilevel"/>
    <w:tmpl w:val="638A0E4C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3" w15:restartNumberingAfterBreak="0">
    <w:nsid w:val="2D863A25"/>
    <w:multiLevelType w:val="multilevel"/>
    <w:tmpl w:val="AA0C06B2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4" w15:restartNumberingAfterBreak="0">
    <w:nsid w:val="2E7D21F3"/>
    <w:multiLevelType w:val="multilevel"/>
    <w:tmpl w:val="382C4CBA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5" w15:restartNumberingAfterBreak="0">
    <w:nsid w:val="316F205C"/>
    <w:multiLevelType w:val="multilevel"/>
    <w:tmpl w:val="4C9434C8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6" w15:restartNumberingAfterBreak="0">
    <w:nsid w:val="40390D85"/>
    <w:multiLevelType w:val="multilevel"/>
    <w:tmpl w:val="C0B43ADC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7" w15:restartNumberingAfterBreak="0">
    <w:nsid w:val="461017A5"/>
    <w:multiLevelType w:val="multilevel"/>
    <w:tmpl w:val="B7A6E7AE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8" w15:restartNumberingAfterBreak="0">
    <w:nsid w:val="4A556B09"/>
    <w:multiLevelType w:val="multilevel"/>
    <w:tmpl w:val="08F87186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abstractNum w:abstractNumId="9" w15:restartNumberingAfterBreak="0">
    <w:nsid w:val="6FE62C9A"/>
    <w:multiLevelType w:val="multilevel"/>
    <w:tmpl w:val="730E45BC"/>
    <w:lvl w:ilvl="0">
      <w:numFmt w:val="bullet"/>
      <w:lvlText w:val="⮚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54" w:hanging="357"/>
      </w:pPr>
    </w:lvl>
    <w:lvl w:ilvl="2">
      <w:numFmt w:val="bullet"/>
      <w:lvlText w:val="•"/>
      <w:lvlJc w:val="left"/>
      <w:pPr>
        <w:ind w:left="848" w:hanging="360"/>
      </w:pPr>
    </w:lvl>
    <w:lvl w:ilvl="3">
      <w:numFmt w:val="bullet"/>
      <w:lvlText w:val="•"/>
      <w:lvlJc w:val="left"/>
      <w:pPr>
        <w:ind w:left="1042" w:hanging="360"/>
      </w:pPr>
    </w:lvl>
    <w:lvl w:ilvl="4">
      <w:numFmt w:val="bullet"/>
      <w:lvlText w:val="•"/>
      <w:lvlJc w:val="left"/>
      <w:pPr>
        <w:ind w:left="1236" w:hanging="360"/>
      </w:pPr>
    </w:lvl>
    <w:lvl w:ilvl="5">
      <w:numFmt w:val="bullet"/>
      <w:lvlText w:val="•"/>
      <w:lvlJc w:val="left"/>
      <w:pPr>
        <w:ind w:left="1430" w:hanging="360"/>
      </w:pPr>
    </w:lvl>
    <w:lvl w:ilvl="6">
      <w:numFmt w:val="bullet"/>
      <w:lvlText w:val="•"/>
      <w:lvlJc w:val="left"/>
      <w:pPr>
        <w:ind w:left="1624" w:hanging="360"/>
      </w:pPr>
    </w:lvl>
    <w:lvl w:ilvl="7">
      <w:numFmt w:val="bullet"/>
      <w:lvlText w:val="•"/>
      <w:lvlJc w:val="left"/>
      <w:pPr>
        <w:ind w:left="1818" w:hanging="360"/>
      </w:pPr>
    </w:lvl>
    <w:lvl w:ilvl="8">
      <w:numFmt w:val="bullet"/>
      <w:lvlText w:val="•"/>
      <w:lvlJc w:val="left"/>
      <w:pPr>
        <w:ind w:left="2012" w:hanging="360"/>
      </w:pPr>
    </w:lvl>
  </w:abstractNum>
  <w:num w:numId="1" w16cid:durableId="681855811">
    <w:abstractNumId w:val="2"/>
  </w:num>
  <w:num w:numId="2" w16cid:durableId="1593129412">
    <w:abstractNumId w:val="3"/>
  </w:num>
  <w:num w:numId="3" w16cid:durableId="1541287481">
    <w:abstractNumId w:val="8"/>
  </w:num>
  <w:num w:numId="4" w16cid:durableId="2128162374">
    <w:abstractNumId w:val="5"/>
  </w:num>
  <w:num w:numId="5" w16cid:durableId="918438685">
    <w:abstractNumId w:val="4"/>
  </w:num>
  <w:num w:numId="6" w16cid:durableId="341595166">
    <w:abstractNumId w:val="0"/>
  </w:num>
  <w:num w:numId="7" w16cid:durableId="1705863689">
    <w:abstractNumId w:val="9"/>
  </w:num>
  <w:num w:numId="8" w16cid:durableId="1511216158">
    <w:abstractNumId w:val="6"/>
  </w:num>
  <w:num w:numId="9" w16cid:durableId="2131118702">
    <w:abstractNumId w:val="7"/>
  </w:num>
  <w:num w:numId="10" w16cid:durableId="119164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B0"/>
    <w:rsid w:val="002F7AB0"/>
    <w:rsid w:val="008434EA"/>
    <w:rsid w:val="00A7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1567"/>
  <w15:docId w15:val="{FD605306-041F-4481-B9C1-09B740F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0A6"/>
  </w:style>
  <w:style w:type="paragraph" w:styleId="Piedepgina">
    <w:name w:val="footer"/>
    <w:basedOn w:val="Normal"/>
    <w:link w:val="Piedepgina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0A6"/>
  </w:style>
  <w:style w:type="paragraph" w:styleId="Textodeglobo">
    <w:name w:val="Balloon Text"/>
    <w:basedOn w:val="Normal"/>
    <w:link w:val="TextodegloboCar"/>
    <w:uiPriority w:val="99"/>
    <w:semiHidden/>
    <w:unhideWhenUsed/>
    <w:rsid w:val="00842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2A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A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A2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11E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3667FC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E17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7D1"/>
    <w:rPr>
      <w:color w:val="605E5C"/>
      <w:shd w:val="clear" w:color="auto" w:fill="E1DFDD"/>
    </w:r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3nms3Qrti2bl1yVlwfsbYAm6Q==">AMUW2mVKAy/lwelF7FIj2mKA5vViufcfzh7pqRKLlI2WvUeZomNJKUmmBUH0mIjlJyhz260GXCZwpu4lmol9FCaxb14/7TuhhbKq1ZjpVj3BwKa3jeBBgyuXZoE17XgZUKapvOQp1hH9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DayAccessed>7</b:DayAccessed>
    <b:Year>2015</b:Year>
    <b:SourceType>DocumentFromInternetSite</b:SourceType>
    <b:URL>http://repositorio.utmachala.edu.ec/bitstream/48000/5467/1/ECUACE-2015-HT-CD00032.pdf</b:URL>
    <b:Title>UNIVERSIDAD TÉCNICA DE MACHALA UNIDAD ACADÉMICA DE CIENCIAS EMPRESARIALES CARRERA DE ADMINISTRACIÓN DE HOTELERÍA Y TURISMO T</b:Title>
    <b:InternetSiteTitle>Repositorio Digital de la UTMACH</b:InternetSiteTitle>
    <b:MonthAccessed>September</b:MonthAccessed>
    <b:YearAccessed>2022</b:YearAccessed>
    <b:Gdcea>{"AccessedType":"Website"}</b:Gdcea>
    <b:Author>
      <b:Author>
        <b:NameList>
          <b:Person>
            <b:First>Edith</b:First>
            <b:Middle>Diana</b:Middle>
            <b:Last>Moreira Quesada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Maria Luisa Martinez</cp:lastModifiedBy>
  <cp:revision>2</cp:revision>
  <dcterms:created xsi:type="dcterms:W3CDTF">2022-08-24T12:14:00Z</dcterms:created>
  <dcterms:modified xsi:type="dcterms:W3CDTF">2022-09-14T20:07:00Z</dcterms:modified>
</cp:coreProperties>
</file>