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B0B1" w14:textId="4DE88DE8" w:rsidR="000538F1" w:rsidRDefault="00355F6C">
      <w:pPr>
        <w:shd w:val="clear" w:color="auto" w:fill="FFFFFF"/>
        <w:jc w:val="center"/>
        <w:rPr>
          <w:rFonts w:ascii="Arial" w:eastAsia="Arial" w:hAnsi="Arial" w:cs="Arial"/>
          <w:color w:val="202124"/>
        </w:rPr>
      </w:pPr>
      <w:r>
        <w:rPr>
          <w:rFonts w:ascii="Arial" w:eastAsia="Arial" w:hAnsi="Arial" w:cs="Arial"/>
          <w:b/>
          <w:color w:val="202124"/>
        </w:rPr>
        <w:t xml:space="preserve"> Modalidades de </w:t>
      </w:r>
      <w:r w:rsidR="00F223DF">
        <w:rPr>
          <w:rFonts w:ascii="Arial" w:eastAsia="Arial" w:hAnsi="Arial" w:cs="Arial"/>
          <w:b/>
          <w:color w:val="202124"/>
        </w:rPr>
        <w:t>s</w:t>
      </w:r>
      <w:r>
        <w:rPr>
          <w:rFonts w:ascii="Arial" w:eastAsia="Arial" w:hAnsi="Arial" w:cs="Arial"/>
          <w:b/>
          <w:color w:val="202124"/>
        </w:rPr>
        <w:t xml:space="preserve">elección del </w:t>
      </w:r>
      <w:r w:rsidR="00F223DF">
        <w:rPr>
          <w:rFonts w:ascii="Arial" w:eastAsia="Arial" w:hAnsi="Arial" w:cs="Arial"/>
          <w:b/>
          <w:color w:val="202124"/>
        </w:rPr>
        <w:t>c</w:t>
      </w:r>
      <w:r>
        <w:rPr>
          <w:rFonts w:ascii="Arial" w:eastAsia="Arial" w:hAnsi="Arial" w:cs="Arial"/>
          <w:b/>
          <w:color w:val="202124"/>
        </w:rPr>
        <w:t>ontratista</w:t>
      </w:r>
    </w:p>
    <w:p w14:paraId="4D756088" w14:textId="20D3FDD9" w:rsidR="00F223DF" w:rsidRDefault="00F223DF" w:rsidP="00F223DF">
      <w:pPr>
        <w:pStyle w:val="Ttulo5"/>
        <w:shd w:val="clear" w:color="auto" w:fill="FCFCFC"/>
        <w:spacing w:before="375" w:after="375"/>
        <w:jc w:val="both"/>
        <w:rPr>
          <w:rFonts w:ascii="Arial" w:eastAsia="Arial" w:hAnsi="Arial" w:cs="Arial"/>
          <w:color w:val="424242"/>
        </w:rPr>
      </w:pPr>
      <w:r>
        <w:rPr>
          <w:rFonts w:ascii="Arial" w:eastAsia="Arial" w:hAnsi="Arial" w:cs="Arial"/>
          <w:color w:val="424242"/>
        </w:rPr>
        <w:t xml:space="preserve">Tomado de: </w:t>
      </w:r>
      <w:r w:rsidRPr="00F223DF">
        <w:rPr>
          <w:rFonts w:ascii="Arial" w:eastAsia="Arial" w:hAnsi="Arial" w:cs="Arial"/>
          <w:color w:val="424242"/>
        </w:rPr>
        <w:t xml:space="preserve">Función Pública (2018). Modalidades de Selección del Contratista. Módulo 4. Contratación pública </w:t>
      </w:r>
      <w:hyperlink r:id="rId8" w:history="1">
        <w:r w:rsidRPr="00EB6F31">
          <w:rPr>
            <w:rStyle w:val="Hipervnculo"/>
            <w:rFonts w:ascii="Arial" w:eastAsia="Arial" w:hAnsi="Arial" w:cs="Arial"/>
          </w:rPr>
          <w:t>https://www.funcionpublica.gov.co/eva/gerentes/Modulo4/tema-2/1-modalidades.html</w:t>
        </w:r>
      </w:hyperlink>
    </w:p>
    <w:p w14:paraId="48482AFA" w14:textId="2AE5D050" w:rsidR="000538F1" w:rsidRDefault="00C85AF3">
      <w:pPr>
        <w:pStyle w:val="Ttulo5"/>
        <w:numPr>
          <w:ilvl w:val="0"/>
          <w:numId w:val="1"/>
        </w:numPr>
        <w:shd w:val="clear" w:color="auto" w:fill="FCFCFC"/>
        <w:spacing w:before="375" w:after="375"/>
        <w:ind w:left="0" w:firstLine="0"/>
        <w:jc w:val="both"/>
        <w:rPr>
          <w:rFonts w:ascii="Arial" w:eastAsia="Arial" w:hAnsi="Arial" w:cs="Arial"/>
          <w:color w:val="424242"/>
        </w:rPr>
      </w:pPr>
      <w:r>
        <w:rPr>
          <w:rFonts w:ascii="Arial" w:eastAsia="Arial" w:hAnsi="Arial" w:cs="Arial"/>
          <w:color w:val="424242"/>
        </w:rPr>
        <w:t xml:space="preserve">Licitación </w:t>
      </w:r>
      <w:r w:rsidR="00F223DF">
        <w:rPr>
          <w:rFonts w:ascii="Arial" w:eastAsia="Arial" w:hAnsi="Arial" w:cs="Arial"/>
          <w:color w:val="424242"/>
        </w:rPr>
        <w:t>p</w:t>
      </w:r>
      <w:r>
        <w:rPr>
          <w:rFonts w:ascii="Arial" w:eastAsia="Arial" w:hAnsi="Arial" w:cs="Arial"/>
          <w:color w:val="424242"/>
        </w:rPr>
        <w:t>ública</w:t>
      </w:r>
    </w:p>
    <w:p w14:paraId="13A586E6" w14:textId="0D5EE745" w:rsidR="000538F1" w:rsidRDefault="0018549B">
      <w:pPr>
        <w:pBdr>
          <w:top w:val="nil"/>
          <w:left w:val="nil"/>
          <w:bottom w:val="nil"/>
          <w:right w:val="nil"/>
          <w:between w:val="nil"/>
        </w:pBdr>
        <w:shd w:val="clear" w:color="auto" w:fill="FCFCFC"/>
        <w:spacing w:after="280"/>
        <w:jc w:val="both"/>
        <w:rPr>
          <w:rFonts w:ascii="Arial" w:eastAsia="Arial" w:hAnsi="Arial" w:cs="Arial"/>
          <w:color w:val="424242"/>
        </w:rPr>
      </w:pPr>
      <w:r>
        <w:rPr>
          <w:rFonts w:ascii="Arial" w:eastAsia="Arial" w:hAnsi="Arial" w:cs="Arial"/>
          <w:color w:val="424242"/>
        </w:rPr>
        <w:t>Esta modalidad es muy valorada para la selección de contratistas, principalmente en trabajos para el sector público y procesos</w:t>
      </w:r>
      <w:r w:rsidR="00A43537">
        <w:rPr>
          <w:rFonts w:ascii="Arial" w:eastAsia="Arial" w:hAnsi="Arial" w:cs="Arial"/>
          <w:color w:val="424242"/>
        </w:rPr>
        <w:t xml:space="preserve"> </w:t>
      </w:r>
      <w:r>
        <w:rPr>
          <w:rFonts w:ascii="Arial" w:eastAsia="Arial" w:hAnsi="Arial" w:cs="Arial"/>
          <w:color w:val="424242"/>
        </w:rPr>
        <w:t>de mayor cuantía</w:t>
      </w:r>
      <w:r w:rsidR="00355F6C">
        <w:rPr>
          <w:rFonts w:ascii="Arial" w:eastAsia="Arial" w:hAnsi="Arial" w:cs="Arial"/>
          <w:color w:val="424242"/>
        </w:rPr>
        <w:t xml:space="preserve"> (Función Pública, 2018)</w:t>
      </w:r>
      <w:r>
        <w:rPr>
          <w:rFonts w:ascii="Arial" w:eastAsia="Arial" w:hAnsi="Arial" w:cs="Arial"/>
          <w:color w:val="424242"/>
        </w:rPr>
        <w:t>.</w:t>
      </w:r>
    </w:p>
    <w:p w14:paraId="5034E35F" w14:textId="75EEBC6E" w:rsidR="000538F1" w:rsidRDefault="00C85AF3" w:rsidP="00F415E9">
      <w:pPr>
        <w:pStyle w:val="Ttulo5"/>
        <w:numPr>
          <w:ilvl w:val="0"/>
          <w:numId w:val="2"/>
        </w:numPr>
        <w:shd w:val="clear" w:color="auto" w:fill="FCFCFC"/>
        <w:spacing w:before="375" w:after="375"/>
        <w:ind w:hanging="720"/>
        <w:jc w:val="both"/>
        <w:rPr>
          <w:rFonts w:ascii="Arial" w:eastAsia="Arial" w:hAnsi="Arial" w:cs="Arial"/>
          <w:color w:val="424242"/>
        </w:rPr>
      </w:pPr>
      <w:r>
        <w:rPr>
          <w:rFonts w:ascii="Arial" w:eastAsia="Arial" w:hAnsi="Arial" w:cs="Arial"/>
          <w:color w:val="424242"/>
        </w:rPr>
        <w:t xml:space="preserve">Concurso de </w:t>
      </w:r>
      <w:r w:rsidR="00F415E9">
        <w:rPr>
          <w:rFonts w:ascii="Arial" w:eastAsia="Arial" w:hAnsi="Arial" w:cs="Arial"/>
          <w:color w:val="424242"/>
        </w:rPr>
        <w:t>m</w:t>
      </w:r>
      <w:r>
        <w:rPr>
          <w:rFonts w:ascii="Arial" w:eastAsia="Arial" w:hAnsi="Arial" w:cs="Arial"/>
          <w:color w:val="424242"/>
        </w:rPr>
        <w:t>éritos</w:t>
      </w:r>
    </w:p>
    <w:p w14:paraId="180387BC" w14:textId="69AA45E9" w:rsidR="000538F1" w:rsidRDefault="00C85AF3">
      <w:pPr>
        <w:pBdr>
          <w:top w:val="nil"/>
          <w:left w:val="nil"/>
          <w:bottom w:val="nil"/>
          <w:right w:val="nil"/>
          <w:between w:val="nil"/>
        </w:pBdr>
        <w:shd w:val="clear" w:color="auto" w:fill="FCFCFC"/>
        <w:spacing w:after="280"/>
        <w:jc w:val="both"/>
        <w:rPr>
          <w:rFonts w:ascii="Arial" w:eastAsia="Arial" w:hAnsi="Arial" w:cs="Arial"/>
          <w:color w:val="424242"/>
        </w:rPr>
      </w:pPr>
      <w:r>
        <w:rPr>
          <w:rFonts w:ascii="Arial" w:eastAsia="Arial" w:hAnsi="Arial" w:cs="Arial"/>
          <w:color w:val="424242"/>
        </w:rPr>
        <w:t xml:space="preserve">Esta modalidad </w:t>
      </w:r>
      <w:r w:rsidR="00F415E9">
        <w:rPr>
          <w:rFonts w:ascii="Arial" w:eastAsia="Arial" w:hAnsi="Arial" w:cs="Arial"/>
          <w:color w:val="424242"/>
        </w:rPr>
        <w:t>está destinada a la contratación</w:t>
      </w:r>
      <w:r>
        <w:rPr>
          <w:rFonts w:ascii="Arial" w:eastAsia="Arial" w:hAnsi="Arial" w:cs="Arial"/>
          <w:color w:val="424242"/>
        </w:rPr>
        <w:t xml:space="preserve"> de</w:t>
      </w:r>
      <w:r w:rsidR="00F415E9">
        <w:rPr>
          <w:rFonts w:ascii="Arial" w:eastAsia="Arial" w:hAnsi="Arial" w:cs="Arial"/>
          <w:color w:val="424242"/>
        </w:rPr>
        <w:t xml:space="preserve"> interventores y</w:t>
      </w:r>
      <w:r>
        <w:rPr>
          <w:rFonts w:ascii="Arial" w:eastAsia="Arial" w:hAnsi="Arial" w:cs="Arial"/>
          <w:color w:val="424242"/>
        </w:rPr>
        <w:t xml:space="preserve"> consultores</w:t>
      </w:r>
      <w:r w:rsidR="008D6074">
        <w:rPr>
          <w:rFonts w:ascii="Arial" w:eastAsia="Arial" w:hAnsi="Arial" w:cs="Arial"/>
          <w:color w:val="424242"/>
        </w:rPr>
        <w:t xml:space="preserve"> </w:t>
      </w:r>
      <w:r>
        <w:rPr>
          <w:rFonts w:ascii="Arial" w:eastAsia="Arial" w:hAnsi="Arial" w:cs="Arial"/>
          <w:color w:val="424242"/>
        </w:rPr>
        <w:t xml:space="preserve">en </w:t>
      </w:r>
      <w:r w:rsidR="00C410B1">
        <w:rPr>
          <w:rFonts w:ascii="Arial" w:eastAsia="Arial" w:hAnsi="Arial" w:cs="Arial"/>
          <w:color w:val="424242"/>
        </w:rPr>
        <w:t xml:space="preserve">gerencia de obras o proyectos, </w:t>
      </w:r>
      <w:r>
        <w:rPr>
          <w:rFonts w:ascii="Arial" w:eastAsia="Arial" w:hAnsi="Arial" w:cs="Arial"/>
          <w:color w:val="424242"/>
        </w:rPr>
        <w:t>asesorías técnicas</w:t>
      </w:r>
      <w:r w:rsidR="00C410B1">
        <w:rPr>
          <w:rFonts w:ascii="Arial" w:eastAsia="Arial" w:hAnsi="Arial" w:cs="Arial"/>
          <w:color w:val="424242"/>
        </w:rPr>
        <w:t xml:space="preserve">, supervisión y seguimiento, </w:t>
      </w:r>
      <w:r w:rsidR="008D6074">
        <w:rPr>
          <w:rFonts w:ascii="Arial" w:eastAsia="Arial" w:hAnsi="Arial" w:cs="Arial"/>
          <w:color w:val="424242"/>
        </w:rPr>
        <w:t>además del personal encargado de</w:t>
      </w:r>
      <w:r>
        <w:rPr>
          <w:rFonts w:ascii="Arial" w:eastAsia="Arial" w:hAnsi="Arial" w:cs="Arial"/>
          <w:color w:val="424242"/>
        </w:rPr>
        <w:t xml:space="preserve"> los estudios para la </w:t>
      </w:r>
      <w:r w:rsidR="008D6074">
        <w:rPr>
          <w:rFonts w:ascii="Arial" w:eastAsia="Arial" w:hAnsi="Arial" w:cs="Arial"/>
          <w:color w:val="424242"/>
        </w:rPr>
        <w:t>puesta en marcha</w:t>
      </w:r>
      <w:r>
        <w:rPr>
          <w:rFonts w:ascii="Arial" w:eastAsia="Arial" w:hAnsi="Arial" w:cs="Arial"/>
          <w:color w:val="424242"/>
        </w:rPr>
        <w:t xml:space="preserve"> de proyectos de</w:t>
      </w:r>
      <w:r w:rsidR="008D6074">
        <w:rPr>
          <w:rFonts w:ascii="Arial" w:eastAsia="Arial" w:hAnsi="Arial" w:cs="Arial"/>
          <w:color w:val="424242"/>
        </w:rPr>
        <w:t xml:space="preserve"> diagnóstico, </w:t>
      </w:r>
      <w:r>
        <w:rPr>
          <w:rFonts w:ascii="Arial" w:eastAsia="Arial" w:hAnsi="Arial" w:cs="Arial"/>
          <w:color w:val="424242"/>
        </w:rPr>
        <w:t xml:space="preserve">inversión, </w:t>
      </w:r>
      <w:r w:rsidR="008D6074">
        <w:rPr>
          <w:rFonts w:ascii="Arial" w:eastAsia="Arial" w:hAnsi="Arial" w:cs="Arial"/>
          <w:color w:val="424242"/>
        </w:rPr>
        <w:t>factibilidad y</w:t>
      </w:r>
      <w:r>
        <w:rPr>
          <w:rFonts w:ascii="Arial" w:eastAsia="Arial" w:hAnsi="Arial" w:cs="Arial"/>
          <w:color w:val="424242"/>
        </w:rPr>
        <w:t xml:space="preserve"> prefactibilida</w:t>
      </w:r>
      <w:r w:rsidR="008D6074">
        <w:rPr>
          <w:rFonts w:ascii="Arial" w:eastAsia="Arial" w:hAnsi="Arial" w:cs="Arial"/>
          <w:color w:val="424242"/>
        </w:rPr>
        <w:t xml:space="preserve">d </w:t>
      </w:r>
      <w:r>
        <w:rPr>
          <w:rFonts w:ascii="Arial" w:eastAsia="Arial" w:hAnsi="Arial" w:cs="Arial"/>
          <w:color w:val="424242"/>
        </w:rPr>
        <w:t>para</w:t>
      </w:r>
      <w:r w:rsidR="008D6074">
        <w:rPr>
          <w:rFonts w:ascii="Arial" w:eastAsia="Arial" w:hAnsi="Arial" w:cs="Arial"/>
          <w:color w:val="424242"/>
        </w:rPr>
        <w:t xml:space="preserve"> </w:t>
      </w:r>
      <w:r>
        <w:rPr>
          <w:rFonts w:ascii="Arial" w:eastAsia="Arial" w:hAnsi="Arial" w:cs="Arial"/>
          <w:color w:val="424242"/>
        </w:rPr>
        <w:t>proyectos específicos</w:t>
      </w:r>
      <w:r w:rsidR="002C2C73">
        <w:rPr>
          <w:rFonts w:ascii="Arial" w:eastAsia="Arial" w:hAnsi="Arial" w:cs="Arial"/>
          <w:color w:val="424242"/>
        </w:rPr>
        <w:t>,</w:t>
      </w:r>
      <w:r w:rsidR="008D6074">
        <w:rPr>
          <w:rFonts w:ascii="Arial" w:eastAsia="Arial" w:hAnsi="Arial" w:cs="Arial"/>
          <w:color w:val="424242"/>
        </w:rPr>
        <w:t xml:space="preserve"> como la elaboración</w:t>
      </w:r>
      <w:r>
        <w:rPr>
          <w:rFonts w:ascii="Arial" w:eastAsia="Arial" w:hAnsi="Arial" w:cs="Arial"/>
          <w:color w:val="424242"/>
        </w:rPr>
        <w:t xml:space="preserve"> de </w:t>
      </w:r>
      <w:r w:rsidR="008D6074">
        <w:rPr>
          <w:rFonts w:ascii="Arial" w:eastAsia="Arial" w:hAnsi="Arial" w:cs="Arial"/>
          <w:color w:val="424242"/>
        </w:rPr>
        <w:t xml:space="preserve">planos, </w:t>
      </w:r>
      <w:r>
        <w:rPr>
          <w:rFonts w:ascii="Arial" w:eastAsia="Arial" w:hAnsi="Arial" w:cs="Arial"/>
          <w:color w:val="424242"/>
        </w:rPr>
        <w:t>diseños</w:t>
      </w:r>
      <w:r w:rsidR="008D6074">
        <w:rPr>
          <w:rFonts w:ascii="Arial" w:eastAsia="Arial" w:hAnsi="Arial" w:cs="Arial"/>
          <w:color w:val="424242"/>
        </w:rPr>
        <w:t xml:space="preserve">, </w:t>
      </w:r>
      <w:r>
        <w:rPr>
          <w:rFonts w:ascii="Arial" w:eastAsia="Arial" w:hAnsi="Arial" w:cs="Arial"/>
          <w:color w:val="424242"/>
        </w:rPr>
        <w:t>anteproyectos y proyectos</w:t>
      </w:r>
      <w:r w:rsidR="00AF43C3">
        <w:rPr>
          <w:rFonts w:ascii="Arial" w:eastAsia="Arial" w:hAnsi="Arial" w:cs="Arial"/>
          <w:color w:val="424242"/>
        </w:rPr>
        <w:t xml:space="preserve"> (Función Pública, 2018)</w:t>
      </w:r>
      <w:r>
        <w:rPr>
          <w:rFonts w:ascii="Arial" w:eastAsia="Arial" w:hAnsi="Arial" w:cs="Arial"/>
          <w:color w:val="424242"/>
        </w:rPr>
        <w:t>.</w:t>
      </w:r>
    </w:p>
    <w:p w14:paraId="5A7AF111" w14:textId="100D4017" w:rsidR="000538F1" w:rsidRDefault="00C85AF3">
      <w:pPr>
        <w:pStyle w:val="Ttulo5"/>
        <w:numPr>
          <w:ilvl w:val="0"/>
          <w:numId w:val="3"/>
        </w:numPr>
        <w:shd w:val="clear" w:color="auto" w:fill="FCFCFC"/>
        <w:spacing w:before="375" w:after="375"/>
        <w:ind w:left="0" w:firstLine="0"/>
        <w:jc w:val="both"/>
        <w:rPr>
          <w:rFonts w:ascii="Arial" w:eastAsia="Arial" w:hAnsi="Arial" w:cs="Arial"/>
          <w:color w:val="424242"/>
        </w:rPr>
      </w:pPr>
      <w:r>
        <w:rPr>
          <w:rFonts w:ascii="Arial" w:eastAsia="Arial" w:hAnsi="Arial" w:cs="Arial"/>
          <w:color w:val="424242"/>
        </w:rPr>
        <w:t xml:space="preserve">Selección </w:t>
      </w:r>
      <w:r w:rsidR="00CB7FE1">
        <w:rPr>
          <w:rFonts w:ascii="Arial" w:eastAsia="Arial" w:hAnsi="Arial" w:cs="Arial"/>
          <w:color w:val="424242"/>
        </w:rPr>
        <w:t>a</w:t>
      </w:r>
      <w:r>
        <w:rPr>
          <w:rFonts w:ascii="Arial" w:eastAsia="Arial" w:hAnsi="Arial" w:cs="Arial"/>
          <w:color w:val="424242"/>
        </w:rPr>
        <w:t>breviada</w:t>
      </w:r>
    </w:p>
    <w:p w14:paraId="397EF4BD" w14:textId="4FE443AD" w:rsidR="000538F1" w:rsidRDefault="00CB7FE1">
      <w:pPr>
        <w:pBdr>
          <w:top w:val="nil"/>
          <w:left w:val="nil"/>
          <w:bottom w:val="nil"/>
          <w:right w:val="nil"/>
          <w:between w:val="nil"/>
        </w:pBdr>
        <w:shd w:val="clear" w:color="auto" w:fill="FCFCFC"/>
        <w:spacing w:after="280"/>
        <w:jc w:val="both"/>
        <w:rPr>
          <w:rFonts w:ascii="Arial" w:eastAsia="Arial" w:hAnsi="Arial" w:cs="Arial"/>
          <w:color w:val="424242"/>
        </w:rPr>
      </w:pPr>
      <w:r>
        <w:rPr>
          <w:rFonts w:ascii="Arial" w:eastAsia="Arial" w:hAnsi="Arial" w:cs="Arial"/>
          <w:color w:val="424242"/>
        </w:rPr>
        <w:t>Esta modalidad de selección es objetiva, pues ha sido diseñada para la contratación de servicios y bienes de menor cuantía. En este tipo de contratación, podemos encontrar:</w:t>
      </w:r>
    </w:p>
    <w:p w14:paraId="567FCF26" w14:textId="77777777" w:rsidR="000538F1" w:rsidRDefault="00C85AF3">
      <w:pPr>
        <w:numPr>
          <w:ilvl w:val="1"/>
          <w:numId w:val="3"/>
        </w:numPr>
        <w:pBdr>
          <w:top w:val="nil"/>
          <w:left w:val="nil"/>
          <w:bottom w:val="nil"/>
          <w:right w:val="nil"/>
          <w:between w:val="nil"/>
        </w:pBdr>
        <w:shd w:val="clear" w:color="auto" w:fill="FCFCFC"/>
        <w:spacing w:after="150"/>
        <w:jc w:val="both"/>
        <w:rPr>
          <w:rFonts w:ascii="Arial" w:eastAsia="Arial" w:hAnsi="Arial" w:cs="Arial"/>
          <w:color w:val="424242"/>
        </w:rPr>
      </w:pPr>
      <w:r>
        <w:rPr>
          <w:rFonts w:ascii="Arial" w:eastAsia="Arial" w:hAnsi="Arial" w:cs="Arial"/>
          <w:color w:val="424242"/>
        </w:rPr>
        <w:t>Selección Abreviada de Menor cuantía.</w:t>
      </w:r>
    </w:p>
    <w:p w14:paraId="003AD281" w14:textId="77777777" w:rsidR="000538F1" w:rsidRDefault="00C85AF3">
      <w:pPr>
        <w:numPr>
          <w:ilvl w:val="1"/>
          <w:numId w:val="3"/>
        </w:numPr>
        <w:pBdr>
          <w:top w:val="nil"/>
          <w:left w:val="nil"/>
          <w:bottom w:val="nil"/>
          <w:right w:val="nil"/>
          <w:between w:val="nil"/>
        </w:pBdr>
        <w:shd w:val="clear" w:color="auto" w:fill="FCFCFC"/>
        <w:spacing w:after="150"/>
        <w:jc w:val="both"/>
        <w:rPr>
          <w:rFonts w:ascii="Arial" w:eastAsia="Arial" w:hAnsi="Arial" w:cs="Arial"/>
          <w:color w:val="424242"/>
        </w:rPr>
      </w:pPr>
      <w:r>
        <w:rPr>
          <w:rFonts w:ascii="Arial" w:eastAsia="Arial" w:hAnsi="Arial" w:cs="Arial"/>
          <w:color w:val="424242"/>
        </w:rPr>
        <w:t>Selección Abreviada de Subasta Inversa.</w:t>
      </w:r>
    </w:p>
    <w:p w14:paraId="6BAA4F57" w14:textId="77777777" w:rsidR="000538F1" w:rsidRDefault="00C85AF3">
      <w:pPr>
        <w:numPr>
          <w:ilvl w:val="1"/>
          <w:numId w:val="3"/>
        </w:numPr>
        <w:pBdr>
          <w:top w:val="nil"/>
          <w:left w:val="nil"/>
          <w:bottom w:val="nil"/>
          <w:right w:val="nil"/>
          <w:between w:val="nil"/>
        </w:pBdr>
        <w:shd w:val="clear" w:color="auto" w:fill="FCFCFC"/>
        <w:jc w:val="both"/>
        <w:rPr>
          <w:rFonts w:ascii="Arial" w:eastAsia="Arial" w:hAnsi="Arial" w:cs="Arial"/>
          <w:color w:val="424242"/>
        </w:rPr>
      </w:pPr>
      <w:r>
        <w:rPr>
          <w:rFonts w:ascii="Arial" w:eastAsia="Arial" w:hAnsi="Arial" w:cs="Arial"/>
          <w:color w:val="424242"/>
        </w:rPr>
        <w:t>Acuerdos Marco de Precio.</w:t>
      </w:r>
    </w:p>
    <w:p w14:paraId="7FB2AA73" w14:textId="77777777" w:rsidR="000538F1" w:rsidRDefault="000538F1">
      <w:pPr>
        <w:pBdr>
          <w:top w:val="nil"/>
          <w:left w:val="nil"/>
          <w:bottom w:val="nil"/>
          <w:right w:val="nil"/>
          <w:between w:val="nil"/>
        </w:pBdr>
        <w:shd w:val="clear" w:color="auto" w:fill="FCFCFC"/>
        <w:spacing w:after="280"/>
        <w:jc w:val="both"/>
        <w:rPr>
          <w:rFonts w:ascii="Arial" w:eastAsia="Arial" w:hAnsi="Arial" w:cs="Arial"/>
          <w:color w:val="424242"/>
        </w:rPr>
      </w:pPr>
    </w:p>
    <w:p w14:paraId="0441F0F2" w14:textId="575D6336" w:rsidR="000538F1" w:rsidRDefault="00E50620">
      <w:pPr>
        <w:pBdr>
          <w:top w:val="nil"/>
          <w:left w:val="nil"/>
          <w:bottom w:val="nil"/>
          <w:right w:val="nil"/>
          <w:between w:val="nil"/>
        </w:pBdr>
        <w:shd w:val="clear" w:color="auto" w:fill="FCFCFC"/>
        <w:spacing w:after="280"/>
        <w:jc w:val="both"/>
        <w:rPr>
          <w:rFonts w:ascii="Arial" w:eastAsia="Arial" w:hAnsi="Arial" w:cs="Arial"/>
          <w:color w:val="424242"/>
        </w:rPr>
      </w:pPr>
      <w:r>
        <w:rPr>
          <w:rFonts w:ascii="Arial" w:eastAsia="Arial" w:hAnsi="Arial" w:cs="Arial"/>
          <w:color w:val="424242"/>
        </w:rPr>
        <w:lastRenderedPageBreak/>
        <w:t>Según el portal de Función Pública (2018) “la contratación de menor cuantía se ejecuta en la adquisición de bienes o servicios cuyo valor esté por encima del diez por ciento (10%) de la mínima cuantía y hasta el máximo límite de la menor cuantía, es decir al monto a partir del cual empieza la contratación de mayor cuantía para licitación pública”</w:t>
      </w:r>
      <w:r w:rsidR="008936E7">
        <w:rPr>
          <w:rFonts w:ascii="Arial" w:eastAsia="Arial" w:hAnsi="Arial" w:cs="Arial"/>
          <w:color w:val="424242"/>
        </w:rPr>
        <w:t xml:space="preserve"> (párr</w:t>
      </w:r>
      <w:r w:rsidR="005F4304">
        <w:rPr>
          <w:rFonts w:ascii="Arial" w:eastAsia="Arial" w:hAnsi="Arial" w:cs="Arial"/>
          <w:color w:val="424242"/>
        </w:rPr>
        <w:t>.</w:t>
      </w:r>
      <w:r w:rsidR="008936E7">
        <w:rPr>
          <w:rFonts w:ascii="Arial" w:eastAsia="Arial" w:hAnsi="Arial" w:cs="Arial"/>
          <w:color w:val="424242"/>
        </w:rPr>
        <w:t xml:space="preserve"> 1)</w:t>
      </w:r>
      <w:r>
        <w:rPr>
          <w:rFonts w:ascii="Arial" w:eastAsia="Arial" w:hAnsi="Arial" w:cs="Arial"/>
          <w:color w:val="424242"/>
        </w:rPr>
        <w:t>.</w:t>
      </w:r>
    </w:p>
    <w:p w14:paraId="70C52E6E" w14:textId="685C9C5F" w:rsidR="000538F1" w:rsidRDefault="00FA6145">
      <w:pPr>
        <w:pBdr>
          <w:top w:val="nil"/>
          <w:left w:val="nil"/>
          <w:bottom w:val="nil"/>
          <w:right w:val="nil"/>
          <w:between w:val="nil"/>
        </w:pBdr>
        <w:shd w:val="clear" w:color="auto" w:fill="FCFCFC"/>
        <w:spacing w:after="280"/>
        <w:jc w:val="both"/>
        <w:rPr>
          <w:rFonts w:ascii="Arial" w:eastAsia="Arial" w:hAnsi="Arial" w:cs="Arial"/>
          <w:color w:val="424242"/>
        </w:rPr>
      </w:pPr>
      <w:r>
        <w:rPr>
          <w:rFonts w:ascii="Arial" w:eastAsia="Arial" w:hAnsi="Arial" w:cs="Arial"/>
          <w:color w:val="424242"/>
        </w:rPr>
        <w:t>Así mismo, “bajo la modalidad de Subasta Inversa se adquieren los bienes y servicios de características técnicas uniformes o de común utilización, es decir</w:t>
      </w:r>
      <w:r w:rsidR="00E248E0">
        <w:rPr>
          <w:rFonts w:ascii="Arial" w:eastAsia="Arial" w:hAnsi="Arial" w:cs="Arial"/>
          <w:color w:val="424242"/>
        </w:rPr>
        <w:t>,</w:t>
      </w:r>
      <w:r>
        <w:rPr>
          <w:rFonts w:ascii="Arial" w:eastAsia="Arial" w:hAnsi="Arial" w:cs="Arial"/>
          <w:color w:val="424242"/>
        </w:rPr>
        <w:t xml:space="preserve"> que contienen las mismas especificaciones técnicas, por lo tanto, todos los proponentes ofrecen el producto con las mismas características y la puja se realiza disminuyendo el precio inicial en un porcentaje previamente establecido en el pliego de condiciones. Esta modalidad de selección es independiente de la cuantía del contrato a suscribir” (Función Pública, 2018, párr. 2).</w:t>
      </w:r>
    </w:p>
    <w:p w14:paraId="7F28AC52" w14:textId="17F58208" w:rsidR="000006DA" w:rsidRDefault="000006DA">
      <w:pPr>
        <w:pBdr>
          <w:top w:val="nil"/>
          <w:left w:val="nil"/>
          <w:bottom w:val="nil"/>
          <w:right w:val="nil"/>
          <w:between w:val="nil"/>
        </w:pBdr>
        <w:shd w:val="clear" w:color="auto" w:fill="FCFCFC"/>
        <w:spacing w:after="280"/>
        <w:jc w:val="both"/>
        <w:rPr>
          <w:rFonts w:ascii="Arial" w:eastAsia="Arial" w:hAnsi="Arial" w:cs="Arial"/>
          <w:color w:val="424242"/>
        </w:rPr>
      </w:pPr>
      <w:r>
        <w:rPr>
          <w:rFonts w:ascii="Arial" w:eastAsia="Arial" w:hAnsi="Arial" w:cs="Arial"/>
          <w:color w:val="424242"/>
        </w:rPr>
        <w:t>La contratación</w:t>
      </w:r>
      <w:r w:rsidRPr="000006DA">
        <w:rPr>
          <w:rFonts w:ascii="Arial" w:eastAsia="Arial" w:hAnsi="Arial" w:cs="Arial"/>
          <w:color w:val="424242"/>
        </w:rPr>
        <w:t xml:space="preserve"> </w:t>
      </w:r>
      <w:r>
        <w:rPr>
          <w:rFonts w:ascii="Arial" w:eastAsia="Arial" w:hAnsi="Arial" w:cs="Arial"/>
          <w:color w:val="424242"/>
        </w:rPr>
        <w:t>M</w:t>
      </w:r>
      <w:r w:rsidRPr="000006DA">
        <w:rPr>
          <w:rFonts w:ascii="Arial" w:eastAsia="Arial" w:hAnsi="Arial" w:cs="Arial"/>
          <w:color w:val="424242"/>
        </w:rPr>
        <w:t xml:space="preserve">arco de </w:t>
      </w:r>
      <w:r>
        <w:rPr>
          <w:rFonts w:ascii="Arial" w:eastAsia="Arial" w:hAnsi="Arial" w:cs="Arial"/>
          <w:color w:val="424242"/>
        </w:rPr>
        <w:t>P</w:t>
      </w:r>
      <w:r w:rsidRPr="000006DA">
        <w:rPr>
          <w:rFonts w:ascii="Arial" w:eastAsia="Arial" w:hAnsi="Arial" w:cs="Arial"/>
          <w:color w:val="424242"/>
        </w:rPr>
        <w:t xml:space="preserve">recio es un convenio suscrito por el organismo gubernamental que administra y coordina el sistema de compras públicas </w:t>
      </w:r>
      <w:r>
        <w:rPr>
          <w:rFonts w:ascii="Arial" w:eastAsia="Arial" w:hAnsi="Arial" w:cs="Arial"/>
          <w:color w:val="424242"/>
        </w:rPr>
        <w:t xml:space="preserve">del país, </w:t>
      </w:r>
      <w:r w:rsidRPr="000006DA">
        <w:rPr>
          <w:rFonts w:ascii="Arial" w:eastAsia="Arial" w:hAnsi="Arial" w:cs="Arial"/>
          <w:color w:val="424242"/>
        </w:rPr>
        <w:t xml:space="preserve">con diversos oferentes que participaron en el concurso público organizado </w:t>
      </w:r>
      <w:r>
        <w:rPr>
          <w:rFonts w:ascii="Arial" w:eastAsia="Arial" w:hAnsi="Arial" w:cs="Arial"/>
          <w:color w:val="424242"/>
        </w:rPr>
        <w:t>a nivel gubernamental</w:t>
      </w:r>
      <w:r w:rsidRPr="000006DA">
        <w:rPr>
          <w:rFonts w:ascii="Arial" w:eastAsia="Arial" w:hAnsi="Arial" w:cs="Arial"/>
          <w:color w:val="424242"/>
        </w:rPr>
        <w:t xml:space="preserve"> para la adquisición de bienes y servicios; por lo tanto, las entidades gubernamentales deben aprovechar el contrato antes mencionado, lo que flexibiliza el contrato, ya que </w:t>
      </w:r>
      <w:r w:rsidR="00240011">
        <w:rPr>
          <w:rFonts w:ascii="Arial" w:eastAsia="Arial" w:hAnsi="Arial" w:cs="Arial"/>
          <w:color w:val="424242"/>
        </w:rPr>
        <w:t>actualmente</w:t>
      </w:r>
      <w:r w:rsidRPr="000006DA">
        <w:rPr>
          <w:rFonts w:ascii="Arial" w:eastAsia="Arial" w:hAnsi="Arial" w:cs="Arial"/>
          <w:color w:val="424242"/>
        </w:rPr>
        <w:t xml:space="preserve"> no se debe continuar con el proceso de licitación, sino que la solicitud de contrato se publica en la </w:t>
      </w:r>
      <w:r w:rsidR="00240011">
        <w:rPr>
          <w:rFonts w:ascii="Arial" w:eastAsia="Arial" w:hAnsi="Arial" w:cs="Arial"/>
          <w:color w:val="424242"/>
        </w:rPr>
        <w:t>T</w:t>
      </w:r>
      <w:r w:rsidRPr="000006DA">
        <w:rPr>
          <w:rFonts w:ascii="Arial" w:eastAsia="Arial" w:hAnsi="Arial" w:cs="Arial"/>
          <w:color w:val="424242"/>
        </w:rPr>
        <w:t xml:space="preserve">ienda </w:t>
      </w:r>
      <w:r w:rsidR="00240011">
        <w:rPr>
          <w:rFonts w:ascii="Arial" w:eastAsia="Arial" w:hAnsi="Arial" w:cs="Arial"/>
          <w:color w:val="424242"/>
        </w:rPr>
        <w:t>V</w:t>
      </w:r>
      <w:r w:rsidRPr="000006DA">
        <w:rPr>
          <w:rFonts w:ascii="Arial" w:eastAsia="Arial" w:hAnsi="Arial" w:cs="Arial"/>
          <w:color w:val="424242"/>
        </w:rPr>
        <w:t xml:space="preserve">irtual del </w:t>
      </w:r>
      <w:r w:rsidR="00240011">
        <w:rPr>
          <w:rFonts w:ascii="Arial" w:eastAsia="Arial" w:hAnsi="Arial" w:cs="Arial"/>
          <w:color w:val="424242"/>
        </w:rPr>
        <w:t>Estado Colombiano</w:t>
      </w:r>
      <w:r w:rsidRPr="000006DA">
        <w:rPr>
          <w:rFonts w:ascii="Arial" w:eastAsia="Arial" w:hAnsi="Arial" w:cs="Arial"/>
          <w:color w:val="424242"/>
        </w:rPr>
        <w:t>, donde todos los adjudicatarios del proceso responde</w:t>
      </w:r>
      <w:r w:rsidR="00240011">
        <w:rPr>
          <w:rFonts w:ascii="Arial" w:eastAsia="Arial" w:hAnsi="Arial" w:cs="Arial"/>
          <w:color w:val="424242"/>
        </w:rPr>
        <w:t>n</w:t>
      </w:r>
      <w:r w:rsidRPr="000006DA">
        <w:rPr>
          <w:rFonts w:ascii="Arial" w:eastAsia="Arial" w:hAnsi="Arial" w:cs="Arial"/>
          <w:color w:val="424242"/>
        </w:rPr>
        <w:t xml:space="preserve"> con su</w:t>
      </w:r>
      <w:r w:rsidR="00240011">
        <w:rPr>
          <w:rFonts w:ascii="Arial" w:eastAsia="Arial" w:hAnsi="Arial" w:cs="Arial"/>
          <w:color w:val="424242"/>
        </w:rPr>
        <w:t>s respectivas</w:t>
      </w:r>
      <w:r w:rsidRPr="000006DA">
        <w:rPr>
          <w:rFonts w:ascii="Arial" w:eastAsia="Arial" w:hAnsi="Arial" w:cs="Arial"/>
          <w:color w:val="424242"/>
        </w:rPr>
        <w:t xml:space="preserve"> propuesta</w:t>
      </w:r>
      <w:r w:rsidR="00240011">
        <w:rPr>
          <w:rFonts w:ascii="Arial" w:eastAsia="Arial" w:hAnsi="Arial" w:cs="Arial"/>
          <w:color w:val="424242"/>
        </w:rPr>
        <w:t xml:space="preserve">s, y en respuesta, </w:t>
      </w:r>
      <w:r w:rsidRPr="000006DA">
        <w:rPr>
          <w:rFonts w:ascii="Arial" w:eastAsia="Arial" w:hAnsi="Arial" w:cs="Arial"/>
          <w:color w:val="424242"/>
        </w:rPr>
        <w:t>la agencia gubernamental elige el precio más bajo</w:t>
      </w:r>
      <w:r>
        <w:rPr>
          <w:rFonts w:ascii="Arial" w:eastAsia="Arial" w:hAnsi="Arial" w:cs="Arial"/>
          <w:color w:val="424242"/>
        </w:rPr>
        <w:t xml:space="preserve"> </w:t>
      </w:r>
      <w:r w:rsidRPr="000006DA">
        <w:rPr>
          <w:rFonts w:ascii="Arial" w:eastAsia="Arial" w:hAnsi="Arial" w:cs="Arial"/>
          <w:color w:val="424242"/>
        </w:rPr>
        <w:t>(Función Pública, 2018, párr. 3).</w:t>
      </w:r>
    </w:p>
    <w:p w14:paraId="442C301D" w14:textId="77777777" w:rsidR="000538F1" w:rsidRDefault="00C85AF3">
      <w:pPr>
        <w:pStyle w:val="Ttulo5"/>
        <w:numPr>
          <w:ilvl w:val="0"/>
          <w:numId w:val="4"/>
        </w:numPr>
        <w:shd w:val="clear" w:color="auto" w:fill="FCFCFC"/>
        <w:spacing w:before="375" w:after="375"/>
        <w:ind w:left="0" w:firstLine="0"/>
        <w:jc w:val="both"/>
        <w:rPr>
          <w:rFonts w:ascii="Arial" w:eastAsia="Arial" w:hAnsi="Arial" w:cs="Arial"/>
          <w:color w:val="424242"/>
        </w:rPr>
      </w:pPr>
      <w:r>
        <w:rPr>
          <w:rFonts w:ascii="Arial" w:eastAsia="Arial" w:hAnsi="Arial" w:cs="Arial"/>
          <w:color w:val="424242"/>
        </w:rPr>
        <w:t>Mínima Cuantía</w:t>
      </w:r>
    </w:p>
    <w:p w14:paraId="6E3E939C" w14:textId="77777777" w:rsidR="000538F1" w:rsidRDefault="00C85AF3">
      <w:pPr>
        <w:pBdr>
          <w:top w:val="nil"/>
          <w:left w:val="nil"/>
          <w:bottom w:val="nil"/>
          <w:right w:val="nil"/>
          <w:between w:val="nil"/>
        </w:pBdr>
        <w:shd w:val="clear" w:color="auto" w:fill="FCFCFC"/>
        <w:spacing w:after="280"/>
        <w:jc w:val="both"/>
        <w:rPr>
          <w:rFonts w:ascii="Arial" w:eastAsia="Arial" w:hAnsi="Arial" w:cs="Arial"/>
          <w:color w:val="424242"/>
        </w:rPr>
      </w:pPr>
      <w:r>
        <w:rPr>
          <w:rFonts w:ascii="Arial" w:eastAsia="Arial" w:hAnsi="Arial" w:cs="Arial"/>
          <w:color w:val="424242"/>
        </w:rPr>
        <w:t>Bajo esta modalidad, se encuentran:</w:t>
      </w:r>
    </w:p>
    <w:p w14:paraId="71B1C805" w14:textId="77777777" w:rsidR="000538F1" w:rsidRDefault="00C85AF3">
      <w:pPr>
        <w:numPr>
          <w:ilvl w:val="1"/>
          <w:numId w:val="4"/>
        </w:numPr>
        <w:pBdr>
          <w:top w:val="nil"/>
          <w:left w:val="nil"/>
          <w:bottom w:val="nil"/>
          <w:right w:val="nil"/>
          <w:between w:val="nil"/>
        </w:pBdr>
        <w:shd w:val="clear" w:color="auto" w:fill="FCFCFC"/>
        <w:spacing w:after="150"/>
        <w:jc w:val="both"/>
        <w:rPr>
          <w:rFonts w:ascii="Arial" w:eastAsia="Arial" w:hAnsi="Arial" w:cs="Arial"/>
          <w:color w:val="424242"/>
        </w:rPr>
      </w:pPr>
      <w:r>
        <w:rPr>
          <w:rFonts w:ascii="Arial" w:eastAsia="Arial" w:hAnsi="Arial" w:cs="Arial"/>
          <w:color w:val="424242"/>
        </w:rPr>
        <w:t>Proceso de Mínima Cuantía.</w:t>
      </w:r>
    </w:p>
    <w:p w14:paraId="4C536DDD" w14:textId="77777777" w:rsidR="000538F1" w:rsidRDefault="00C85AF3">
      <w:pPr>
        <w:numPr>
          <w:ilvl w:val="1"/>
          <w:numId w:val="4"/>
        </w:numPr>
        <w:pBdr>
          <w:top w:val="nil"/>
          <w:left w:val="nil"/>
          <w:bottom w:val="nil"/>
          <w:right w:val="nil"/>
          <w:between w:val="nil"/>
        </w:pBdr>
        <w:shd w:val="clear" w:color="auto" w:fill="FCFCFC"/>
        <w:jc w:val="both"/>
        <w:rPr>
          <w:rFonts w:ascii="Arial" w:eastAsia="Arial" w:hAnsi="Arial" w:cs="Arial"/>
          <w:color w:val="424242"/>
        </w:rPr>
      </w:pPr>
      <w:r>
        <w:rPr>
          <w:rFonts w:ascii="Arial" w:eastAsia="Arial" w:hAnsi="Arial" w:cs="Arial"/>
          <w:color w:val="424242"/>
        </w:rPr>
        <w:t>Compras en Grandes Superficies, a través de la Tienda Virtual del Estado Colombiano.</w:t>
      </w:r>
    </w:p>
    <w:p w14:paraId="37AA8F7A" w14:textId="16E1C8FD" w:rsidR="000538F1" w:rsidRDefault="0016691A">
      <w:pPr>
        <w:pBdr>
          <w:top w:val="nil"/>
          <w:left w:val="nil"/>
          <w:bottom w:val="nil"/>
          <w:right w:val="nil"/>
          <w:between w:val="nil"/>
        </w:pBdr>
        <w:shd w:val="clear" w:color="auto" w:fill="FCFCFC"/>
        <w:jc w:val="both"/>
        <w:rPr>
          <w:rFonts w:ascii="Arial" w:eastAsia="Arial" w:hAnsi="Arial" w:cs="Arial"/>
          <w:color w:val="424242"/>
        </w:rPr>
      </w:pPr>
      <w:r>
        <w:rPr>
          <w:rFonts w:ascii="Arial" w:eastAsia="Arial" w:hAnsi="Arial" w:cs="Arial"/>
          <w:color w:val="424242"/>
        </w:rPr>
        <w:t>Según Función Pública (2018) “la modalidad de selección de mínima cuantía es un procedimiento con términos cortos para escoger al contratista, siempre que el valor de la adquisición de los bienes, obras y/o servicios, no exceda el diez por ciento (10%) de la menor cuantía de la Entidad Estatal. Es de anotar que este procedimiento lo reguló la Ley 1474 de 2011, porque antes de la expedición de esta norma, se solicitaban tres (3) propuestas y se escogía la de menor valor, ahora también se escoge la oferta de menor valor, pero mediante un proceso de selección público y transparente, en el cual pueden participar todos los interesados, quienes deben cumplir con los requisitos de verificación establecidos en la invitación pública</w:t>
      </w:r>
      <w:r w:rsidR="00BC1251">
        <w:rPr>
          <w:rFonts w:ascii="Arial" w:eastAsia="Arial" w:hAnsi="Arial" w:cs="Arial"/>
          <w:color w:val="424242"/>
        </w:rPr>
        <w:t>”</w:t>
      </w:r>
      <w:r w:rsidR="005C1B46">
        <w:rPr>
          <w:rFonts w:ascii="Arial" w:eastAsia="Arial" w:hAnsi="Arial" w:cs="Arial"/>
          <w:color w:val="424242"/>
        </w:rPr>
        <w:t xml:space="preserve"> </w:t>
      </w:r>
      <w:r w:rsidR="005C1B46" w:rsidRPr="005C1B46">
        <w:rPr>
          <w:rFonts w:ascii="Arial" w:eastAsia="Arial" w:hAnsi="Arial" w:cs="Arial"/>
          <w:color w:val="424242"/>
        </w:rPr>
        <w:t>(</w:t>
      </w:r>
      <w:r w:rsidR="00BC1251">
        <w:rPr>
          <w:rFonts w:ascii="Arial" w:eastAsia="Arial" w:hAnsi="Arial" w:cs="Arial"/>
          <w:color w:val="424242"/>
        </w:rPr>
        <w:t>párr. 2).</w:t>
      </w:r>
    </w:p>
    <w:p w14:paraId="254F0D25" w14:textId="49D9CF2B" w:rsidR="000538F1" w:rsidRDefault="00BC1E69">
      <w:pPr>
        <w:pBdr>
          <w:top w:val="nil"/>
          <w:left w:val="nil"/>
          <w:bottom w:val="nil"/>
          <w:right w:val="nil"/>
          <w:between w:val="nil"/>
        </w:pBdr>
        <w:shd w:val="clear" w:color="auto" w:fill="FCFCFC"/>
        <w:spacing w:after="280"/>
        <w:jc w:val="both"/>
        <w:rPr>
          <w:rFonts w:ascii="Arial" w:eastAsia="Arial" w:hAnsi="Arial" w:cs="Arial"/>
          <w:color w:val="424242"/>
        </w:rPr>
      </w:pPr>
      <w:r>
        <w:rPr>
          <w:rFonts w:ascii="Arial" w:eastAsia="Arial" w:hAnsi="Arial" w:cs="Arial"/>
          <w:color w:val="424242"/>
        </w:rPr>
        <w:lastRenderedPageBreak/>
        <w:t>“Así mismo, bajo la modalidad de selección de mínima cuantía, se pueden realizar las compras en las Grandes Superficies, que se encuentran en la Tienda Virtual del Estado Colombiano, siempre que su valor esté dentro de esta modalidad de selección, es decir que no exceda el diez por ciento (10%) de la menor cuantía de la Entidad Estatal”</w:t>
      </w:r>
      <w:r w:rsidR="006B474E">
        <w:rPr>
          <w:rFonts w:ascii="Arial" w:eastAsia="Arial" w:hAnsi="Arial" w:cs="Arial"/>
          <w:color w:val="424242"/>
        </w:rPr>
        <w:t xml:space="preserve"> (</w:t>
      </w:r>
      <w:r>
        <w:rPr>
          <w:rFonts w:ascii="Arial" w:eastAsia="Arial" w:hAnsi="Arial" w:cs="Arial"/>
          <w:color w:val="424242"/>
        </w:rPr>
        <w:t>Función Pública, 2018</w:t>
      </w:r>
      <w:r w:rsidR="00EE6EFE">
        <w:rPr>
          <w:rFonts w:ascii="Arial" w:eastAsia="Arial" w:hAnsi="Arial" w:cs="Arial"/>
          <w:color w:val="424242"/>
        </w:rPr>
        <w:t>, párr. 3</w:t>
      </w:r>
      <w:r w:rsidR="006B474E">
        <w:rPr>
          <w:rFonts w:ascii="Arial" w:eastAsia="Arial" w:hAnsi="Arial" w:cs="Arial"/>
          <w:color w:val="424242"/>
        </w:rPr>
        <w:t>)</w:t>
      </w:r>
      <w:r>
        <w:rPr>
          <w:rFonts w:ascii="Arial" w:eastAsia="Arial" w:hAnsi="Arial" w:cs="Arial"/>
          <w:color w:val="424242"/>
        </w:rPr>
        <w:t>.</w:t>
      </w:r>
    </w:p>
    <w:p w14:paraId="64B80567" w14:textId="77777777" w:rsidR="000538F1" w:rsidRDefault="00C85AF3">
      <w:pPr>
        <w:pStyle w:val="Ttulo5"/>
        <w:numPr>
          <w:ilvl w:val="0"/>
          <w:numId w:val="5"/>
        </w:numPr>
        <w:shd w:val="clear" w:color="auto" w:fill="FCFCFC"/>
        <w:spacing w:before="375" w:after="375"/>
        <w:ind w:left="0" w:firstLine="0"/>
        <w:jc w:val="both"/>
        <w:rPr>
          <w:rFonts w:ascii="Arial" w:eastAsia="Arial" w:hAnsi="Arial" w:cs="Arial"/>
          <w:color w:val="424242"/>
        </w:rPr>
      </w:pPr>
      <w:r>
        <w:rPr>
          <w:rFonts w:ascii="Arial" w:eastAsia="Arial" w:hAnsi="Arial" w:cs="Arial"/>
          <w:color w:val="424242"/>
        </w:rPr>
        <w:t>Contratación Directa</w:t>
      </w:r>
    </w:p>
    <w:p w14:paraId="54F4C83C" w14:textId="7A38B48A" w:rsidR="00D12711" w:rsidRPr="00F223DF" w:rsidRDefault="00A7651E" w:rsidP="00F223DF">
      <w:pPr>
        <w:pBdr>
          <w:top w:val="nil"/>
          <w:left w:val="nil"/>
          <w:bottom w:val="nil"/>
          <w:right w:val="nil"/>
          <w:between w:val="nil"/>
        </w:pBdr>
        <w:jc w:val="both"/>
        <w:rPr>
          <w:rFonts w:ascii="Arial" w:eastAsia="Arial" w:hAnsi="Arial" w:cs="Arial"/>
          <w:color w:val="424242"/>
        </w:rPr>
      </w:pPr>
      <w:r>
        <w:rPr>
          <w:rFonts w:ascii="Arial" w:eastAsia="Arial" w:hAnsi="Arial" w:cs="Arial"/>
          <w:color w:val="424242"/>
        </w:rPr>
        <w:t>Según Función Pública, la contratación directa “es el procedimiento mediante el cual la entidad estatal contrata directamente con una persona natural o jurídica, la prestación de servicios profesionales, la prestación de servicios de apoyo a la gestión o la adquisición de un bien o servicio, que tenga un proveedor exclusivo o por ser titular de los derechos del mismo. Esta modalidad contractual también procederá en caso de urgencia manifiesta, contratación de empréstitos, contratos y convenios interadministrativos. Esta modalidad de selección es independiente de la cuantía del contrato a suscribir</w:t>
      </w:r>
      <w:r w:rsidR="004439EE">
        <w:rPr>
          <w:rFonts w:ascii="Arial" w:eastAsia="Arial" w:hAnsi="Arial" w:cs="Arial"/>
          <w:color w:val="424242"/>
        </w:rPr>
        <w:t>”</w:t>
      </w:r>
      <w:r w:rsidR="004F6A4F">
        <w:rPr>
          <w:rFonts w:ascii="Arial" w:eastAsia="Arial" w:hAnsi="Arial" w:cs="Arial"/>
          <w:color w:val="424242"/>
        </w:rPr>
        <w:t xml:space="preserve"> (Función Pública, 2018</w:t>
      </w:r>
      <w:r w:rsidR="004439EE">
        <w:rPr>
          <w:rFonts w:ascii="Arial" w:eastAsia="Arial" w:hAnsi="Arial" w:cs="Arial"/>
          <w:color w:val="424242"/>
        </w:rPr>
        <w:t>, párr. 1</w:t>
      </w:r>
      <w:r w:rsidR="004F6A4F">
        <w:rPr>
          <w:rFonts w:ascii="Arial" w:eastAsia="Arial" w:hAnsi="Arial" w:cs="Arial"/>
          <w:color w:val="424242"/>
        </w:rPr>
        <w:t>)</w:t>
      </w:r>
      <w:r>
        <w:rPr>
          <w:rFonts w:ascii="Arial" w:eastAsia="Arial" w:hAnsi="Arial" w:cs="Arial"/>
          <w:color w:val="424242"/>
        </w:rPr>
        <w:t>.</w:t>
      </w:r>
    </w:p>
    <w:sectPr w:rsidR="00D12711" w:rsidRPr="00F223DF">
      <w:headerReference w:type="default" r:id="rId9"/>
      <w:footerReference w:type="default" r:id="rId10"/>
      <w:pgSz w:w="16834" w:h="11909" w:orient="landscape"/>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0145C" w14:textId="77777777" w:rsidR="00F13665" w:rsidRDefault="00F13665">
      <w:r>
        <w:separator/>
      </w:r>
    </w:p>
  </w:endnote>
  <w:endnote w:type="continuationSeparator" w:id="0">
    <w:p w14:paraId="26DE2C93" w14:textId="77777777" w:rsidR="00F13665" w:rsidRDefault="00F13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39EA" w14:textId="77777777" w:rsidR="000538F1" w:rsidRDefault="00C85AF3">
    <w:pPr>
      <w:pBdr>
        <w:top w:val="nil"/>
        <w:left w:val="nil"/>
        <w:bottom w:val="nil"/>
        <w:right w:val="nil"/>
        <w:between w:val="nil"/>
      </w:pBdr>
      <w:tabs>
        <w:tab w:val="center" w:pos="4419"/>
        <w:tab w:val="right" w:pos="8838"/>
      </w:tabs>
      <w:rPr>
        <w:color w:val="000000"/>
      </w:rPr>
    </w:pPr>
    <w:r>
      <w:rPr>
        <w:noProof/>
        <w:lang w:val="en-US" w:eastAsia="en-US"/>
      </w:rPr>
      <w:drawing>
        <wp:anchor distT="0" distB="0" distL="0" distR="0" simplePos="0" relativeHeight="251661312" behindDoc="1" locked="0" layoutInCell="1" hidden="0" allowOverlap="1" wp14:anchorId="682EC073" wp14:editId="6499E81F">
          <wp:simplePos x="0" y="0"/>
          <wp:positionH relativeFrom="column">
            <wp:posOffset>-685799</wp:posOffset>
          </wp:positionH>
          <wp:positionV relativeFrom="paragraph">
            <wp:posOffset>-268223</wp:posOffset>
          </wp:positionV>
          <wp:extent cx="10671819" cy="887683"/>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671819" cy="88768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39DE" w14:textId="77777777" w:rsidR="00F13665" w:rsidRDefault="00F13665">
      <w:r>
        <w:separator/>
      </w:r>
    </w:p>
  </w:footnote>
  <w:footnote w:type="continuationSeparator" w:id="0">
    <w:p w14:paraId="112F3D57" w14:textId="77777777" w:rsidR="00F13665" w:rsidRDefault="00F13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3E00" w14:textId="77777777" w:rsidR="000538F1" w:rsidRDefault="00C85AF3">
    <w:pPr>
      <w:pBdr>
        <w:top w:val="nil"/>
        <w:left w:val="nil"/>
        <w:bottom w:val="nil"/>
        <w:right w:val="nil"/>
        <w:between w:val="nil"/>
      </w:pBdr>
      <w:tabs>
        <w:tab w:val="center" w:pos="4419"/>
        <w:tab w:val="right" w:pos="8838"/>
      </w:tabs>
      <w:rPr>
        <w:color w:val="000000"/>
      </w:rPr>
    </w:pPr>
    <w:r>
      <w:rPr>
        <w:noProof/>
        <w:lang w:val="en-US" w:eastAsia="en-US"/>
      </w:rPr>
      <w:drawing>
        <wp:anchor distT="0" distB="0" distL="114300" distR="114300" simplePos="0" relativeHeight="251658240" behindDoc="0" locked="0" layoutInCell="1" hidden="0" allowOverlap="1" wp14:anchorId="42F238E1" wp14:editId="617CE215">
          <wp:simplePos x="0" y="0"/>
          <wp:positionH relativeFrom="column">
            <wp:posOffset>-667130</wp:posOffset>
          </wp:positionH>
          <wp:positionV relativeFrom="paragraph">
            <wp:posOffset>-460374</wp:posOffset>
          </wp:positionV>
          <wp:extent cx="10679430" cy="1009015"/>
          <wp:effectExtent l="0" t="0" r="0" b="0"/>
          <wp:wrapSquare wrapText="bothSides" distT="0" distB="0" distL="114300" distR="114300"/>
          <wp:docPr id="1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679430" cy="1009015"/>
                  </a:xfrm>
                  <a:prstGeom prst="rect">
                    <a:avLst/>
                  </a:prstGeom>
                  <a:ln/>
                </pic:spPr>
              </pic:pic>
            </a:graphicData>
          </a:graphic>
        </wp:anchor>
      </w:drawing>
    </w:r>
    <w:r>
      <w:rPr>
        <w:noProof/>
        <w:lang w:val="en-US" w:eastAsia="en-US"/>
      </w:rPr>
      <mc:AlternateContent>
        <mc:Choice Requires="wps">
          <w:drawing>
            <wp:anchor distT="0" distB="0" distL="114300" distR="114300" simplePos="0" relativeHeight="251659264" behindDoc="0" locked="0" layoutInCell="1" hidden="0" allowOverlap="1" wp14:anchorId="0EFA3160" wp14:editId="2F44D903">
              <wp:simplePos x="0" y="0"/>
              <wp:positionH relativeFrom="column">
                <wp:posOffset>9245600</wp:posOffset>
              </wp:positionH>
              <wp:positionV relativeFrom="paragraph">
                <wp:posOffset>-850899</wp:posOffset>
              </wp:positionV>
              <wp:extent cx="833120" cy="1174115"/>
              <wp:effectExtent l="0" t="0" r="0" b="0"/>
              <wp:wrapNone/>
              <wp:docPr id="120" name="Rectángulo 120"/>
              <wp:cNvGraphicFramePr/>
              <a:graphic xmlns:a="http://schemas.openxmlformats.org/drawingml/2006/main">
                <a:graphicData uri="http://schemas.microsoft.com/office/word/2010/wordprocessingShape">
                  <wps:wsp>
                    <wps:cNvSpPr/>
                    <wps:spPr>
                      <a:xfrm>
                        <a:off x="4934203" y="3197705"/>
                        <a:ext cx="823595" cy="116459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7F6AE020" w14:textId="77777777" w:rsidR="000538F1" w:rsidRDefault="000538F1">
                          <w:pPr>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0EFA3160" id="Rectángulo 120" o:spid="_x0000_s1026" style="position:absolute;margin-left:728pt;margin-top:-67pt;width:65.6pt;height:9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" strokecolor="white">
              <v:stroke startarrowwidth="narrow" startarrowlength="short" endarrowwidth="narrow" endarrowlength="short"/>
              <v:textbox inset="2.53958mm,2.53958mm,2.53958mm,2.53958mm">
                <w:txbxContent>
                  <w:p w14:paraId="7F6AE020" w14:textId="77777777" w:rsidR="000538F1" w:rsidRDefault="000538F1">
                    <w:pPr>
                      <w:ind w:hanging="2"/>
                      <w:textDirection w:val="btLr"/>
                    </w:pPr>
                  </w:p>
                </w:txbxContent>
              </v:textbox>
            </v:rect>
          </w:pict>
        </mc:Fallback>
      </mc:AlternateContent>
    </w:r>
    <w:r>
      <w:rPr>
        <w:noProof/>
        <w:lang w:val="en-US" w:eastAsia="en-US"/>
      </w:rPr>
      <w:drawing>
        <wp:anchor distT="0" distB="0" distL="114300" distR="114300" simplePos="0" relativeHeight="251660288" behindDoc="0" locked="0" layoutInCell="1" hidden="0" allowOverlap="1" wp14:anchorId="7F461736" wp14:editId="3EF56BA0">
          <wp:simplePos x="0" y="0"/>
          <wp:positionH relativeFrom="column">
            <wp:posOffset>9089136</wp:posOffset>
          </wp:positionH>
          <wp:positionV relativeFrom="paragraph">
            <wp:posOffset>-457325</wp:posOffset>
          </wp:positionV>
          <wp:extent cx="633095" cy="1108710"/>
          <wp:effectExtent l="0" t="0" r="0" b="0"/>
          <wp:wrapSquare wrapText="bothSides" distT="0" distB="0" distL="114300" distR="114300"/>
          <wp:docPr id="1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33095" cy="1108710"/>
                  </a:xfrm>
                  <a:prstGeom prst="rect">
                    <a:avLst/>
                  </a:prstGeom>
                  <a:ln/>
                </pic:spPr>
              </pic:pic>
            </a:graphicData>
          </a:graphic>
        </wp:anchor>
      </w:drawing>
    </w:r>
  </w:p>
  <w:p w14:paraId="7BD83C18" w14:textId="77777777" w:rsidR="000538F1" w:rsidRDefault="000538F1">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90880"/>
    <w:multiLevelType w:val="multilevel"/>
    <w:tmpl w:val="8016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77B09FE"/>
    <w:multiLevelType w:val="multilevel"/>
    <w:tmpl w:val="1EA4B9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D550A04"/>
    <w:multiLevelType w:val="multilevel"/>
    <w:tmpl w:val="BDC814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FF35ED2"/>
    <w:multiLevelType w:val="multilevel"/>
    <w:tmpl w:val="E8966B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3F42367"/>
    <w:multiLevelType w:val="multilevel"/>
    <w:tmpl w:val="9C4A59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47446584">
    <w:abstractNumId w:val="2"/>
  </w:num>
  <w:num w:numId="2" w16cid:durableId="1754355367">
    <w:abstractNumId w:val="3"/>
  </w:num>
  <w:num w:numId="3" w16cid:durableId="1278413338">
    <w:abstractNumId w:val="1"/>
  </w:num>
  <w:num w:numId="4" w16cid:durableId="750657982">
    <w:abstractNumId w:val="4"/>
  </w:num>
  <w:num w:numId="5" w16cid:durableId="179555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8F1"/>
    <w:rsid w:val="000006DA"/>
    <w:rsid w:val="000538F1"/>
    <w:rsid w:val="00075980"/>
    <w:rsid w:val="0010037A"/>
    <w:rsid w:val="0016691A"/>
    <w:rsid w:val="00167998"/>
    <w:rsid w:val="0018549B"/>
    <w:rsid w:val="001F2C3F"/>
    <w:rsid w:val="00240011"/>
    <w:rsid w:val="002507E6"/>
    <w:rsid w:val="002C2C73"/>
    <w:rsid w:val="00355F6C"/>
    <w:rsid w:val="00400996"/>
    <w:rsid w:val="004439EE"/>
    <w:rsid w:val="004F6A4F"/>
    <w:rsid w:val="005421D0"/>
    <w:rsid w:val="005C1B46"/>
    <w:rsid w:val="005F4304"/>
    <w:rsid w:val="006B474E"/>
    <w:rsid w:val="007A160E"/>
    <w:rsid w:val="007B4C28"/>
    <w:rsid w:val="007E4EE1"/>
    <w:rsid w:val="00874808"/>
    <w:rsid w:val="008936E7"/>
    <w:rsid w:val="008D6074"/>
    <w:rsid w:val="00A0450C"/>
    <w:rsid w:val="00A24D37"/>
    <w:rsid w:val="00A43537"/>
    <w:rsid w:val="00A7651E"/>
    <w:rsid w:val="00AF43C3"/>
    <w:rsid w:val="00B52E73"/>
    <w:rsid w:val="00BB229C"/>
    <w:rsid w:val="00BC1251"/>
    <w:rsid w:val="00BC1E69"/>
    <w:rsid w:val="00C410B1"/>
    <w:rsid w:val="00C85AF3"/>
    <w:rsid w:val="00CB7FE1"/>
    <w:rsid w:val="00D12711"/>
    <w:rsid w:val="00D64B27"/>
    <w:rsid w:val="00E248E0"/>
    <w:rsid w:val="00E50620"/>
    <w:rsid w:val="00EB0A75"/>
    <w:rsid w:val="00EE6EFE"/>
    <w:rsid w:val="00F13665"/>
    <w:rsid w:val="00F223DF"/>
    <w:rsid w:val="00F415E9"/>
    <w:rsid w:val="00FA61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4E2C"/>
  <w15:docId w15:val="{4677A8AC-3E7B-41C0-BD43-82A0E9E9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E4"/>
    <w:rPr>
      <w:lang w:eastAsia="es-MX"/>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table" w:customStyle="1" w:styleId="NormalTable0">
    <w:name w:val="Normal Table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50">
    <w:name w:val="50"/>
    <w:basedOn w:val="TableNormal1"/>
    <w:tblPr>
      <w:tblStyleRowBandSize w:val="1"/>
      <w:tblStyleColBandSize w:val="1"/>
      <w:tblCellMar>
        <w:top w:w="100" w:type="dxa"/>
        <w:left w:w="100" w:type="dxa"/>
        <w:bottom w:w="100" w:type="dxa"/>
        <w:right w:w="100" w:type="dxa"/>
      </w:tblCellMar>
    </w:tblPr>
  </w:style>
  <w:style w:type="table" w:customStyle="1" w:styleId="49">
    <w:name w:val="49"/>
    <w:basedOn w:val="TableNormal1"/>
    <w:tblPr>
      <w:tblStyleRowBandSize w:val="1"/>
      <w:tblStyleColBandSize w:val="1"/>
      <w:tblCellMar>
        <w:top w:w="100" w:type="dxa"/>
        <w:left w:w="100" w:type="dxa"/>
        <w:bottom w:w="100" w:type="dxa"/>
        <w:right w:w="100" w:type="dxa"/>
      </w:tblCellMar>
    </w:tblPr>
  </w:style>
  <w:style w:type="table" w:customStyle="1" w:styleId="48">
    <w:name w:val="48"/>
    <w:basedOn w:val="TableNormal1"/>
    <w:tblPr>
      <w:tblStyleRowBandSize w:val="1"/>
      <w:tblStyleColBandSize w:val="1"/>
      <w:tblCellMar>
        <w:top w:w="100" w:type="dxa"/>
        <w:left w:w="100" w:type="dxa"/>
        <w:bottom w:w="100" w:type="dxa"/>
        <w:right w:w="100" w:type="dxa"/>
      </w:tblCellMar>
    </w:tblPr>
  </w:style>
  <w:style w:type="table" w:customStyle="1" w:styleId="47">
    <w:name w:val="47"/>
    <w:basedOn w:val="TableNormal1"/>
    <w:tblPr>
      <w:tblStyleRowBandSize w:val="1"/>
      <w:tblStyleColBandSize w:val="1"/>
      <w:tblCellMar>
        <w:top w:w="100" w:type="dxa"/>
        <w:left w:w="100" w:type="dxa"/>
        <w:bottom w:w="100" w:type="dxa"/>
        <w:right w:w="100" w:type="dxa"/>
      </w:tblCellMar>
    </w:tblPr>
  </w:style>
  <w:style w:type="table" w:customStyle="1" w:styleId="46">
    <w:name w:val="46"/>
    <w:basedOn w:val="TableNormal1"/>
    <w:tblPr>
      <w:tblStyleRowBandSize w:val="1"/>
      <w:tblStyleColBandSize w:val="1"/>
      <w:tblCellMar>
        <w:top w:w="100" w:type="dxa"/>
        <w:left w:w="100" w:type="dxa"/>
        <w:bottom w:w="100" w:type="dxa"/>
        <w:right w:w="100" w:type="dxa"/>
      </w:tblCellMar>
    </w:tblPr>
  </w:style>
  <w:style w:type="table" w:customStyle="1" w:styleId="45">
    <w:name w:val="45"/>
    <w:basedOn w:val="TableNormal1"/>
    <w:tblPr>
      <w:tblStyleRowBandSize w:val="1"/>
      <w:tblStyleColBandSize w:val="1"/>
      <w:tblCellMar>
        <w:top w:w="100" w:type="dxa"/>
        <w:left w:w="100" w:type="dxa"/>
        <w:bottom w:w="100" w:type="dxa"/>
        <w:right w:w="100" w:type="dxa"/>
      </w:tblCellMar>
    </w:tblPr>
  </w:style>
  <w:style w:type="table" w:customStyle="1" w:styleId="44">
    <w:name w:val="44"/>
    <w:basedOn w:val="TableNormal1"/>
    <w:tblPr>
      <w:tblStyleRowBandSize w:val="1"/>
      <w:tblStyleColBandSize w:val="1"/>
      <w:tblCellMar>
        <w:top w:w="100" w:type="dxa"/>
        <w:left w:w="100" w:type="dxa"/>
        <w:bottom w:w="100" w:type="dxa"/>
        <w:right w:w="100" w:type="dxa"/>
      </w:tblCellMar>
    </w:tblPr>
  </w:style>
  <w:style w:type="table" w:customStyle="1" w:styleId="43">
    <w:name w:val="43"/>
    <w:basedOn w:val="TableNormal1"/>
    <w:tblPr>
      <w:tblStyleRowBandSize w:val="1"/>
      <w:tblStyleColBandSize w:val="1"/>
      <w:tblCellMar>
        <w:top w:w="100" w:type="dxa"/>
        <w:left w:w="100" w:type="dxa"/>
        <w:bottom w:w="100" w:type="dxa"/>
        <w:right w:w="100" w:type="dxa"/>
      </w:tblCellMar>
    </w:tblPr>
  </w:style>
  <w:style w:type="table" w:customStyle="1" w:styleId="42">
    <w:name w:val="42"/>
    <w:basedOn w:val="TableNormal1"/>
    <w:tblPr>
      <w:tblStyleRowBandSize w:val="1"/>
      <w:tblStyleColBandSize w:val="1"/>
      <w:tblCellMar>
        <w:top w:w="100" w:type="dxa"/>
        <w:left w:w="100" w:type="dxa"/>
        <w:bottom w:w="100" w:type="dxa"/>
        <w:right w:w="100" w:type="dxa"/>
      </w:tblCellMar>
    </w:tblPr>
  </w:style>
  <w:style w:type="table" w:customStyle="1" w:styleId="41">
    <w:name w:val="41"/>
    <w:basedOn w:val="TableNormal1"/>
    <w:tblPr>
      <w:tblStyleRowBandSize w:val="1"/>
      <w:tblStyleColBandSize w:val="1"/>
      <w:tblCellMar>
        <w:top w:w="100" w:type="dxa"/>
        <w:left w:w="100" w:type="dxa"/>
        <w:bottom w:w="100" w:type="dxa"/>
        <w:right w:w="100" w:type="dxa"/>
      </w:tblCellMar>
    </w:tblPr>
  </w:style>
  <w:style w:type="table" w:customStyle="1" w:styleId="40">
    <w:name w:val="40"/>
    <w:basedOn w:val="TableNormal1"/>
    <w:tblPr>
      <w:tblStyleRowBandSize w:val="1"/>
      <w:tblStyleColBandSize w:val="1"/>
      <w:tblCellMar>
        <w:top w:w="100" w:type="dxa"/>
        <w:left w:w="100" w:type="dxa"/>
        <w:bottom w:w="100" w:type="dxa"/>
        <w:right w:w="100" w:type="dxa"/>
      </w:tblCellMar>
    </w:tblPr>
  </w:style>
  <w:style w:type="table" w:customStyle="1" w:styleId="39">
    <w:name w:val="39"/>
    <w:basedOn w:val="TableNormal1"/>
    <w:tblPr>
      <w:tblStyleRowBandSize w:val="1"/>
      <w:tblStyleColBandSize w:val="1"/>
      <w:tblCellMar>
        <w:top w:w="100" w:type="dxa"/>
        <w:left w:w="100" w:type="dxa"/>
        <w:bottom w:w="100" w:type="dxa"/>
        <w:right w:w="100" w:type="dxa"/>
      </w:tblCellMar>
    </w:tblPr>
  </w:style>
  <w:style w:type="table" w:customStyle="1" w:styleId="38">
    <w:name w:val="38"/>
    <w:basedOn w:val="TableNormal1"/>
    <w:tblPr>
      <w:tblStyleRowBandSize w:val="1"/>
      <w:tblStyleColBandSize w:val="1"/>
      <w:tblCellMar>
        <w:top w:w="100" w:type="dxa"/>
        <w:left w:w="100" w:type="dxa"/>
        <w:bottom w:w="100" w:type="dxa"/>
        <w:right w:w="100" w:type="dxa"/>
      </w:tblCellMar>
    </w:tblPr>
  </w:style>
  <w:style w:type="table" w:customStyle="1" w:styleId="37">
    <w:name w:val="37"/>
    <w:basedOn w:val="TableNormal1"/>
    <w:tblPr>
      <w:tblStyleRowBandSize w:val="1"/>
      <w:tblStyleColBandSize w:val="1"/>
      <w:tblCellMar>
        <w:top w:w="100" w:type="dxa"/>
        <w:left w:w="100" w:type="dxa"/>
        <w:bottom w:w="100" w:type="dxa"/>
        <w:right w:w="100" w:type="dxa"/>
      </w:tblCellMar>
    </w:tblPr>
  </w:style>
  <w:style w:type="table" w:customStyle="1" w:styleId="36">
    <w:name w:val="36"/>
    <w:basedOn w:val="TableNormal1"/>
    <w:tblPr>
      <w:tblStyleRowBandSize w:val="1"/>
      <w:tblStyleColBandSize w:val="1"/>
      <w:tblCellMar>
        <w:top w:w="100" w:type="dxa"/>
        <w:left w:w="100" w:type="dxa"/>
        <w:bottom w:w="100" w:type="dxa"/>
        <w:right w:w="100" w:type="dxa"/>
      </w:tblCellMar>
    </w:tblPr>
  </w:style>
  <w:style w:type="table" w:customStyle="1" w:styleId="35">
    <w:name w:val="35"/>
    <w:basedOn w:val="TableNormal1"/>
    <w:tblPr>
      <w:tblStyleRowBandSize w:val="1"/>
      <w:tblStyleColBandSize w:val="1"/>
      <w:tblCellMar>
        <w:top w:w="100" w:type="dxa"/>
        <w:left w:w="100" w:type="dxa"/>
        <w:bottom w:w="100" w:type="dxa"/>
        <w:right w:w="100" w:type="dxa"/>
      </w:tblCellMar>
    </w:tblPr>
  </w:style>
  <w:style w:type="table" w:customStyle="1" w:styleId="34">
    <w:name w:val="34"/>
    <w:basedOn w:val="TableNormal1"/>
    <w:tblPr>
      <w:tblStyleRowBandSize w:val="1"/>
      <w:tblStyleColBandSize w:val="1"/>
      <w:tblCellMar>
        <w:top w:w="100" w:type="dxa"/>
        <w:left w:w="100" w:type="dxa"/>
        <w:bottom w:w="100" w:type="dxa"/>
        <w:right w:w="100" w:type="dxa"/>
      </w:tblCellMar>
    </w:tblPr>
  </w:style>
  <w:style w:type="table" w:customStyle="1" w:styleId="33">
    <w:name w:val="33"/>
    <w:basedOn w:val="TableNormal1"/>
    <w:tblPr>
      <w:tblStyleRowBandSize w:val="1"/>
      <w:tblStyleColBandSize w:val="1"/>
      <w:tblCellMar>
        <w:top w:w="100" w:type="dxa"/>
        <w:left w:w="100" w:type="dxa"/>
        <w:bottom w:w="100" w:type="dxa"/>
        <w:right w:w="100" w:type="dxa"/>
      </w:tblCellMar>
    </w:tblPr>
  </w:style>
  <w:style w:type="table" w:customStyle="1" w:styleId="32">
    <w:name w:val="32"/>
    <w:basedOn w:val="TableNormal1"/>
    <w:tblPr>
      <w:tblStyleRowBandSize w:val="1"/>
      <w:tblStyleColBandSize w:val="1"/>
      <w:tblCellMar>
        <w:top w:w="100" w:type="dxa"/>
        <w:left w:w="100" w:type="dxa"/>
        <w:bottom w:w="100" w:type="dxa"/>
        <w:right w:w="100" w:type="dxa"/>
      </w:tblCellMar>
    </w:tblPr>
  </w:style>
  <w:style w:type="table" w:customStyle="1" w:styleId="31">
    <w:name w:val="31"/>
    <w:basedOn w:val="TableNormal1"/>
    <w:tblPr>
      <w:tblStyleRowBandSize w:val="1"/>
      <w:tblStyleColBandSize w:val="1"/>
      <w:tblCellMar>
        <w:top w:w="100" w:type="dxa"/>
        <w:left w:w="100" w:type="dxa"/>
        <w:bottom w:w="100" w:type="dxa"/>
        <w:right w:w="100" w:type="dxa"/>
      </w:tblCellMar>
    </w:tblPr>
  </w:style>
  <w:style w:type="table" w:customStyle="1" w:styleId="30">
    <w:name w:val="30"/>
    <w:basedOn w:val="TableNormal1"/>
    <w:tblPr>
      <w:tblStyleRowBandSize w:val="1"/>
      <w:tblStyleColBandSize w:val="1"/>
      <w:tblCellMar>
        <w:top w:w="100" w:type="dxa"/>
        <w:left w:w="100" w:type="dxa"/>
        <w:bottom w:w="100" w:type="dxa"/>
        <w:right w:w="100" w:type="dxa"/>
      </w:tblCellMar>
    </w:tblPr>
  </w:style>
  <w:style w:type="table" w:customStyle="1" w:styleId="29">
    <w:name w:val="29"/>
    <w:basedOn w:val="TableNormal1"/>
    <w:tblPr>
      <w:tblStyleRowBandSize w:val="1"/>
      <w:tblStyleColBandSize w:val="1"/>
      <w:tblCellMar>
        <w:top w:w="100" w:type="dxa"/>
        <w:left w:w="100" w:type="dxa"/>
        <w:bottom w:w="100" w:type="dxa"/>
        <w:right w:w="100" w:type="dxa"/>
      </w:tblCellMar>
    </w:tblPr>
  </w:style>
  <w:style w:type="table" w:customStyle="1" w:styleId="28">
    <w:name w:val="28"/>
    <w:basedOn w:val="TableNormal1"/>
    <w:tblPr>
      <w:tblStyleRowBandSize w:val="1"/>
      <w:tblStyleColBandSize w:val="1"/>
      <w:tblCellMar>
        <w:top w:w="100" w:type="dxa"/>
        <w:left w:w="100" w:type="dxa"/>
        <w:bottom w:w="100" w:type="dxa"/>
        <w:right w:w="100" w:type="dxa"/>
      </w:tblCellMar>
    </w:tblPr>
  </w:style>
  <w:style w:type="table" w:customStyle="1" w:styleId="27">
    <w:name w:val="27"/>
    <w:basedOn w:val="TableNormal1"/>
    <w:tblPr>
      <w:tblStyleRowBandSize w:val="1"/>
      <w:tblStyleColBandSize w:val="1"/>
      <w:tblCellMar>
        <w:top w:w="100" w:type="dxa"/>
        <w:left w:w="100" w:type="dxa"/>
        <w:bottom w:w="100" w:type="dxa"/>
        <w:right w:w="100"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00" w:type="dxa"/>
        <w:left w:w="100" w:type="dxa"/>
        <w:bottom w:w="100" w:type="dxa"/>
        <w:right w:w="100"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7040A6"/>
    <w:pPr>
      <w:tabs>
        <w:tab w:val="center" w:pos="4419"/>
        <w:tab w:val="right" w:pos="8838"/>
      </w:tabs>
    </w:pPr>
  </w:style>
  <w:style w:type="character" w:customStyle="1" w:styleId="EncabezadoCar">
    <w:name w:val="Encabezado Car"/>
    <w:basedOn w:val="Fuentedeprrafopredeter"/>
    <w:link w:val="Encabezado"/>
    <w:uiPriority w:val="99"/>
    <w:rsid w:val="007040A6"/>
  </w:style>
  <w:style w:type="paragraph" w:styleId="Piedepgina">
    <w:name w:val="footer"/>
    <w:basedOn w:val="Normal"/>
    <w:link w:val="PiedepginaCar"/>
    <w:uiPriority w:val="99"/>
    <w:unhideWhenUsed/>
    <w:rsid w:val="007040A6"/>
    <w:pPr>
      <w:tabs>
        <w:tab w:val="center" w:pos="4419"/>
        <w:tab w:val="right" w:pos="8838"/>
      </w:tabs>
    </w:pPr>
  </w:style>
  <w:style w:type="character" w:customStyle="1" w:styleId="PiedepginaCar">
    <w:name w:val="Pie de página Car"/>
    <w:basedOn w:val="Fuentedeprrafopredeter"/>
    <w:link w:val="Piedepgina"/>
    <w:uiPriority w:val="99"/>
    <w:rsid w:val="007040A6"/>
  </w:style>
  <w:style w:type="paragraph" w:styleId="Textodeglobo">
    <w:name w:val="Balloon Text"/>
    <w:basedOn w:val="Normal"/>
    <w:link w:val="TextodegloboCar"/>
    <w:uiPriority w:val="99"/>
    <w:semiHidden/>
    <w:unhideWhenUsed/>
    <w:rsid w:val="00842A2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2A2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842A2A"/>
    <w:rPr>
      <w:b/>
      <w:bCs/>
    </w:rPr>
  </w:style>
  <w:style w:type="character" w:customStyle="1" w:styleId="AsuntodelcomentarioCar">
    <w:name w:val="Asunto del comentario Car"/>
    <w:basedOn w:val="TextocomentarioCar"/>
    <w:link w:val="Asuntodelcomentario"/>
    <w:uiPriority w:val="99"/>
    <w:semiHidden/>
    <w:rsid w:val="00842A2A"/>
    <w:rPr>
      <w:b/>
      <w:bCs/>
      <w:sz w:val="20"/>
      <w:szCs w:val="20"/>
    </w:rPr>
  </w:style>
  <w:style w:type="paragraph" w:styleId="Prrafodelista">
    <w:name w:val="List Paragraph"/>
    <w:basedOn w:val="Normal"/>
    <w:uiPriority w:val="34"/>
    <w:qFormat/>
    <w:rsid w:val="00C11ED6"/>
    <w:pPr>
      <w:ind w:left="720"/>
      <w:contextualSpacing/>
    </w:pPr>
  </w:style>
  <w:style w:type="table" w:styleId="Tablaconcuadrcula">
    <w:name w:val="Table Grid"/>
    <w:basedOn w:val="Tablanormal"/>
    <w:uiPriority w:val="39"/>
    <w:rsid w:val="00052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rsid w:val="00C45544"/>
    <w:rPr>
      <w:sz w:val="20"/>
      <w:szCs w:val="20"/>
      <w:lang w:eastAsia="es-MX"/>
    </w:rPr>
    <w:tblPr>
      <w:tblCellMar>
        <w:top w:w="0" w:type="dxa"/>
        <w:left w:w="0" w:type="dxa"/>
        <w:bottom w:w="0" w:type="dxa"/>
        <w:right w:w="0" w:type="dxa"/>
      </w:tblCellMar>
    </w:tblPr>
  </w:style>
  <w:style w:type="paragraph" w:styleId="NormalWeb">
    <w:name w:val="Normal (Web)"/>
    <w:basedOn w:val="Normal"/>
    <w:uiPriority w:val="99"/>
    <w:unhideWhenUsed/>
    <w:rsid w:val="00C45544"/>
    <w:pPr>
      <w:spacing w:before="100" w:beforeAutospacing="1" w:after="100" w:afterAutospacing="1"/>
    </w:pPr>
    <w:rPr>
      <w:rFonts w:ascii="Arial" w:eastAsia="Arial" w:hAnsi="Arial" w:cs="Arial"/>
      <w:sz w:val="20"/>
      <w:szCs w:val="20"/>
    </w:rPr>
  </w:style>
  <w:style w:type="character" w:customStyle="1" w:styleId="Listavistosa-nfasis1Car">
    <w:name w:val="Lista vistosa - Énfasis 1 Car"/>
    <w:link w:val="Listavistosa-nfasis1"/>
    <w:uiPriority w:val="34"/>
    <w:semiHidden/>
    <w:rsid w:val="00C45544"/>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C45544"/>
    <w:rPr>
      <w:b/>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ipervnculo">
    <w:name w:val="Hyperlink"/>
    <w:basedOn w:val="Fuentedeprrafopredeter"/>
    <w:uiPriority w:val="99"/>
    <w:unhideWhenUsed/>
    <w:rsid w:val="00C45544"/>
    <w:rPr>
      <w:color w:val="0000FF" w:themeColor="hyperlink"/>
      <w:u w:val="single"/>
    </w:rPr>
  </w:style>
  <w:style w:type="character" w:customStyle="1" w:styleId="Mencinsinresolver1">
    <w:name w:val="Mención sin resolver1"/>
    <w:basedOn w:val="Fuentedeprrafopredeter"/>
    <w:uiPriority w:val="99"/>
    <w:semiHidden/>
    <w:unhideWhenUsed/>
    <w:rsid w:val="00C45544"/>
    <w:rPr>
      <w:color w:val="605E5C"/>
      <w:shd w:val="clear" w:color="auto" w:fill="E1DFDD"/>
    </w:rPr>
  </w:style>
  <w:style w:type="character" w:styleId="Hipervnculovisitado">
    <w:name w:val="FollowedHyperlink"/>
    <w:basedOn w:val="Fuentedeprrafopredeter"/>
    <w:uiPriority w:val="99"/>
    <w:semiHidden/>
    <w:unhideWhenUsed/>
    <w:rsid w:val="00C45544"/>
    <w:rPr>
      <w:color w:val="800080" w:themeColor="followedHyperlink"/>
      <w:u w:val="single"/>
    </w:rPr>
  </w:style>
  <w:style w:type="character" w:customStyle="1" w:styleId="Mencinsinresolver2">
    <w:name w:val="Mención sin resolver2"/>
    <w:basedOn w:val="Fuentedeprrafopredeter"/>
    <w:uiPriority w:val="99"/>
    <w:semiHidden/>
    <w:unhideWhenUsed/>
    <w:rsid w:val="00C45544"/>
    <w:rPr>
      <w:color w:val="605E5C"/>
      <w:shd w:val="clear" w:color="auto" w:fill="E1DFDD"/>
    </w:rPr>
  </w:style>
  <w:style w:type="paragraph" w:styleId="Revisin">
    <w:name w:val="Revision"/>
    <w:hidden/>
    <w:uiPriority w:val="99"/>
    <w:semiHidden/>
    <w:rsid w:val="00C45544"/>
    <w:rPr>
      <w:sz w:val="20"/>
      <w:szCs w:val="20"/>
      <w:lang w:eastAsia="es-MX"/>
    </w:rPr>
  </w:style>
  <w:style w:type="character" w:customStyle="1" w:styleId="hgkelc">
    <w:name w:val="hgkelc"/>
    <w:basedOn w:val="Fuentedeprrafopredeter"/>
    <w:rsid w:val="00C45544"/>
  </w:style>
  <w:style w:type="character" w:styleId="Textoennegrita">
    <w:name w:val="Strong"/>
    <w:basedOn w:val="Fuentedeprrafopredeter"/>
    <w:uiPriority w:val="22"/>
    <w:qFormat/>
    <w:rsid w:val="00C45544"/>
    <w:rPr>
      <w:b/>
      <w:bCs/>
    </w:rPr>
  </w:style>
  <w:style w:type="paragraph" w:customStyle="1" w:styleId="trt0xe">
    <w:name w:val="trt0xe"/>
    <w:basedOn w:val="Normal"/>
    <w:rsid w:val="00C45544"/>
    <w:pPr>
      <w:spacing w:before="100" w:beforeAutospacing="1" w:after="100" w:afterAutospacing="1"/>
    </w:pPr>
    <w:rPr>
      <w:rFonts w:ascii="Arial" w:eastAsia="Arial" w:hAnsi="Arial" w:cs="Arial"/>
      <w:sz w:val="20"/>
      <w:szCs w:val="20"/>
    </w:rPr>
  </w:style>
  <w:style w:type="character" w:styleId="Textodelmarcadordeposicin">
    <w:name w:val="Placeholder Text"/>
    <w:basedOn w:val="Fuentedeprrafopredeter"/>
    <w:uiPriority w:val="99"/>
    <w:semiHidden/>
    <w:rsid w:val="00C45544"/>
    <w:rPr>
      <w:color w:val="808080"/>
    </w:rPr>
  </w:style>
  <w:style w:type="character" w:customStyle="1" w:styleId="kx21rb">
    <w:name w:val="kx21rb"/>
    <w:basedOn w:val="Fuentedeprrafopredeter"/>
    <w:rsid w:val="00C45544"/>
  </w:style>
  <w:style w:type="paragraph" w:styleId="Bibliografa">
    <w:name w:val="Bibliography"/>
    <w:basedOn w:val="Normal"/>
    <w:next w:val="Normal"/>
    <w:uiPriority w:val="37"/>
    <w:unhideWhenUsed/>
    <w:rsid w:val="00C45544"/>
    <w:rPr>
      <w:rFonts w:ascii="Arial" w:eastAsia="Arial" w:hAnsi="Arial" w:cs="Arial"/>
      <w:sz w:val="20"/>
      <w:szCs w:val="20"/>
    </w:rPr>
  </w:style>
  <w:style w:type="character" w:styleId="nfasis">
    <w:name w:val="Emphasis"/>
    <w:basedOn w:val="Fuentedeprrafopredeter"/>
    <w:uiPriority w:val="20"/>
    <w:qFormat/>
    <w:rsid w:val="00C45544"/>
    <w:rPr>
      <w:i/>
      <w:iCs/>
    </w:rPr>
  </w:style>
  <w:style w:type="table" w:styleId="Tablanormal1">
    <w:name w:val="Plain Table 1"/>
    <w:basedOn w:val="Tablanormal"/>
    <w:uiPriority w:val="41"/>
    <w:rsid w:val="00C45544"/>
    <w:rPr>
      <w:sz w:val="20"/>
      <w:szCs w:val="20"/>
      <w:lang w:eastAsia="es-MX"/>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C45544"/>
    <w:rPr>
      <w:sz w:val="32"/>
      <w:szCs w:val="32"/>
    </w:rPr>
  </w:style>
  <w:style w:type="character" w:customStyle="1" w:styleId="mwe-math-mathml-inline">
    <w:name w:val="mwe-math-mathml-inline"/>
    <w:basedOn w:val="Fuentedeprrafopredeter"/>
    <w:rsid w:val="00C45544"/>
  </w:style>
  <w:style w:type="character" w:customStyle="1" w:styleId="mw-headline">
    <w:name w:val="mw-headline"/>
    <w:basedOn w:val="Fuentedeprrafopredeter"/>
    <w:rsid w:val="00C45544"/>
  </w:style>
  <w:style w:type="character" w:customStyle="1" w:styleId="mw-editsection">
    <w:name w:val="mw-editsection"/>
    <w:basedOn w:val="Fuentedeprrafopredeter"/>
    <w:rsid w:val="00C45544"/>
  </w:style>
  <w:style w:type="character" w:customStyle="1" w:styleId="mw-editsection-bracket">
    <w:name w:val="mw-editsection-bracket"/>
    <w:basedOn w:val="Fuentedeprrafopredeter"/>
    <w:rsid w:val="00C45544"/>
  </w:style>
  <w:style w:type="table" w:styleId="Tablanormal3">
    <w:name w:val="Plain Table 3"/>
    <w:basedOn w:val="Tablanormal"/>
    <w:uiPriority w:val="43"/>
    <w:rsid w:val="00C45544"/>
    <w:rPr>
      <w:sz w:val="20"/>
      <w:szCs w:val="20"/>
      <w:lang w:eastAsia="es-MX"/>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C45544"/>
    <w:rPr>
      <w:sz w:val="20"/>
      <w:szCs w:val="20"/>
      <w:lang w:eastAsia="es-MX"/>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C45544"/>
    <w:rPr>
      <w:sz w:val="20"/>
      <w:szCs w:val="20"/>
      <w:lang w:eastAsia="es-MX"/>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Car">
    <w:name w:val="Título Car"/>
    <w:basedOn w:val="Fuentedeprrafopredeter"/>
    <w:link w:val="Ttulo"/>
    <w:uiPriority w:val="10"/>
    <w:rsid w:val="00C2114E"/>
    <w:rPr>
      <w:rFonts w:ascii="Times New Roman" w:eastAsia="Times New Roman" w:hAnsi="Times New Roman" w:cs="Times New Roman"/>
      <w:sz w:val="52"/>
      <w:szCs w:val="52"/>
      <w:lang w:val="es-CO" w:eastAsia="es-MX"/>
    </w:rPr>
  </w:style>
  <w:style w:type="table" w:customStyle="1" w:styleId="17">
    <w:name w:val="17"/>
    <w:basedOn w:val="TableNormal2"/>
    <w:tblPr>
      <w:tblStyleRowBandSize w:val="1"/>
      <w:tblStyleColBandSize w:val="1"/>
      <w:tblCellMar>
        <w:left w:w="115" w:type="dxa"/>
        <w:right w:w="115" w:type="dxa"/>
      </w:tblCellMar>
    </w:tblPr>
  </w:style>
  <w:style w:type="table" w:customStyle="1" w:styleId="16">
    <w:name w:val="16"/>
    <w:basedOn w:val="TableNormal2"/>
    <w:tblPr>
      <w:tblStyleRowBandSize w:val="1"/>
      <w:tblStyleColBandSize w:val="1"/>
      <w:tblCellMar>
        <w:left w:w="115" w:type="dxa"/>
        <w:right w:w="115" w:type="dxa"/>
      </w:tblCellMar>
    </w:tblPr>
  </w:style>
  <w:style w:type="table" w:customStyle="1" w:styleId="15">
    <w:name w:val="15"/>
    <w:basedOn w:val="TableNormal2"/>
    <w:tblPr>
      <w:tblStyleRowBandSize w:val="1"/>
      <w:tblStyleColBandSize w:val="1"/>
      <w:tblCellMar>
        <w:left w:w="115" w:type="dxa"/>
        <w:right w:w="115" w:type="dxa"/>
      </w:tblCellMar>
    </w:tblPr>
  </w:style>
  <w:style w:type="table" w:customStyle="1" w:styleId="14">
    <w:name w:val="14"/>
    <w:basedOn w:val="TableNormal2"/>
    <w:tblPr>
      <w:tblStyleRowBandSize w:val="1"/>
      <w:tblStyleColBandSize w:val="1"/>
      <w:tblCellMar>
        <w:left w:w="115" w:type="dxa"/>
        <w:right w:w="115"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115" w:type="dxa"/>
        <w:right w:w="115" w:type="dxa"/>
      </w:tblCellMar>
    </w:tblPr>
  </w:style>
  <w:style w:type="table" w:customStyle="1" w:styleId="11">
    <w:name w:val="11"/>
    <w:basedOn w:val="TableNormal2"/>
    <w:tblPr>
      <w:tblStyleRowBandSize w:val="1"/>
      <w:tblStyleColBandSize w:val="1"/>
      <w:tblCellMar>
        <w:left w:w="115" w:type="dxa"/>
        <w:right w:w="115" w:type="dxa"/>
      </w:tblCellMar>
    </w:tblPr>
  </w:style>
  <w:style w:type="table" w:customStyle="1" w:styleId="10">
    <w:name w:val="10"/>
    <w:basedOn w:val="TableNormal2"/>
    <w:tblPr>
      <w:tblStyleRowBandSize w:val="1"/>
      <w:tblStyleColBandSize w:val="1"/>
      <w:tblCellMar>
        <w:left w:w="115" w:type="dxa"/>
        <w:right w:w="115" w:type="dxa"/>
      </w:tblCellMar>
    </w:tblPr>
  </w:style>
  <w:style w:type="table" w:customStyle="1" w:styleId="9">
    <w:name w:val="9"/>
    <w:basedOn w:val="TableNormal2"/>
    <w:tblPr>
      <w:tblStyleRowBandSize w:val="1"/>
      <w:tblStyleColBandSize w:val="1"/>
      <w:tblCellMar>
        <w:left w:w="115" w:type="dxa"/>
        <w:right w:w="115" w:type="dxa"/>
      </w:tblCellMar>
    </w:tblPr>
  </w:style>
  <w:style w:type="table" w:customStyle="1" w:styleId="8">
    <w:name w:val="8"/>
    <w:basedOn w:val="TableNormal2"/>
    <w:tblPr>
      <w:tblStyleRowBandSize w:val="1"/>
      <w:tblStyleColBandSize w:val="1"/>
      <w:tblCellMar>
        <w:left w:w="115" w:type="dxa"/>
        <w:right w:w="115" w:type="dxa"/>
      </w:tblCellMar>
    </w:tblPr>
  </w:style>
  <w:style w:type="table" w:customStyle="1" w:styleId="7">
    <w:name w:val="7"/>
    <w:basedOn w:val="TableNormal2"/>
    <w:tblPr>
      <w:tblStyleRowBandSize w:val="1"/>
      <w:tblStyleColBandSize w:val="1"/>
      <w:tblCellMar>
        <w:left w:w="115" w:type="dxa"/>
        <w:right w:w="115" w:type="dxa"/>
      </w:tblCellMar>
    </w:tblPr>
  </w:style>
  <w:style w:type="table" w:customStyle="1" w:styleId="6">
    <w:name w:val="6"/>
    <w:basedOn w:val="TableNormal2"/>
    <w:tblPr>
      <w:tblStyleRowBandSize w:val="1"/>
      <w:tblStyleColBandSize w:val="1"/>
      <w:tblCellMar>
        <w:left w:w="115" w:type="dxa"/>
        <w:right w:w="115" w:type="dxa"/>
      </w:tblCellMar>
    </w:tblPr>
  </w:style>
  <w:style w:type="table" w:customStyle="1" w:styleId="5">
    <w:name w:val="5"/>
    <w:basedOn w:val="TableNormal2"/>
    <w:tblPr>
      <w:tblStyleRowBandSize w:val="1"/>
      <w:tblStyleColBandSize w:val="1"/>
      <w:tblCellMar>
        <w:left w:w="115" w:type="dxa"/>
        <w:right w:w="115" w:type="dxa"/>
      </w:tblCellMar>
    </w:tblPr>
  </w:style>
  <w:style w:type="table" w:customStyle="1" w:styleId="4">
    <w:name w:val="4"/>
    <w:basedOn w:val="TableNormal2"/>
    <w:tblPr>
      <w:tblStyleRowBandSize w:val="1"/>
      <w:tblStyleColBandSize w:val="1"/>
      <w:tblCellMar>
        <w:left w:w="115" w:type="dxa"/>
        <w:right w:w="115"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CE49D6"/>
    <w:rPr>
      <w:sz w:val="40"/>
      <w:szCs w:val="40"/>
      <w:lang w:eastAsia="es-MX"/>
    </w:rPr>
  </w:style>
  <w:style w:type="paragraph" w:customStyle="1" w:styleId="text-center">
    <w:name w:val="text-center"/>
    <w:basedOn w:val="Normal"/>
    <w:rsid w:val="000405A1"/>
    <w:pPr>
      <w:spacing w:before="100" w:beforeAutospacing="1" w:after="100" w:afterAutospacing="1"/>
    </w:pPr>
  </w:style>
  <w:style w:type="paragraph" w:customStyle="1" w:styleId="sky-tab-content-3">
    <w:name w:val="sky-tab-content-3"/>
    <w:basedOn w:val="Normal"/>
    <w:rsid w:val="000405A1"/>
    <w:pPr>
      <w:spacing w:before="100" w:beforeAutospacing="1" w:after="100" w:afterAutospacing="1"/>
    </w:pPr>
  </w:style>
  <w:style w:type="paragraph" w:customStyle="1" w:styleId="sky-tab-content-4">
    <w:name w:val="sky-tab-content-4"/>
    <w:basedOn w:val="Normal"/>
    <w:rsid w:val="000405A1"/>
    <w:pPr>
      <w:spacing w:before="100" w:beforeAutospacing="1" w:after="100" w:afterAutospacing="1"/>
    </w:pPr>
  </w:style>
  <w:style w:type="paragraph" w:customStyle="1" w:styleId="mt-3">
    <w:name w:val="mt-3"/>
    <w:basedOn w:val="Normal"/>
    <w:rsid w:val="000405A1"/>
    <w:pPr>
      <w:spacing w:before="100" w:beforeAutospacing="1" w:after="100" w:afterAutospacing="1"/>
    </w:pPr>
  </w:style>
  <w:style w:type="character" w:styleId="Mencinsinresolver">
    <w:name w:val="Unresolved Mention"/>
    <w:basedOn w:val="Fuentedeprrafopredeter"/>
    <w:uiPriority w:val="99"/>
    <w:semiHidden/>
    <w:unhideWhenUsed/>
    <w:rsid w:val="00F22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60313">
      <w:bodyDiv w:val="1"/>
      <w:marLeft w:val="0"/>
      <w:marRight w:val="0"/>
      <w:marTop w:val="0"/>
      <w:marBottom w:val="0"/>
      <w:divBdr>
        <w:top w:val="none" w:sz="0" w:space="0" w:color="auto"/>
        <w:left w:val="none" w:sz="0" w:space="0" w:color="auto"/>
        <w:bottom w:val="none" w:sz="0" w:space="0" w:color="auto"/>
        <w:right w:val="none" w:sz="0" w:space="0" w:color="auto"/>
      </w:divBdr>
    </w:div>
    <w:div w:id="1316567019">
      <w:bodyDiv w:val="1"/>
      <w:marLeft w:val="0"/>
      <w:marRight w:val="0"/>
      <w:marTop w:val="0"/>
      <w:marBottom w:val="0"/>
      <w:divBdr>
        <w:top w:val="none" w:sz="0" w:space="0" w:color="auto"/>
        <w:left w:val="none" w:sz="0" w:space="0" w:color="auto"/>
        <w:bottom w:val="none" w:sz="0" w:space="0" w:color="auto"/>
        <w:right w:val="none" w:sz="0" w:space="0" w:color="auto"/>
      </w:divBdr>
    </w:div>
    <w:div w:id="1880849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cionpublica.gov.co/eva/gerentes/Modulo4/tema-2/1-modalidad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XhoGpvKIGbVO+IlYGJS7axOcGg==">AMUW2mVimPzMP6Kl/qFmRlYa+Dj0jOn0rzR2RAmwa4nN6wnta6E/CpQwxv/vlxcyfLarYC+FZF/H1GbTN5AAbqAYC2JIl8qGgZk5Et2Ym7wJ71YnXltZM4o=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746</Words>
  <Characters>4108</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Johanna Espinosa</cp:lastModifiedBy>
  <cp:revision>43</cp:revision>
  <dcterms:created xsi:type="dcterms:W3CDTF">2022-09-12T23:02:00Z</dcterms:created>
  <dcterms:modified xsi:type="dcterms:W3CDTF">2022-10-22T20:17:00Z</dcterms:modified>
</cp:coreProperties>
</file>