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 2 - Políticas de compras</w:t>
      </w:r>
    </w:p>
    <w:p w:rsidR="00000000" w:rsidDel="00000000" w:rsidP="00000000" w:rsidRDefault="00000000" w:rsidRPr="00000000" w14:paraId="00000003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Del éxito de tu política de compras depende que cumplas con el presupuesto de tu empresa, la fijación de los precios, el desarrollo de nuevos productos y la calidad prometida a tus clientes. Si llevas la administración de tu empresa con un </w:t>
      </w:r>
      <w:hyperlink r:id="rId7">
        <w:r w:rsidDel="00000000" w:rsidR="00000000" w:rsidRPr="00000000">
          <w:rPr>
            <w:rtl w:val="0"/>
          </w:rPr>
          <w:t xml:space="preserve">sistema de gestión</w:t>
        </w:r>
      </w:hyperlink>
      <w:r w:rsidDel="00000000" w:rsidR="00000000" w:rsidRPr="00000000">
        <w:rPr>
          <w:rtl w:val="0"/>
        </w:rPr>
        <w:t xml:space="preserve"> esta labor se facilita mucho, ya que toda la información de finanzas y contabilidad se interconecta. </w:t>
      </w:r>
    </w:p>
    <w:p w:rsidR="00000000" w:rsidDel="00000000" w:rsidP="00000000" w:rsidRDefault="00000000" w:rsidRPr="00000000" w14:paraId="00000004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Para realizar las políticas de compras en tu empresa deberás:</w:t>
      </w:r>
    </w:p>
    <w:p w:rsidR="00000000" w:rsidDel="00000000" w:rsidP="00000000" w:rsidRDefault="00000000" w:rsidRPr="00000000" w14:paraId="00000005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1. Evaluar a proveedores, según su importancia.</w:t>
      </w:r>
    </w:p>
    <w:p w:rsidR="00000000" w:rsidDel="00000000" w:rsidP="00000000" w:rsidRDefault="00000000" w:rsidRPr="00000000" w14:paraId="00000006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2. Determinar la categoría.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Kraljic clasificó los bienes o servicios que se adquieren con la gestión de compras en cuatro categorías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apalancados 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  <w:t xml:space="preserve">Son artículos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fáciles de conseguir y sin valor añadido, con una calidad estandarizada. Por lo mismo, son ofrecidos por muchos proveedores y su riesgo en el suministro es bajo.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estratégicos.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productos cruciales para la actividad principal de la empresa. Por lo general, su riesgo de suministro es alto porque escasean, o bien, implican una logística complicada.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rutinarios.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En esta categoría se enmarcan los productos fáciles de comprar, de bajo costo, son cruciales para la actividad principal de la empresa.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críticos.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llamados ‘productos cuello de botella’, se trata de artículos con alto nivel de escasez, accesibles a través de pocos proveedores. Su impacto en los resultados financieros es bajo.</w:t>
      </w:r>
    </w:p>
    <w:p w:rsidR="00000000" w:rsidDel="00000000" w:rsidP="00000000" w:rsidRDefault="00000000" w:rsidRPr="00000000" w14:paraId="0000000C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Al momento de elaborar la política de compra se deben evaluar los siguientes factores: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Reputación.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Plazos de entrega.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Estabilidad económica.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Flexibilidad de pagos.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Ética.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Fuentes de abastecimiento.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que debe cumplir la mercancía.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Lineamientos de precios y calidad.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Procedimientos.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Procesos de pago y entrega.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Compras recíprocas.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Contemplan estas políticas de compras indispensables: </w:t>
      </w:r>
    </w:p>
    <w:p w:rsidR="00000000" w:rsidDel="00000000" w:rsidP="00000000" w:rsidRDefault="00000000" w:rsidRPr="00000000" w14:paraId="0000001C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1. Fuentes de abastecimiento.</w:t>
      </w:r>
    </w:p>
    <w:p w:rsidR="00000000" w:rsidDel="00000000" w:rsidP="00000000" w:rsidRDefault="00000000" w:rsidRPr="00000000" w14:paraId="0000001D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2. Especificaciones de la mercancía.</w:t>
      </w:r>
    </w:p>
    <w:p w:rsidR="00000000" w:rsidDel="00000000" w:rsidP="00000000" w:rsidRDefault="00000000" w:rsidRPr="00000000" w14:paraId="0000001E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3. Lineamientos de precio y calidad.</w:t>
      </w:r>
    </w:p>
    <w:p w:rsidR="00000000" w:rsidDel="00000000" w:rsidP="00000000" w:rsidRDefault="00000000" w:rsidRPr="00000000" w14:paraId="0000001F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4. Procedimientos.</w:t>
      </w:r>
    </w:p>
    <w:p w:rsidR="00000000" w:rsidDel="00000000" w:rsidP="00000000" w:rsidRDefault="00000000" w:rsidRPr="00000000" w14:paraId="00000020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5. Condiciones de pago y entrega.</w:t>
      </w:r>
    </w:p>
    <w:p w:rsidR="00000000" w:rsidDel="00000000" w:rsidP="00000000" w:rsidRDefault="00000000" w:rsidRPr="00000000" w14:paraId="00000021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6. Investigación y desarrollo.</w:t>
      </w:r>
    </w:p>
    <w:p w:rsidR="00000000" w:rsidDel="00000000" w:rsidP="00000000" w:rsidRDefault="00000000" w:rsidRPr="00000000" w14:paraId="00000022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7. Compras recíprocas.</w:t>
      </w:r>
    </w:p>
    <w:p w:rsidR="00000000" w:rsidDel="00000000" w:rsidP="00000000" w:rsidRDefault="00000000" w:rsidRPr="00000000" w14:paraId="00000023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8. Ética.</w:t>
      </w:r>
    </w:p>
    <w:p w:rsidR="00000000" w:rsidDel="00000000" w:rsidP="00000000" w:rsidRDefault="00000000" w:rsidRPr="00000000" w14:paraId="00000024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Para elaborar las políticas de compras de una empresa, se puede clasificar el documento de la siguiente manera: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Política de compras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Alcance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Definiciones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Desarrollo de la política de compras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Aspectos generales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Externalización de servicios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 Condiciones de selección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3.3.3 Control de riesgos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Responsabilidades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Revisión y modificación de la política</w:t>
      </w:r>
    </w:p>
    <w:sectPr>
      <w:headerReference r:id="rId8" w:type="default"/>
      <w:pgSz w:h="11909" w:w="16834" w:orient="landscape"/>
      <w:pgMar w:bottom="567" w:top="1985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-349884</wp:posOffset>
          </wp:positionH>
          <wp:positionV relativeFrom="paragraph">
            <wp:posOffset>-457199</wp:posOffset>
          </wp:positionV>
          <wp:extent cx="3514725" cy="982980"/>
          <wp:effectExtent b="0" l="0" r="0" t="0"/>
          <wp:wrapSquare wrapText="bothSides" distB="0" distT="0" distL="114300" distR="114300"/>
          <wp:docPr id="6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67142" t="0"/>
                  <a:stretch>
                    <a:fillRect/>
                  </a:stretch>
                </pic:blipFill>
                <pic:spPr>
                  <a:xfrm>
                    <a:off x="0" y="0"/>
                    <a:ext cx="3514725" cy="9829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→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052C8A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comentario">
    <w:name w:val="annotation text"/>
    <w:basedOn w:val="Normal"/>
    <w:link w:val="TextocomentarioCar"/>
    <w:uiPriority w:val="99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040A6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40A6"/>
  </w:style>
  <w:style w:type="paragraph" w:styleId="Piedepgina">
    <w:name w:val="footer"/>
    <w:basedOn w:val="Normal"/>
    <w:link w:val="PiedepginaCar"/>
    <w:uiPriority w:val="99"/>
    <w:unhideWhenUsed w:val="1"/>
    <w:rsid w:val="007040A6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40A6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42A2A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42A2A"/>
    <w:rPr>
      <w:rFonts w:ascii="Segoe UI" w:cs="Segoe UI" w:hAnsi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42A2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42A2A"/>
    <w:rPr>
      <w:b w:val="1"/>
      <w:bCs w:val="1"/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00C11ED6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052C8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0B69F7"/>
    <w:pPr>
      <w:spacing w:line="240" w:lineRule="auto"/>
    </w:pPr>
    <w:rPr>
      <w:sz w:val="20"/>
      <w:szCs w:val="20"/>
      <w:lang w:eastAsia="es-MX" w:val="es-CO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og.bind.com.mx/sistema-de-gestion-comercializadora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SoK4bRC2CdRS0wZXr+iDghYsw==">AMUW2mV4VeYS3kjy7SASW6EaioLS0FhbUi9uW4IH5AQugG6LM0Ozoccs6ShDDd1tFJud6chTWCmgiFfV5TNhqUtqCQ1wHEkrXllwp65DOWbdQKT3bEFF/5Y=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2022-09-01T01:26:00Z</dcterms:created>
  <dc:creator>Johan Jimenez Tovar</dc:creator>
</cp:coreProperties>
</file>