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3 ОЦЕНКА РЕЗУЛЬТАТОВ МОДЕЛИРОВАНИЯ МЕРОПРИЯТИЙ ПО СНИЖЕНИЮ ЭЛЕКТРОПОТРЕБЛЕНИЯ СИСТЕМ ЖИЗНЕОБЕСПЕЧЕНИЯ КИНОЗАЛА</w:t>
      </w:r>
    </w:p>
    <w:p>
      <w:pPr>
        <w:pStyle w:val="Heading2"/>
        <w:jc w:val="left"/>
      </w:pPr>
      <w:r>
        <w:rPr>
          <w:rFonts w:ascii="Times New Roman" w:hAnsi="Times New Roman" w:cs="Times New Roman"/>
          <w:sz w:val="28"/>
          <w:color w:val="000000"/>
        </w:rPr>
        <w:t>3.1 Сравнительный анализ методов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color w:val="000000"/>
        </w:rPr>
        <w:t>Шесть сценариев упорядочены по годовой экономии электроэнергии. Условие сравнения: все сценарии поддерживают качество воздуха не хуже категории «отличное» (среднегодовая CO2 менее 800 ppm по ГОСТ 30494-2011). При этом условии итоговый рейтинг выглядит так: DCV+ТН - 75,8 %, DCV+Рекуп+ - 68,7 %, ТН - 50,9 %, Рекуп+ - 31,3 %, DCV - 56,8 %, База - 0 %. DCV в одиночном применении занимает третье место - выше теплового насоса и рекуператора - что подтверждает его самостоятельную ценность как энергосберегающего мероприятия.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color w:val="000000"/>
        </w:rPr>
        <w:t>Сценарий «Рекуператор+» даёт экономию 31,3 % при минимальных организационных усилиях. Замена роторной секции вентиляционной установки AIRNED-M6L занимает, по данным производителя, 4-6 часов силами двух монтажников. Работы не требуют разрешительной документации и могут выполняться в ночное время без остановки кинотеатра. Срок окупаемости - около 2 лет, что вполне приемлемо для данного класса мероприятий.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color w:val="000000"/>
        </w:rPr>
        <w:t>Сценарий «Тепловой насос» обеспечивает 50,9 % экономии среди одиночных мероприятий. Для Санкт-Петербурга (220 суток отопительного периода, расчётная температура -26 °C) применение теплового насоса типа «воздух-воздух» несёт риски снижения COP в январе-феврале до 1,8-2,0 против расчётных 2,59 при 0 °C. Японская компания Daikin указывает COP своих тепловых насосов серии VRV при -15 °C в диапазоне 1,8-2,1, что всё равно лучше прямого электрического нагрева, но хуже расчётного среднегодового значения. Для корректного учёта этого эффекта необходимо использовать почасовую климатическую модель, что и было сделано в OpenStudio.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color w:val="000000"/>
        </w:rPr>
        <w:t>Сценарий «DCV» при уставке 700 ppm и минимальном расходе 50 % обеспечивает экономию 56,8 % при сохранении категории «отличное» качество воздуха (средняя CO2 = 645 ppm). Дополнительно система снижает шум в зале на 9 дБА в межсеансовые периоды и ликвидирует режим «перевентиляции» (пустой зал при 100 % расходе), который в базовом варианте занимает 35 % рабочего времени. Всё это делает DCV самостоятельным мероприятием, а не только основой для комбинированных сценариев.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color w:val="000000"/>
        </w:rPr>
        <w:t>Комбинированные сценарии «DCV + Рекуператор+» и «DCV + Тепловой насос» обеспечивают максимальную экономию (68,7 % и 75,8 % соответственно) за счёт различных механизмов повышения КПД нагрева: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- DCV + Рекуп+: экономия достигается за счёт сокращения расхода воздуха (DCV) и снижения удельных затрат на нагрев воздуха (Рекуп+). При этом синергия проявляется в том, что сокращённый объём воздуха требует значительно меньшего нагрева, а улучшенный рекуператор справляется с этим нагревом почти полностью;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sz w:val="28"/>
          <w:szCs w:val="28"/>
          <w:color w:val="000000"/>
        </w:rPr>
        <w:t>- DCV + ТН: аналогично, но нагрев оставшегося объёма осуществляется тепловым насосом с COP &gt; 1. Экономия по электронагреву немного выше (ΔE = 35 563 кВт*ч/год против 32 207 кВт*ч/год), но разница незначительна.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color w:val="000000"/>
        </w:rPr>
        <w:t>С технической точки зрения, оба комбинированных сценария близки по результату: DCV+Рекуп+ экономит 32 207 кВт*ч/год, DCV+ТН - 35 563 кВт*ч/год. Разрыв в 3356 кВт*ч/год (7,1 %) незначителен при абсолютном объёме экономии в 32 000-36 000 кВт*ч/год. Обоснованный выбор следует делать по экономическим критериям (NPV, срок окупаемости), а не по минимальному превышению одного варианта над другим.</w:t>
      </w:r>
    </w:p>
    <w:p>
      <w:pPr>
        <w:pStyle w:val="Heading2"/>
        <w:jc w:val="left"/>
      </w:pPr>
      <w:r>
        <w:rPr>
          <w:rFonts w:ascii="Times New Roman" w:hAnsi="Times New Roman" w:cs="Times New Roman"/>
          <w:sz w:val="28"/>
          <w:color w:val="000000"/>
        </w:rPr>
        <w:t>3.2 Анализ экономической и энергетической целесообразности</w:t>
      </w:r>
    </w:p>
    <w:p>
      <w:pPr>
        <w:pStyle w:val="Heading3"/>
        <w:jc w:val="left"/>
      </w:pPr>
      <w:r>
        <w:rPr>
          <w:rFonts w:ascii="Times New Roman" w:hAnsi="Times New Roman" w:cs="Times New Roman"/>
          <w:sz w:val="28"/>
          <w:color w:val="000000"/>
        </w:rPr>
        <w:t>3.2.1 Расчёт капитальных затрат на энергосберегающие мероприятия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color w:val="000000"/>
        </w:rPr>
        <w:t>Оценка CAPEX проводилась по открытым прайс-листам поставщиков (сентябрь 2024 г.). Ротор рекуператора для AIRNED-M6L типоразмера 6 - около 85 000 руб. С монтажом. Датчик ОВЕН ДКВ-С - 18 700 руб., частотный преобразователь ОВЕН ПЧВ3-2К2-А (2,2 кВт) - 21 500 руб./шт, контроллер ОВЕН ПЛК110-220.60.Р - 38 900 руб. Промышленный ПК с Node-RED (IPC, Raspberry Pi 5) - 12 000-25 000 руб. Монтаж и пуско-наладка - 30 000-50 000 руб. Итого по сценарию «DCV» (без рекуператора) - около 160 000 руб.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Сценарий «Рекуператор+» (замена роторной секции).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Статья затрат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Количество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Стоимость, руб.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Секция роторного рекуператора Hi-Eff (NED RRS-900 или аналог)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1 шт.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125 000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Привод ротора (мотор-редуктор)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1 шт.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18 000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Монтажные работы (демонтаж/монтаж секции)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1 компл.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22 000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Пусконаладочные работы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1 компл.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10 000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Итого (Рекуп+)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175 000</w:t>
            </w:r>
          </w:p>
        </w:tc>
      </w:tr>
    </w:tbl>
    <w:p>
      <w:pPr>
        <w:jc w:val="both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Сценарий «Тепловой насос» (установка ВВТ-системы).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Статья затрат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Количество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Стоимость, руб.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Тепловой насос «воздух-воздух» 16-18 кВт (EVI, R410A)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1 компл.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310 000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Воздуховоды и фасонные части для интеграции ТН в воздушный тракт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1 компл.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35 000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Монтажные работы (установка ТН, обвязка)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1 компл.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45 000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Электромонтажные работы (подключение к щиту)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1 компл.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25 000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Пусконаладочные работы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1 компл.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15 000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Итого (ТН)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430 000</w:t>
            </w:r>
          </w:p>
        </w:tc>
      </w:tr>
    </w:tbl>
    <w:p>
      <w:pPr>
        <w:jc w:val="both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Сценарий «DCV» (система автоматического управления по CO2).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Статья затрат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Количество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Стоимость, руб.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Датчик CO2 ОВЕН ДКВ-С (CO2 + T + φ, Modbus RTU)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2 шт.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22 000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>ПЛК ОВЕН ПЛК110-220.60.Р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1 шт.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32 000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Частотный преобразователь ОВЕН ПЧВ3-2К2-A (для приточного вентилятора)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1 шт.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28 000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Частотный преобразователь ОВЕН ПЧВ3-2К2-A (для вытяжного вентилятора)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1 шт.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28 000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Электрощит управления (корпус, автоматы, DIN-рейки, кабель)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1 компл.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18 000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Кабельная продукция RS-485, питание датчиков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1 компл.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5 000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Монтажные работы (установка датчиков, прокладка кабелей)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1 компл.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15 000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Программирование ПЛК и пусконаладка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1 компл.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12 000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Итого (DCV)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160 000</w:t>
            </w:r>
          </w:p>
        </w:tc>
      </w:tr>
    </w:tbl>
    <w:p>
      <w:pPr>
        <w:jc w:val="both"/>
      </w:pP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Сценарии комбинированные: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Сценарий</w:t>
            </w:r>
          </w:p>
        </w:tc>
        <w:tc>
          <w:tcPr>
            <w:tcW w:type="dxa" w:w="467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CAPEX, руб.</w:t>
            </w:r>
          </w:p>
        </w:tc>
      </w:tr>
      <w:tr>
        <w:tc>
          <w:tcPr>
            <w:tcW w:type="dxa" w:w="467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DCV + Рекуп+</w:t>
            </w:r>
          </w:p>
        </w:tc>
        <w:tc>
          <w:tcPr>
            <w:tcW w:type="dxa" w:w="467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175 000 + 160 000 = 335 000</w:t>
            </w:r>
          </w:p>
        </w:tc>
      </w:tr>
      <w:tr>
        <w:tc>
          <w:tcPr>
            <w:tcW w:type="dxa" w:w="467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DCV + Тепловой насос</w:t>
            </w:r>
          </w:p>
        </w:tc>
        <w:tc>
          <w:tcPr>
            <w:tcW w:type="dxa" w:w="467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430 000 + 160 000 = 590 000</w:t>
            </w:r>
          </w:p>
        </w:tc>
      </w:tr>
    </w:tbl>
    <w:p>
      <w:pPr>
        <w:jc w:val="both"/>
      </w:pPr>
    </w:p>
    <w:p>
      <w:pPr>
        <w:pStyle w:val="Heading3"/>
        <w:jc w:val="left"/>
      </w:pPr>
      <w:r>
        <w:rPr>
          <w:rFonts w:ascii="Times New Roman" w:hAnsi="Times New Roman" w:cs="Times New Roman"/>
          <w:sz w:val="28"/>
          <w:color w:val="000000"/>
        </w:rPr>
        <w:t>3.2.2 Расчёт экономического эффекта и годовой экономии электроэнергии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color w:val="000000"/>
        </w:rPr>
        <w:t xml:space="preserve">Стоимостной эффект каждого мероприятия определяется перемножением годовой экономии электроэнергии на действующий тариф. По данным Комитета по тарифам Санкт-Петербурга, тариф для юридических лиц с максимальной мощностью до 150 кВт в 2024 году составлял 8,64 руб/кВт*ч (с НДС). Именно этот тариф использован в расчётах - как соответствующий группе потребителей, к которой относится данное учреждение культуры.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color w:val="000000"/>
          <w:sz w:val="28"/>
        </w:rPr>
        <w:t>ΔC_эл = ΔE * c_эл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Где ΔE - годовая экономия электроэнергии, кВт*ч/год; c_эл = 8,64 руб/кВт*ч - тариф на электроэнергию для юридических лиц в Санкт-Петербурге.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sz w:val="28"/>
          <w:color w:val="000000"/>
        </w:rPr>
        <w:t>Таблица 3.1 - Годовая экономия электроэнергии и стоимостной эффект по сценариям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Сценарий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ΔE, кВт*ч/год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ΔC_эл, руб./год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CAPEX, руб.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Рекуператор+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14 670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126 749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175 000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Тепловой насос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23 870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206 237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430 000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DCV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>26 642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>230 187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160 000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DCV + Рекуп+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>32 207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>278 268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335 000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DCV + ТН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>35 563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>307 264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590 000</w:t>
            </w:r>
          </w:p>
        </w:tc>
      </w:tr>
    </w:tbl>
    <w:p>
      <w:pPr>
        <w:jc w:val="both"/>
      </w:pPr>
    </w:p>
    <w:p>
      <w:pPr>
        <w:pStyle w:val="Heading3"/>
        <w:jc w:val="left"/>
      </w:pPr>
      <w:r>
        <w:rPr>
          <w:rFonts w:ascii="Times New Roman" w:hAnsi="Times New Roman" w:cs="Times New Roman"/>
          <w:sz w:val="28"/>
          <w:color w:val="000000"/>
        </w:rPr>
        <w:t>3.2.3 Расчёт основных показателей эффективности энергосберегающих мероприятий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color w:val="000000"/>
        </w:rPr>
        <w:t xml:space="preserve">Для оценки экономической привлекательности каждого сценария рассчитаны три стандартных показателя инвестиционного анализа. Простой срок окупаемости (PP) - отношение капитальных затрат к годовой экономии - наиболее понятный критерий для нефинансовых специалистов. Чистая приведённая стоимость (NPV) учитывает временну́ю ценность денег и позволяет сравнивать разновременные денежные потоки. Внутренняя норма рентабельности (IRR) показывает максимально допустимую стоимость заёмного капитала при данном проекте.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color w:val="000000"/>
          <w:sz w:val="28"/>
        </w:rPr>
        <w:t>PP = CAPEX / ΔC_эл , лет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Чистая приведённая стоимость (NPV - Net Present Value) за расчётный период N = 10 лет при ставке дисконтирования r = 10 %: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color w:val="000000"/>
          <w:sz w:val="28"/>
        </w:rPr>
        <w:t>NPV = −CAPEX + ΔC_эл * [(1 − (1 + r)^(−N)) / r]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Аннуитетный коэффициент при r = 0,10, N = 10: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color w:val="000000"/>
          <w:sz w:val="28"/>
        </w:rPr>
        <w:t>PVA = (1 − 1,10^(−10)) / 0,10 = 6,145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Внутренняя норма рентабельности (IRR - Internal Rate of Return) определяется как ставка дисконтирования, при которой NPV = 0: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color w:val="000000"/>
          <w:sz w:val="28"/>
        </w:rPr>
        <w:t>IRR: CAPEX = ΔC_эл * [(1 − (1 + IRR)^(−N)) / IRR]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color w:val="000000"/>
        </w:rPr>
        <w:t>Результаты расчёта основных показателей эффективности приведены в таблице 3.2.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sz w:val="28"/>
          <w:color w:val="000000"/>
        </w:rPr>
        <w:t>Таблица 3.2 - Основные показатели экономической эффективности по сценариям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Сценарий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PP, лет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color w:val="000000"/>
              </w:rPr>
              <w:t xml:space="preserve">NPV, тыс. руб.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b/>
                <w:color w:val="000000"/>
                <w:sz w:val="24"/>
              </w:rPr>
              <w:t>IRR, %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Рекуператор+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1,38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603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73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Тепловой насос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2,09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837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48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DCV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>0,7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>1254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>144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DCV + Рекуп+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>1,2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>1375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>83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</w:rPr>
              <w:t>DCV + ТН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>1,92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>1298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color w:val="000000"/>
              </w:rPr>
              <w:t>52</w:t>
            </w:r>
          </w:p>
        </w:tc>
      </w:tr>
    </w:tbl>
    <w:p>
      <w:pPr>
        <w:jc w:val="both"/>
      </w:pPr>
    </w:p>
    <w:p>
      <w:pPr>
        <w:pStyle w:val="Основной текст"/>
      </w:pPr>
      <w:r>
        <w:rPr/>
        <w:t xml:space="preserve">Для удобства все ключевые показатели по шести сценариям сведены в таблицу 3.3.</w:t>
      </w:r>
    </w:p>
    <w:p>
      <w:pPr>
        <w:pStyle w:val="Основной текст"/>
      </w:pPr>
      <w:r>
        <w:rPr/>
        <w:t xml:space="preserve">Таблица 3.3 - Сводные показатели эффективности по сценариям (энергетические и экономические)</w:t>
      </w:r>
    </w:p>
    <w:tbl>
      <w:tblPr>
        <w:tblW w:w="9360" w:type="dxa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1247"/>
          </w:tcPr>
          <w:p>
            <w:pPr>
              <w:jc w:val="center"/>
            </w:pPr>
            <w:r>
              <w:rPr>
                <w:b/>
                <w:sz w:val="20"/>
              </w:rPr>
              <w:t>Сценарий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E_год, кВт*ч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Экономия, %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/>
                <w:sz w:val="20"/>
              </w:rPr>
              <w:t>CAPEX, руб.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b/>
                <w:sz w:val="20"/>
              </w:rPr>
              <w:t>DeltaC, руб./год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b/>
                <w:sz w:val="20"/>
              </w:rPr>
              <w:t>PP, лет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b/>
                <w:sz w:val="20"/>
              </w:rPr>
              <w:t>NPV, тыс. руб.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b/>
                <w:sz w:val="20"/>
              </w:rPr>
              <w:t>IRR, %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20"/>
              </w:rPr>
              <w:t>1. База</w:t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46 906</w:t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304"/>
          </w:tcPr>
          <w:p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474"/>
          </w:tcPr>
          <w:p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907"/>
          </w:tcPr>
          <w:p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361"/>
          </w:tcPr>
          <w:p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794"/>
          </w:tcPr>
          <w:p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20"/>
              </w:rPr>
              <w:t>2. Рекуп+</w:t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32 236</w:t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31,3</w:t>
            </w:r>
          </w:p>
        </w:tc>
        <w:tc>
          <w:tcPr>
            <w:tcW w:type="dxa" w:w="1304"/>
          </w:tcPr>
          <w:p>
            <w:r>
              <w:rPr>
                <w:b w:val="0"/>
                <w:sz w:val="20"/>
              </w:rPr>
              <w:t>175 000</w:t>
            </w:r>
          </w:p>
        </w:tc>
        <w:tc>
          <w:tcPr>
            <w:tcW w:type="dxa" w:w="1474"/>
          </w:tcPr>
          <w:p>
            <w:r>
              <w:rPr>
                <w:b w:val="0"/>
                <w:sz w:val="20"/>
              </w:rPr>
              <w:t>126 749</w:t>
            </w:r>
          </w:p>
        </w:tc>
        <w:tc>
          <w:tcPr>
            <w:tcW w:type="dxa" w:w="907"/>
          </w:tcPr>
          <w:p>
            <w:r>
              <w:rPr>
                <w:b w:val="0"/>
                <w:sz w:val="20"/>
              </w:rPr>
              <w:t>1,38</w:t>
            </w:r>
          </w:p>
        </w:tc>
        <w:tc>
          <w:tcPr>
            <w:tcW w:type="dxa" w:w="1361"/>
          </w:tcPr>
          <w:p>
            <w:r>
              <w:rPr>
                <w:b w:val="0"/>
                <w:sz w:val="20"/>
              </w:rPr>
              <w:t>603</w:t>
            </w:r>
          </w:p>
        </w:tc>
        <w:tc>
          <w:tcPr>
            <w:tcW w:type="dxa" w:w="794"/>
          </w:tcPr>
          <w:p>
            <w:r>
              <w:rPr>
                <w:b w:val="0"/>
                <w:sz w:val="20"/>
              </w:rPr>
              <w:t>73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20"/>
              </w:rPr>
              <w:t>3. ТН</w:t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23 036</w:t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50,9</w:t>
            </w:r>
          </w:p>
        </w:tc>
        <w:tc>
          <w:tcPr>
            <w:tcW w:type="dxa" w:w="1304"/>
          </w:tcPr>
          <w:p>
            <w:r>
              <w:rPr>
                <w:b w:val="0"/>
                <w:sz w:val="20"/>
              </w:rPr>
              <w:t>430 000</w:t>
            </w:r>
          </w:p>
        </w:tc>
        <w:tc>
          <w:tcPr>
            <w:tcW w:type="dxa" w:w="1474"/>
          </w:tcPr>
          <w:p>
            <w:r>
              <w:rPr>
                <w:b w:val="0"/>
                <w:sz w:val="20"/>
              </w:rPr>
              <w:t>206 237</w:t>
            </w:r>
          </w:p>
        </w:tc>
        <w:tc>
          <w:tcPr>
            <w:tcW w:type="dxa" w:w="907"/>
          </w:tcPr>
          <w:p>
            <w:r>
              <w:rPr>
                <w:b w:val="0"/>
                <w:sz w:val="20"/>
              </w:rPr>
              <w:t>2,09</w:t>
            </w:r>
          </w:p>
        </w:tc>
        <w:tc>
          <w:tcPr>
            <w:tcW w:type="dxa" w:w="1361"/>
          </w:tcPr>
          <w:p>
            <w:r>
              <w:rPr>
                <w:b w:val="0"/>
                <w:sz w:val="20"/>
              </w:rPr>
              <w:t>837</w:t>
            </w:r>
          </w:p>
        </w:tc>
        <w:tc>
          <w:tcPr>
            <w:tcW w:type="dxa" w:w="794"/>
          </w:tcPr>
          <w:p>
            <w:r>
              <w:rPr>
                <w:b w:val="0"/>
                <w:sz w:val="20"/>
              </w:rPr>
              <w:t>48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20"/>
              </w:rPr>
              <w:t>4. DCV</w:t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20 264</w:t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56,8</w:t>
            </w:r>
          </w:p>
        </w:tc>
        <w:tc>
          <w:tcPr>
            <w:tcW w:type="dxa" w:w="1304"/>
          </w:tcPr>
          <w:p>
            <w:r>
              <w:rPr>
                <w:b w:val="0"/>
                <w:sz w:val="20"/>
              </w:rPr>
              <w:t>160 000</w:t>
            </w:r>
          </w:p>
        </w:tc>
        <w:tc>
          <w:tcPr>
            <w:tcW w:type="dxa" w:w="1474"/>
          </w:tcPr>
          <w:p>
            <w:r>
              <w:rPr>
                <w:b w:val="0"/>
                <w:sz w:val="20"/>
              </w:rPr>
              <w:t>230 187</w:t>
            </w:r>
          </w:p>
        </w:tc>
        <w:tc>
          <w:tcPr>
            <w:tcW w:type="dxa" w:w="907"/>
          </w:tcPr>
          <w:p>
            <w:r>
              <w:rPr>
                <w:b w:val="0"/>
                <w:sz w:val="20"/>
              </w:rPr>
              <w:t>0,70</w:t>
            </w:r>
          </w:p>
        </w:tc>
        <w:tc>
          <w:tcPr>
            <w:tcW w:type="dxa" w:w="1361"/>
          </w:tcPr>
          <w:p>
            <w:r>
              <w:rPr>
                <w:b w:val="0"/>
                <w:sz w:val="20"/>
              </w:rPr>
              <w:t>1 254</w:t>
            </w:r>
          </w:p>
        </w:tc>
        <w:tc>
          <w:tcPr>
            <w:tcW w:type="dxa" w:w="794"/>
          </w:tcPr>
          <w:p>
            <w:r>
              <w:rPr>
                <w:b w:val="0"/>
                <w:sz w:val="20"/>
              </w:rPr>
              <w:t>144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20"/>
              </w:rPr>
              <w:t>5. DCV+Рекуп+</w:t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14 699</w:t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68,7</w:t>
            </w:r>
          </w:p>
        </w:tc>
        <w:tc>
          <w:tcPr>
            <w:tcW w:type="dxa" w:w="1304"/>
          </w:tcPr>
          <w:p>
            <w:r>
              <w:rPr>
                <w:b w:val="0"/>
                <w:sz w:val="20"/>
              </w:rPr>
              <w:t>335 000</w:t>
            </w:r>
          </w:p>
        </w:tc>
        <w:tc>
          <w:tcPr>
            <w:tcW w:type="dxa" w:w="1474"/>
          </w:tcPr>
          <w:p>
            <w:r>
              <w:rPr>
                <w:b w:val="0"/>
                <w:sz w:val="20"/>
              </w:rPr>
              <w:t>278 268</w:t>
            </w:r>
          </w:p>
        </w:tc>
        <w:tc>
          <w:tcPr>
            <w:tcW w:type="dxa" w:w="907"/>
          </w:tcPr>
          <w:p>
            <w:r>
              <w:rPr>
                <w:b w:val="0"/>
                <w:sz w:val="20"/>
              </w:rPr>
              <w:t>1,20</w:t>
            </w:r>
          </w:p>
        </w:tc>
        <w:tc>
          <w:tcPr>
            <w:tcW w:type="dxa" w:w="1361"/>
          </w:tcPr>
          <w:p>
            <w:r>
              <w:rPr>
                <w:b w:val="0"/>
                <w:sz w:val="20"/>
              </w:rPr>
              <w:t>1 375</w:t>
            </w:r>
          </w:p>
        </w:tc>
        <w:tc>
          <w:tcPr>
            <w:tcW w:type="dxa" w:w="794"/>
          </w:tcPr>
          <w:p>
            <w:r>
              <w:rPr>
                <w:b w:val="0"/>
                <w:sz w:val="20"/>
              </w:rPr>
              <w:t>83</w:t>
            </w:r>
          </w:p>
        </w:tc>
      </w:tr>
      <w:tr>
        <w:tc>
          <w:tcPr>
            <w:tcW w:type="dxa" w:w="1247"/>
          </w:tcPr>
          <w:p>
            <w:r>
              <w:rPr>
                <w:b w:val="0"/>
                <w:sz w:val="20"/>
              </w:rPr>
              <w:t>6. DCV+ТН</w:t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11 343</w:t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75,8</w:t>
            </w:r>
          </w:p>
        </w:tc>
        <w:tc>
          <w:tcPr>
            <w:tcW w:type="dxa" w:w="1304"/>
          </w:tcPr>
          <w:p>
            <w:r>
              <w:rPr>
                <w:b w:val="0"/>
                <w:sz w:val="20"/>
              </w:rPr>
              <w:t>590 000</w:t>
            </w:r>
          </w:p>
        </w:tc>
        <w:tc>
          <w:tcPr>
            <w:tcW w:type="dxa" w:w="1474"/>
          </w:tcPr>
          <w:p>
            <w:r>
              <w:rPr>
                <w:b w:val="0"/>
                <w:sz w:val="20"/>
              </w:rPr>
              <w:t>307 264</w:t>
            </w:r>
          </w:p>
        </w:tc>
        <w:tc>
          <w:tcPr>
            <w:tcW w:type="dxa" w:w="907"/>
          </w:tcPr>
          <w:p>
            <w:r>
              <w:rPr>
                <w:b w:val="0"/>
                <w:sz w:val="20"/>
              </w:rPr>
              <w:t>1,92</w:t>
            </w:r>
          </w:p>
        </w:tc>
        <w:tc>
          <w:tcPr>
            <w:tcW w:type="dxa" w:w="1361"/>
          </w:tcPr>
          <w:p>
            <w:r>
              <w:rPr>
                <w:b w:val="0"/>
                <w:sz w:val="20"/>
              </w:rPr>
              <w:t>1 298</w:t>
            </w:r>
          </w:p>
        </w:tc>
        <w:tc>
          <w:tcPr>
            <w:tcW w:type="dxa" w:w="794"/>
          </w:tcPr>
          <w:p>
            <w:r>
              <w:rPr>
                <w:b w:val="0"/>
                <w:sz w:val="20"/>
              </w:rPr>
              <w:t>52</w:t>
            </w:r>
          </w:p>
        </w:tc>
      </w:tr>
    </w:tbl>
    <w:p>
      <w:pPr>
        <w:pStyle w:val="Основной текст"/>
      </w:pPr>
      <w:r>
        <w:rPr/>
        <w:t xml:space="preserve">DeltaC - годовая экономия в рублях при тарифе 8,64 руб./кВт*ч. PP - простой срок окупаемости. NPV - за 10 лет, ставка дисконтирования 10 %. Для базового сценария CAPEX/PP/NPV/IRR не рассчитываются (-). * - в сценарии ТН E_нагр - мощность компрессора ТН, а не прямого нагревателя.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2101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31_payba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210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sz w:val="28"/>
          <w:color w:val="000000"/>
        </w:rPr>
        <w:t>Рисунок 3.1 - Сравнительная диаграмма срока окупаемости капитальных затрат по сценариям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2119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32_np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211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sz w:val="28"/>
          <w:color w:val="000000"/>
        </w:rPr>
        <w:t>Рисунок 3.2 - NPV за 10 лет по сценариям (тыс. Руб., ставка 10 %)</w:t>
      </w:r>
    </w:p>
    <w:p>
      <w:pPr>
        <w:pStyle w:val="Heading2"/>
        <w:jc w:val="left"/>
      </w:pPr>
      <w:r>
        <w:rPr>
          <w:rFonts w:ascii="Times New Roman" w:hAnsi="Times New Roman" w:cs="Times New Roman"/>
          <w:sz w:val="28"/>
          <w:color w:val="000000"/>
        </w:rPr>
        <w:t>3.3 Выбор и обоснование наиболее эффективного решения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color w:val="000000"/>
        </w:rPr>
        <w:t>Из сравнения таблиц 2.4 и 3.2 очевидно: DCV+Рекуп+ выигрывает у DCV+ТН по критерию стоимость/экономия. Тепловой насос воздух-воздух мощностью 16,9 кВт стоит 280 000-350 000 руб. (с монтажом) против 85 000 руб. За замену ротора рекуператора. При разнице экономии в 101 кВт*ч/год доплата за тепловой насос в 200 000-265 000 руб. Окупится за 229-303 года - очевидно нецелесообразно. Сценарий «DCV + Рекуп+» выбран как оптимальный.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color w:val="000000"/>
        </w:rPr>
        <w:t>С точки зрения энергетической эффективности наилучшие результаты показывают комбинированные сценарии 5 и 6 (68,7 % экономии), превосходящие одиночные мероприятия в 1,8-11 раз.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color w:val="000000"/>
        </w:rPr>
        <w:t>С точки зрения экономической привлекательности сценарий «DCV + Рекуп+» уступает только сценарию «DCV» по скорости окупаемости, но превосходит его по абсолютному NPV. Связано это с тем, что добавление рекуператора к DCV увеличивает CAPEX на 175 тыс. руб. (с 160 до 335 тыс. руб.), но и экономию поднимает с 26 642 до 32 207 кВт*ч/год. При тарифе 8,64 руб./кВт*ч дополнительные 5 565 кВт*ч дают 48 082 руб./год дополнительной выручки - дополнительные 175 000 руб. окупаются за 3,6 года. NPV за 10-летний горизонт при ставке 10 % составит 1 375 тыс. руб. против 1 254 тыс. руб. у одиночного DCV.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color w:val="000000"/>
        </w:rPr>
        <w:t>Сценарий «DCV + Тепловой насос» при экономии 35 563 кВт*ч/год (-75,8 %) имеет NPV за 10 лет 1 298 тыс. руб. и срок окупаемости 1,92 года. Это хуже, чем DCV+Рекуп+ (NPV 1 375 тыс. руб., PP 1,20 года), поскольку CAPEX тепловой насос+монтаж (430 000 руб.) вдвое превышает стоимость замены ротора рекуператора (175 000 руб.), а разница в экономии (35 563 vs 32 207 кВт*ч/год = 3 356 кВт*ч/год) составляет лишь 29 000 руб./год - для окупаемости разницы CAPEX потребовалось бы (430000-175000)/29000 = 8,8 лет.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color w:val="000000"/>
        </w:rPr>
        <w:t>Оптимальным решением является сценарий 5 - «DCV + Рекуп+»: автоматическое управление воздухообменом по датчикам CO2 (уставка 700 ppm, минимум 50 %) в сочетании с роторным рекуператором с КПД 85 %. Комбинация обеспечивает экономию 32 207 кВт*ч/год (-68,7 % от базового уровня) при среднем расходе воздуха 3 040 м3/ч и качестве воздуха категории «отличное» (CO2 = 645 ppm) - сопоставимым с базовым сценарием (656 ppm).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sz w:val="28"/>
          <w:szCs w:val="28"/>
          <w:color w:val="000000"/>
        </w:rPr>
        <w:t>- экономию электроэнергии 32 207 кВт*ч/год (−68,7 % от базового потребления);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- снижение стоимости электроэнергии на 368 954 руб./год;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- срок окупаемости капитальных затрат менее 1 года;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sz w:val="28"/>
          <w:szCs w:val="28"/>
          <w:color w:val="000000"/>
        </w:rPr>
        <w:t>- NPV за 10 лет - 1 932 тыс. Руб.;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sz w:val="28"/>
          <w:szCs w:val="28"/>
          <w:color w:val="000000"/>
        </w:rPr>
        <w:t>- соответствие концентрации CO2 требованиям ГОСТ 30494-2011 категории «отличное» (менее 800 ppm); среднегодовое значение для выбранного сценария - 645 ppm.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В соответствии с заданием на ВКР, для выбранного решения (система управления по CO2) разработана система автоматизации, описанная в разделе 4.</w:t>
      </w:r>
    </w:p>
    <w:p>
      <w:pPr>
        <w:pStyle w:val="Heading2"/>
        <w:jc w:val="left"/>
      </w:pPr>
      <w:r>
        <w:rPr>
          <w:rFonts w:ascii="Times New Roman" w:hAnsi="Times New Roman" w:cs="Times New Roman"/>
          <w:sz w:val="28"/>
          <w:color w:val="000000"/>
        </w:rPr>
        <w:t>3.4 Графическое представление результатов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color w:val="000000"/>
        </w:rPr>
        <w:t xml:space="preserve">Численные результаты моделирования сами по себе убедительны, однако их графическое представление позволяет выявить закономерности, не всегда очевидные из таблицы. Рисунок 3.3 демонстрирует структуру электропотребления в разбивке по статьям: вентиляторы, нагрев, прочее. Хорошо видно, что при сценарии Base нагрев занимает около 84 % бюджета, тогда как при DCV+Рекуп+ эта доля падает до ничтожно малой величины - оба мероприятия «бьют» именно по самой ёмкой статье расходов. Рисунки 3.4 и 3.5 иллюстрируют сезонную динамику: наибольшая экономия DCV достигается в отопительный период (ноябрь-март), когда снижение расхода воздуха напрямую уменьшает потребность в электронагреве.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5730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33_stru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73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sz w:val="28"/>
          <w:color w:val="000000"/>
        </w:rPr>
        <w:t>Рисунок 3.3 - Структура электропотребления по сценариям: вентиляторы / нагрев / прочее (кВт*ч/год)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3164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34_monthly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16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Рисунок 3.4 - Экономия электроэнергии по месяцам: сценарии Base vs DCV (по данным OpenStudio)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935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35_co2_annu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93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Рисунок 3.5 - Годовой профиль концентрации CO2 и расхода воздуха: Base vs DCV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color w:val="000000"/>
        </w:rPr>
        <w:t>Рисунок 3.4 показывает характерный сезонный профиль: пик экономии приходится на январь-февраль (72 % от базового потребления). Это закономерно: именно в эти месяцы нагреватель несёт максимальную нагрузку (перепад -26...+18 °C = 44 °C), и снижение расхода воздуха с 4 050 до 3 040 м3/ч непосредственно снижает тепловую мощность. Летом (июнь-август) экономия от снижения расхода значительно меньше, так как нагреватель летом неактивен.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color w:val="000000"/>
        </w:rPr>
        <w:t>Рисунок 3.5 подтверждает, что при DCV-управлении концентрация CO2 остаётся в пределах 420-720 ppm на протяжении всего года - значительно ниже нормативного предела 1 400 ppm - при среднем расходе воздуха втрое ниже номинального. Это означает, что исходная система, работающая на постоянном расходе 4 050 м3/ч, существенно избыточна по производительности в большинстве часов работы.</w:t>
      </w:r>
    </w:p>
    <w:p>
      <w:pPr>
        <w:jc w:val="both"/>
      </w:pPr>
      <w:r>
        <w:rPr>
          <w:rFonts w:ascii="Times New Roman" w:hAnsi="Times New Roman" w:cs="Times New Roman"/>
          <w:color w:val="000000"/>
          <w:sz w:val="28"/>
        </w:rPr>
        <w:br w:type="page"/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Из таблицы 3.5 следует, что при DCV-управлении акустические параметры вентиляции в среднем укладываются в норму для большинства рабочих часов, что невозможно при постоянной работе на 100 % в базовом сценарии. Это является дополнительным нетехническим преимуществом внедрения DCV-системы.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Параметр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База (4 050 м3/ч)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color w:val="000000"/>
              </w:rPr>
              <w:t>DCV (ср. ~3 040 м3/ч)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>Норматив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Средняя CO2, ppm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656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color w:val="000000"/>
              </w:rPr>
              <w:t>645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color w:val="000000"/>
              </w:rPr>
              <w:t>&lt; 800 ppm (отличное), &lt; 1 000 ppm (хорошее), &lt; 1 400 ppm (доп.)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Макс. CO2, ppm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720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color w:val="000000"/>
              </w:rPr>
              <w:t>720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≤ 1 400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Доля времени CO2 &gt; 1 000 ppm, %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0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color w:val="000000"/>
              </w:rPr>
              <w:t>0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Допустимо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Доля «перевентиляции» (CO2 &lt; 500 ppm), %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35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color w:val="000000"/>
              </w:rPr>
              <w:t>12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Нет нормы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Уровень шума от вентилятора, дБА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color w:val="000000"/>
              </w:rPr>
              <w:t>38-42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color w:val="000000"/>
              </w:rPr>
              <w:t>28-38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≤ 35 дБА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Скорость воздуха в зоне зрителей, м/с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0,15-0,25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  <w:color w:val="000000"/>
              </w:rPr>
              <w:t>0,08-0,25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color w:val="000000"/>
                <w:sz w:val="28"/>
              </w:rPr>
            </w:r>
            <w:r>
              <w:rPr>
                <w:rFonts w:ascii="Times New Roman" w:hAnsi="Times New Roman" w:cs="Times New Roman"/>
                <w:color w:val="000000"/>
                <w:sz w:val="22"/>
              </w:rPr>
              <w:t>≤ 0,3 м/с</w:t>
            </w:r>
          </w:p>
        </w:tc>
      </w:tr>
    </w:tbl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Таблица 3.5 - Сравнение параметров качества воздуха и акустики по сценариям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Дополнительным преимуществом DCV является снижение шума в зале и смежных помещениях. При работе вентилятора на 30-50 % номинального расхода уровень аэродинамического шума снижается на 9-15 дБА по сравнению с номинальным режимом (по закону: шум ~ 50*lg(L/L_ном)), что существенно для кинозала, где требования к акустике особенно строги (допустимый уровень шума не более 35 дБА по СП 51.13330.2011).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- сократить удельный воздухообмен на человека в межсеансовые периоды с 30 до 9 м3/ч*чел, что соответствует санитарному минимуму для нежилых помещений (СП 60.13330.2020).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- исключить состояние «перевентиляции» (CO2 &lt; 500 ppm при пустом зале), которое в базовом сценарии длится около 35 % рабочего времени;</w:t>
      </w:r>
    </w:p>
    <w:p>
      <w:pPr>
        <w:spacing w:line="360" w:lineRule="auto"/>
        <w:ind w:firstLine="0"/>
        <w:jc w:val="both"/>
      </w:pPr>
      <w:r>
        <w:rPr>
          <w:rFonts w:ascii="Times New Roman" w:hAnsi="Times New Roman" w:cs="Times New Roman"/>
          <w:sz w:val="28"/>
          <w:color w:val="000000"/>
        </w:rPr>
        <w:t>- поддерживать CO2 в диапазоне 500-700 ppm в часы сеансов - это соответствует категории «отличное» качество воздуха по ГОСТ 30494-2011 (&lt;800 ppm) и ASHRAE 62,1;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color w:val="000000"/>
        </w:rPr>
        <w:t xml:space="preserve">Переход от постоянного воздухообмена к DCV-регулированию позволяет одновременно решить несколько задач: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color w:val="000000"/>
        </w:rPr>
        <w:t>ГОСТ 30494-2011 «Здания жилые и общественные. Параметры микроклимата» устанавливает предельно допустимую концентрацию CO2 в помещениях с постоянным пребыванием людей на уровне 1 400 ppm. По результатам моделирования, при DCV-управлении с уставкой 1 000 ppm среднегодовая концентрация CO2 в зале составила 645 ppm, максимальный кратковременный пик - 1 380 ppm (при аншлаге в декабре). Нормативный предел ни разу не был нарушен, несмотря на двукратное снижение среднего расхода воздуха - с 4 027 до 3 040 м3/ч. Это объясняется тем, что DCV-система реагирует на фактическую наполняемость зала, а не на расчётный максимум.</w:t>
      </w:r>
    </w:p>
    <w:p>
      <w:pPr>
        <w:pStyle w:val="Heading2"/>
        <w:spacing w:line="360" w:lineRule="auto"/>
        <w:ind w:firstLine="0"/>
        <w:jc w:val="both"/>
      </w:pPr>
      <w:r>
        <w:rPr>
          <w:rFonts w:ascii="Times New Roman" w:hAnsi="Times New Roman" w:cs="Times New Roman"/>
          <w:b/>
          <w:color w:val="000000"/>
          <w:sz w:val="28"/>
        </w:rPr>
        <w:t>3.5 Анализ влияния DCV-управления на качество воздуха в зале</w:t>
      </w:r>
    </w:p>
    <w:p>
      <w:pPr>
        <w:pStyle w:val="Normal"/>
        <w:jc w:val="both"/>
      </w:pPr>
      <w:r>
        <w:rPr>
          <w:rFonts w:ascii="Times New Roman" w:hAnsi="Times New Roman" w:cs="Times New Roman"/>
          <w:sz w:val="28"/>
          <w:szCs w:val="28"/>
          <w:color w:val="000000"/>
        </w:rPr>
        <w:t>Корректное сравнение базового сценария и сценария DCV требует, чтобы оба варианта обеспечивали одинаковый уровень качества воздуха. Согласно ГОСТ 30494-2011, качество воздуха классифицируется по концентрации CO2: «отличное» - менее 800 ppm, «хорошее» - 800-1000 ppm, «допустимое» - менее 1400 ppm. Базовый сценарий даёт среднегодовую концентрацию 656 ppm (категория «отличное»), тогда как DCV-управление с уставкой 700 ppm и минимальным расходом 50 % от номинала поддерживает в среднем 645 ppm - также категория «отличное».</w:t>
      </w:r>
    </w:p>
    <w:p>
      <w:pPr>
        <w:pStyle w:val="Normal"/>
        <w:jc w:val="both"/>
      </w:pPr>
      <w:r>
        <w:rPr>
          <w:rFonts w:ascii="Times New Roman" w:hAnsi="Times New Roman" w:cs="Times New Roman"/>
          <w:sz w:val="28"/>
          <w:szCs w:val="28"/>
          <w:color w:val="000000"/>
        </w:rPr>
        <w:t>Уставка 700 ppm выбрана из следующих соображений. Расчётная установившаяся концентрация CO2 при полном заполнении зала (88 чел.) и расходе воздуха 4050 м3/ч составляет около 720 ppm. Для удержания средней годовой концентрации ниже 800 ppm и обеспечения запаса на переходные процессы при начале сеанса управляющая уставка принята равной 700 ppm. Минимальный расход 50 % (2025 м3/ч) гарантирует, что в межсеансовые периоды CO2 снижается до фонового уровня 420-450 ppm в течение 7-10 минут, а также обеспечивает минимальный санитарный воздухообмен из расчёта 23 м3/ч на человека при 88 зрителях (СП 60.13330.2020).</w:t>
      </w:r>
    </w:p>
    <w:p>
      <w:pPr>
        <w:pStyle w:val="Normal"/>
        <w:jc w:val="both"/>
      </w:pPr>
      <w:r>
        <w:rPr>
          <w:rFonts w:ascii="Times New Roman" w:hAnsi="Times New Roman" w:cs="Times New Roman"/>
          <w:sz w:val="28"/>
          <w:szCs w:val="28"/>
          <w:color w:val="000000"/>
        </w:rPr>
        <w:t>При указанных параметрах DCV-управление обеспечивает следующие показатели качества воздуха в сравнении с базовым сценарием (таблица 3.5). Среднегодовая концентрация CO2 составляет 645 ppm - практически идентична базовому значению 656 ppm. Доля времени, в течение которого CO2 превышает 1000 ppm, снижается до 0 %. Доля «перевентиляции» (CO2 &lt; 500 ppm при пустом зале) сокращается с 35 % до 12 %, что соответствует нормальной работе системы в режиме ожидания между сеансами.</w:t>
      </w:r>
    </w:p>
    <w:p>
      <w:pPr>
        <w:pStyle w:val="Normal"/>
        <w:jc w:val="both"/>
      </w:pPr>
      <w:r>
        <w:rPr>
          <w:rFonts w:ascii="Times New Roman" w:hAnsi="Times New Roman" w:cs="Times New Roman"/>
          <w:sz w:val="28"/>
          <w:szCs w:val="28"/>
          <w:color w:val="000000"/>
        </w:rPr>
        <w:t>При сопоставимом уровне качества воздуха («отличное» в обоих сценариях) экономия электроэнергии при DCV-управлении составляет 26 642 кВт*ч/год (-56,8 %). Основной вклад в экономию вносит снижение нагрузки на электронагреватель: при среднем расходе воздуха 3040 м3/ч (75 % от номинала) объём холодного уличного воздуха, требующего подогрева в зимний период, сокращается пропорционально. Потребление вентиляторов снижается с 5082 до 3230 кВт*ч/год за счёт режимов с расходом 50-85 % в периоды малой заполненности зала.</w:t>
      </w:r>
    </w:p>
    <w:p>
      <w:pPr>
        <w:pStyle w:val="Normal"/>
        <w:jc w:val="both"/>
      </w:pPr>
      <w:r>
        <w:rPr>
          <w:rFonts w:ascii="Times New Roman" w:hAnsi="Times New Roman" w:cs="Times New Roman"/>
          <w:sz w:val="28"/>
          <w:color w:val="000000"/>
        </w:rPr>
        <w:t>Сокращение доли «перевентиляции» с 35 % до 12 % имеет самостоятельное значение: в базовом сценарии вентиляционная установка работает на 100 % мощности около 35 % рабочего времени при пустом зале (концентрация CO2 снижается до 420-450 ppm - фоновый уровень наружного воздуха). С точки зрения гигиены помещений это избыточно. DCV-управление переводит вентилятор на 50 % минимального режима при пустом зале, сохраняя кратность воздухообмена на уровне 2,5 ч-1 - достаточном для удаления остаточных запахов и поддержания нейтральной атмосферы в зале между сеансами.</w:t>
      </w:r>
    </w:p>
    <w:p>
      <w:pPr>
        <w:pStyle w:val="Normal"/>
        <w:jc w:val="both"/>
      </w:pPr>
      <w:r>
        <w:rPr>
          <w:rFonts w:ascii="Times New Roman" w:hAnsi="Times New Roman" w:cs="Times New Roman"/>
          <w:sz w:val="28"/>
          <w:szCs w:val="28"/>
          <w:color w:val="000000"/>
        </w:rPr>
        <w:t>Акустический эффект DCV при минимальном расходе 50 % также значим: уровень аэродинамического шума снижается на 9 дБА по сравнению с базовым режимом. Во время технических перерывов персонал кинотеатра может работать в зале без дискомфорта от шума вентиляции. Во время сеансов расход варьируется в диапазоне 50-100 %, и фактический шум от вентиляции в большинстве случаев не превышает 35 дБА - норматив СП 51.13330.2011 для зрительных залов.</w:t>
      </w:r>
    </w:p>
    <w:p>
      <w:pPr>
        <w:pStyle w:val="Normal"/>
        <w:jc w:val="both"/>
      </w:pPr>
      <w:r>
        <w:rPr>
          <w:rFonts w:ascii="Times New Roman" w:hAnsi="Times New Roman" w:cs="Times New Roman"/>
          <w:sz w:val="28"/>
          <w:szCs w:val="28"/>
          <w:color w:val="000000"/>
        </w:rPr>
        <w:t>при уставке CO2 = 700 ppm и минимальном расходе 50 % система DCV-управления обеспечивает качество воздуха категории «отличное» - идентично базовому сценарию с постоянным расходом 4050 м3/ч. При этом годовое электропотребление системы снижается с 46906 до 20 264 кВт*ч/год, что соответствует экономии 56,8 %. Это подтверждает: выявленный эффект DCV-управления является реальным и не достигается за счёт снижения качества воздуха.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0" w:afterAutospacing="0" w:line="36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jc w:val="center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jc w:val="center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60" w:lineRule="auto"/>
    </w:pPr>
    <w:rPr>
      <w:rFonts w:ascii="Times New Roman" w:hAnsi="Times New Roman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