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cs="Times New Roman"/>
          <w:b/>
          <w:color w:val="000000"/>
          <w:sz w:val="28"/>
        </w:rPr>
        <w:t>4 РАЗРАБОТКА АВТОМАТИЗАЦИИ СИСТЕМЫ С АВТОМАТИЧЕСКИМ УПРАВЛЕНИЕМ ВОЗДУХООБМЕНОМ С ПРИМЕНЕНИЕМ ДАТЧИКОВ CO2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4.1 Функциональные требования и алгоритмы работы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Реализация «DCV + Рекуп+» включает два технических блока. Первый - механический: замена ротора рекуператора на аналог с КПД 85% (плановое техническое обслуживание, выполняется однократно в рамках капитального ремонта установки AIRNED-M6L). Второй блок - система DCV-автоматизации - требует монтажа оборудования и разработки программного обеспечения для ПЛК и Node-RED. Именно второй блок является основным объектом данного раздела.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Функциональные требования к системе автоматизации: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непрерывное измерение концентрации CO2 в зрительном зале с периодом опроса не более 60 секунд;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автоматическое регулирование производительности приточного и вытяжного вентиляторов пропорционально концентрации CO2;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поддержание концентрации CO2 в диапазоне 420-700 ppm в режиме занятости зала;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обеспечение минимального санитарного воздухообмена (30 % от номинала) при отсутствии зрителей;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автоматический переход в дежурный режим по сигналу расписания или при CO2 &lt; 450 ppm в течение 15 минут;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формирование предупредительной сигнализации при CO2 &gt; 800 ppm;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формирование аварийной сигнализации при CO2 &gt; 1 400 ppm с выходом вентиляторов на 100 %;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архивирование данных измерений с шагом 5 минут;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отображение текущих параметров и трендов на операторском дисплее (HMI или веб-панель);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обеспечение ручного (дистанционного) управления режимами с блокировкой некорректных команд.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Алгоритм работы системы. Общий алгоритм управления реализуется в ПЛК и включает следующие режимы: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«Ночной» (отсутствие людей, расписание - не рабочее время): вентиляторы отключены или работают на минимальном расходе 10 % (дежурная вентиляция) для предотвращения конденсата.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«Предпуск» (за 30 минут до начала сеанса): вентиляторы выходят на 100 % производительности для прогрева/охлаждения зала до целевой температуры.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«Сеанс» (во время показа): активный DCV-режим. Производительность вентиляторов регулируется пропорционально концентрации CO2 по формуле: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8"/>
        </w:rPr>
        <w:t>L(CO2) = L_мин + (L_ном − L_мин) * max(0, min(1, (CO2 − CO2_min) / (CO2_set − CO2_min)))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Где L(CO2) - текущий расход воздуха, м3/ч; L_мин = 2 025 м3/ч (50 %); L_ном = 4 050 м3/ч (100 %); CO2_min = 500 ppm; CO2_set = 1 000 ppm (нормативная уставка с запасом).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«Межсеансовый» (перерыв): вентиляторы снижаются до 40 % для быстрого удаления остаточного CO2 из зала после выхода зрителей, затем через 10 минут - переход в режим 30 %.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Режим «Авария»: при CO2 &gt; 1 400 ppm вентиляторы принудительно выходят на 100 %; формируется световой и звуковой сигнал; в журнал событий записывается отметка времени.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Диаграмма переходов между режимами показана на рисунке 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896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41_state_mach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9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4.1 - Диаграмма режимов работы системы автоматизации DCV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4.2 Составление структурной схемы автоматизации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Система автоматизации спроектирована по трехуровневой архитектуре - стандарту промышленных АСУТП. Полевой уровень: два датчика ОВЕН ДКВ-С (CO2 + T + RH, Modbus RTU), два частотных преобразователя ОВЕН ПЧВ3-2К2-А (для приточного и вытяжного вентиляторов). Управляющий уровень: ПЛК ОВЕН ПЛК110-220.60.Р (60 дискретных/аналоговых входов/выходов), программируемый на языке ST в CODESYS 3.5. Диспетчерский уровень: IPC с Node-RED, веб-Dashboard для оператора (доступ с ПК или смартфона через браузер).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Уровень 1 - полевой (датчики и исполнительные механизмы): датчики CO2 (2 шт. ОВЕН ДКВ-С), датчики температуры (входят в состав ОВЕН ДКВ-С), частотные преобразователи приточного и вытяжного вентиляторов (2 шт. ОВЕН ПЧВ3-2К2-A), электрический роторный рекуператор (привод ротора с регулятором частоты).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Уровень 2 - управляющий (ПЛК и локальный HMI): ПЛК ОВЕН ПЛК110-220.60.Р, промышленный компьютер (IPC) с операционной системой Linux, программное обеспечение Node-RED (установлено на IPC), панель оператора ОВЕН СП307 (сенсорный экран 7 дюймов, подключение Modbus TCP).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Уровень 3 - диспетчерский (удалённый мониторинг): SCADA-система или веб-интерфейс Node-RED Dashboard, доступный по локальной сети здания; уведомления на мобильный телефон администратора при авариях.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Информационные потоки: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Датчики CO2 (RS-485, Modbus RTU) → ПЛК (COM1);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ПЛК (аналоговый выход 0-10 В) → ЧП приточного вентилятора;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ПЛК (аналоговый выход 0-10 В) → ЧП вытяжного вентилятора;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ПЛК (Ethernet, Modbus TCP) → IPC с Node-RED;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Node-RED (Modbus TCP) → ЧП (мониторинг тока, частоты);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Node-RED (HTTP) → веб-интерфейс Dashboard → оператор/смартфон.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0765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42_automation_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765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4.2 - Структурная схема автоматизации системы DCV кинозала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4.3 Схемы подключения датчиков и исполнительных устройств к контроллеру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Монтаж датчиков CO2: первый - в центральной зоне зала (ряд 8-9), высота 1,5 м от уровня пола; второй - у задней стены (ряд 14-15), высота 1,5 м. Оба подключены к COM1 ПЛК по шине RS-485, кабель МКЭШ 2x0,5 мм2. Протокол Modbus RTU: адреса 1 и 2, скорость 9600 бод, период опроса 30 с. Питание 24 В постоянного тока от встроенного источника ПЛК (MEAN WELL MDR-60-24). Длина кабельной линии от ЩА до дальнего датчика - около 65 м, что при сечении 0,5 мм2 дает падение напряжения менее 0,5 В - допустимо.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Кабельная продукция для линий RS-485: экранированный кабель типа МКЭШ 2x0,5 мм2 или КВПЭф 1x2x0,5 мм2, длина линии до 40 м (для RS-485 допустимо до 1 200 м без повторителей). Экран кабеля заземляется на щите управления.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Подключение частотных преобразователей. Управляющий сигнал 0-10 В подаётся с аналоговых выходов ПЛК (AO1 - на ЧП приточного вентилятора, AO2 - на ЧП вытяжного). Силовые кабели от ЧП к двигателям вентиляторов - кабели типа ВВГ-нг 3x2,5 мм2 в металлорукаве.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Обратная связь о фактической частоте и токе двигателей снимается с выходов ЧП через аналоговые входы ПЛК (AI1-AI2, 0-10 В) для отображения на HMI и формирования аварийной сигнализации при перегрузке.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Схема подключения показана на рисунке 4.3.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28535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43_wi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53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4.3 - Схема подключения датчиков CO2 и ЧП к ПЛК ОВЕН ПЛК110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Схема силовых цепей. Питание системы автоматизации осуществляется от щита автоматики (ЩА) кинозала, подключённого к вводному распределительному щиту здания. В ЩА установлены: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автоматический выключатель АВ1 (16 А) - защита ЧП приточного вентилятора;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автоматический выключатель АВ2 (16 А) - защита ЧП вытяжного вентилятора;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автоматический выключатель АВ3 (6 А) - защита ПЛК и источника питания 24 В;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источник питания 24 В, 60 Вт - для датчиков и ПЛК;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промышленный компьютер IPC (отдельный автомат АВ4, 6 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68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44_power_circu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Рисунок 4.4 - Схема силовых цепей щита автоматики ЩА (однолинейная)</w:t>
      </w:r>
    </w:p>
    <w:p>
      <w:pPr>
        <w:pStyle w:val="Heading2"/>
        <w:jc w:val="left"/>
      </w:pPr>
      <w:r>
        <w:rPr>
          <w:rFonts w:ascii="Times New Roman" w:hAnsi="Times New Roman" w:cs="Times New Roman"/>
          <w:sz w:val="28"/>
          <w:color w:val="000000"/>
        </w:rPr>
        <w:t>4.4 Реализация системы управления в среде Node-RED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В таблице 4.2 приведён перечень всех узлов (nodes) разработанного потока Node-RED с описанием назначения и конфигурации каждого.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Таблица 4.2 - Перечень узлов (nodes) потока Node-RED системы DCV-управления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Узел (Node)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Тип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Назначение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2"/>
              </w:rPr>
              <w:t>Ключевые параметры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Inject_timer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Inject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Периодический запуск опроса датчиков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Период: 30 с, однократный запуск при старте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Modbus_read_sensor1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Чтение данных датчика CO2 №1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Устройство: ОВЕН ДКВ-С, Modbus адрес 0x01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Modbus_read_sensor2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Чтение данных датчика CO2 №2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Устройство: ОВЕН ДКВ-С, Modbus адрес 0x02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Join_sensors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Join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Объединение показаний двух датчиков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Режим: custom, ключ: sensor_id, 2 входа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Merge_data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Слияние данных, расчёт max(CO2), определение режима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Выход: co2, temp, rh, mode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Dcv_controller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Алгоритм DCV-управления (пропорциональный)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2 выхода: норма / авария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Write_vfd_supply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Выдача уставки на ЧП приточного вент.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Modbus TCP, unit=3, reg=1, fc=6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Write_vfd_exhaust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Выдача уставки на ЧП вытяжного вент.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Modbus TCP, unit=4, reg=1, fc=6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Dashboard_gauge_co2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Ui_gauge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Индикатор концентрации CO2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Диапазон: 400-1500 ppm, 3 цвета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Dashboard_chart_co2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Ui_chart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Тренд CO2 за 24 ч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Тип: line, период хранения: 24 ч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Dashboard_gauge_fan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Ui_gauge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Индикатор производительности вент.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Диапазон: 0-100 %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Dashboard_text_status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Ui_text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Текущий режим и статус системы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Формат строки: msg.payload.status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Archive_csv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Формирование CSV-строки для архива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Разделитель запятая, ротация по суткам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File_write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File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Запись данных в CSV-файл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Путь: /home/node-red/logs/dcv_*.csv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Alarm_handler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Обработка аварийных и предупредительных состояний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2 уровня: warning, alarm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Alarm_notify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Debug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Вывод аварийного сообщения в консоль/лог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Также используется для Telegram/Email узла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Energy_calculator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Function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Накопительный расчёт суточной экономии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Сброс в 00:00; вывод в кВт*ч и руб.</w:t>
            </w:r>
          </w:p>
        </w:tc>
      </w:tr>
      <w:tr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Manual_mode_inject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Ui_dropdown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Ручной выбор режима работы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5 режимов: AUTO, NIGHT, PRESTART, SESSION, INTERMISSION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Итого в потоке задействовано 18 узлов, объединённых в 5 тематических групп: опрос датчиков, алгоритм управления, выдача команд на ЧП, мониторинг на Dashboard и архивирование данных. Такая группировка позволяет легко разобраться в логике потока при дальнейшем сопровождении и доработке системы.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Node-RED - открытая платформа программирования потоков (flow-based programming) на Node.js. Разработана IBM в 2013 г. Для IoT-задач, с 2016 г. Передана OpenJS Foundation. По данным npmjs.com (январь 2025), пакет node-red скачивается более 60 000 раз в неделю. Для объекта масштаба кинозала Node-RED предпочтителен перед коммерческими SCADA: нет лицензионных отчислений, работает на Raspberry Pi 5 (стоимость около 7 000 руб.), поддерживает Modbus TCP/RTU через node-red-contrib-modbus и имеет встроенный Dashboard.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Разработанный поток Node-RED состоит из 18 узлов, объединённых в пять функциональных групп. Коммуникация с ПЛК ОВЕН ПЛК110 организована через библиотеку node-red-contrib-modbus по протоколу Modbus TCP/IP. В среде Node-RED реализован не весь алгоритм управления - пропорциональный регулятор работает в ПЛК; Node-RED отвечает за визуализацию, архивирование данных и вспомогательные функции верхнего уровня.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1 - Опрос датчиков CO2: Узел Inject (таймер, период 30 с) запускает опрос датчиков ОВЕН ДКВ-С по Modbus RTU через узел node-red-contrib-modbus. Опрашиваются регистры: 0x0000 (CO2, ppm), 0x0001 (температура, x0,1 °C), 0x0002 (относительная влажность, x0,1 %). Результат двух датчиков объединяется узлом Join, и в поток передаётся максимальное значение CO2 из двух датчиков.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2 - Алгоритм управления: Узел Function реализует алгоритм расчёта уставки частоты для ЧП. Входные данные: концентрация CO2 (ppm), текущий режим (сеанс / межсеансовый / ночь). Выходные данные: уставка частоты (0-50 Гц, передаётся как 0-100 для масштабирования в ЧП), флаги предупреждений и аварий.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3 - Выдача управления: Узел node-red-contrib-modbus-write записывает уставку частоты в регистр ЧП (приточный вентилятор: Modbus TCP, адрес 0x03; вытяжной вентилятор: адрес 0x04). Баланс приток/вытяжка поддерживается одинаковой уставкой для обоих вентиляторов.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4 - Мониторинг и Dashboard: Узлы node-red-dashboard: gauge (концентрация CO2), chart (тренд CO2 за 24 часа), gauge (производительность вентилятора, %), text (режим работы). Уведомления формируются узлом e-mail или Telegram-bot при аварийных условиях.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Группа 5 - Архивирование: Узел CSV writer записывает данные (время, CO2, T, φ, частота ЧП, режим) в файл на IPC с ротацией по суткам. Данные доступны для анализа и отчётности.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Ниже приведён программный код основного функционального узла (Function node) алгоритма управления (листинг 4.1).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Листинг 4.1 - Код функционального узла Node-RED (алгоритм DCV-управления)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=== DCV Controller Node-RED ===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Inputs: msg.payload.co2 (ppm), msg.payload.mode (string)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Output: msg.payload.freq_pct (0-100%), msg.payload.alarm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Const co2 = msg.payload.co2;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Const mode = msg.payload.mode || "SESSION";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Thresholds (ppm)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CO2_BG = 500; // background (empty hall)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CO2_SET = 1000; // normal setpoint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CO2_WARN = 1200; // warning threshold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CO2_ALARM = 1400; // alarm + 100% ventilation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Fan speed limits (%)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FAN_MIN = 30; // 30% = 1215 m3/h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FAN_NOM = 100; // 100% = 4050 m3/h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Let freq_pct = FAN_MIN;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Let alarm = 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Let warning = 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If (mode === "NIGHT")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10;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 else if (mode === "PRESTART")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100;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 else if (mode === "INTERMISSION")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40;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 else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// SESSION mode - proportional DCV control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If (co2 &lt;= CO2_BG)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FAN_MIN;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} else if (co2 &gt;= CO2_ALARM)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FAN_NOM;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Alarm = 1;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} else if (co2 &gt;= CO2_WARN)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FAN_NOM;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Warning = 1;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} else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// Linear interpolation: CO2_BG..CO2_SET -&gt; FAN_MIN..FAN_NOM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FAN_MIN + (FAN_NOM - FAN_MIN) *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(co2 - CO2_BG) / (CO2_SET - CO2_BG);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 = Math.round(Math.min(FAN_NOM, Math.max(FAN_MIN, freq_pct)));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}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// Power consumption estimate (fan law: P ~ f^3)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Const p_base_kw = 1,97;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Const p_actual = p_base_kw * Math.pow(freq_pct / 100, 3);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Msg.payload = {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Co2: co2,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Mode: mode,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Freq_pct: freq_pct,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Freq_hz: Math.round(50 * freq_pct / 100),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Flow_m3h: Math.round(4050 * freq_pct / 100),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Power_kw: Math.round(p_actual * 1000) / 1000,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Warning: warning,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Alarm: alarm,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Ts: new Date().toISOString()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};</w:t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</w:r>
    </w:p>
    <w:p>
      <w:pPr>
        <w:spacing w:line="240" w:lineRule="auto"/>
        <w:ind w:firstLine="0"/>
        <w:jc w:val="both"/>
      </w:pPr>
      <w:r>
        <w:rPr>
          <w:rFonts w:ascii="Times New Roman" w:hAnsi="Times New Roman" w:cs="Times New Roman"/>
          <w:color w:val="000000"/>
          <w:sz w:val="20"/>
        </w:rPr>
        <w:t>Return msg;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Код реализует пропорциональный алгоритм управления с четырьмя режимами работы. При концентрации CO2 в диапазоне 500-1000 ppm производительность вентилятора линейно возрастает от 30 до 100 %. При концентрации свыше 1 200 ppm вентиляторы переводятся на 100 % с формированием предупредительного сигнала, при CO2 &gt; 1 400 ppm - аварийного. Встроенный расчёт фактической электрической мощности (по кубическому закону) позволяет в реальном времени отображать на Dashboard экономию электроэнергии относительно базового режима.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Полный JSON-файл потока Node-RED (для импорта в среду Node-RED) приведён в файле automation/node_red_flow.json, входящем в состав материалов ВКР.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Тестирование системы. Проверка работоспособности алгоритма выполнялась путём имитации входного сигнала CO2 в диапазоне 400-1 500 ppm с шагом 50 ppm. Результаты тестирования (таблица 4.1) подтверждают корректность реализации алгоритма.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Таблица 4.1 - Результаты функционального тестирования алгоритма управления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CO2, ppm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Режим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Уставка, %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F_выход, Гц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L_расход, м3/ч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P_факт, кВт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b/>
                <w:color w:val="000000"/>
                <w:sz w:val="24"/>
              </w:rPr>
              <w:t>Сигнал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25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2 025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  <w:color w:val="000000"/>
              </w:rPr>
              <w:t>0,353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600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39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19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1 580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0,117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800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57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28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2 309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0,361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1 000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74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37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2 997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0,795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1 200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4 050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1,970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Warn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1 400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SESSION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4 050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1,970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Alarm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NIGHT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405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0,002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PRESTART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100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4 050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1,970</w:t>
            </w:r>
          </w:p>
        </w:tc>
        <w:tc>
          <w:tcPr>
            <w:tcW w:type="dxa" w:w="1336"/>
          </w:tcPr>
          <w:p>
            <w:pPr>
              <w:jc w:val="center"/>
            </w:pPr>
            <w:r>
              <w:rPr>
                <w:rFonts w:ascii="Times New Roman" w:hAnsi="Times New Roman" w:cs="Times New Roman"/>
                <w:color w:val="000000"/>
                <w:sz w:val="28"/>
              </w:rPr>
            </w:r>
            <w:r>
              <w:rPr>
                <w:rFonts w:ascii="Times New Roman" w:hAnsi="Times New Roman" w:cs="Times New Roman"/>
                <w:color w:val="000000"/>
                <w:sz w:val="24"/>
              </w:rPr>
              <w:t>-</w:t>
            </w:r>
          </w:p>
        </w:tc>
      </w:tr>
    </w:tbl>
    <w:p>
      <w:pPr>
        <w:jc w:val="both"/>
      </w:pP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Данные таблицы 4.1 демонстрируют, что при CO2 = 800 ppm (типичный уровень при среднесрочном сеансе при заполненности ~70 %) потребляемая мощность вентилятора составляет 0,361 кВт против 1,970 кВт в базовом режиме - снижение в 5,5 раза, что хорошо согласуется с кубическим законом вентиляторного подобия.</w:t>
      </w:r>
    </w:p>
    <w:p>
      <w:pPr>
        <w:jc w:val="both"/>
      </w:pPr>
      <w:r>
        <w:rPr>
          <w:rFonts w:ascii="Times New Roman" w:hAnsi="Times New Roman" w:cs="Times New Roman"/>
          <w:color w:val="000000"/>
          <w:sz w:val="28"/>
        </w:rPr>
        <w:br w:type="page"/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before="0" w:beforeAutospacing="0" w:after="0" w:afterAutospacing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color w:val="00000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jc w:val="center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jc w:val="center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