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cs="Times New Roman"/>
          <w:b/>
          <w:color w:val="000000"/>
          <w:sz w:val="28"/>
        </w:rP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 ходе работы удалось решить все задачи, сформулированные во введении. Ниже приведены основные результаты и выводы.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Теоретический анализ (раздел 1) показал: в крупных общественных зданиях до 40-60 % потребляемой электроэнергии приходится на системы вентиляции и кондиционирования. Для кинозалов с непостоянной наполняемостью работа приточно-вытяжной установки на постоянном максимальном расходе означает систематическую «переветиляцию» пустого или полупустого зала и, как следствие, нерациональный расход электроэнергии на нагрев и привод вентиляторов.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Объект исследования - кинозал на 135 мест в СПб ГБУК «Петербург-кино» - характеризуется суммарным электропотреблением 46 906 кВт*ч/год в базовом режиме, из которых 84 % составляют затраты на нагрев приточного воздуха. Это типичная ситуация для кинотеатров советской постройки, где системы вентиляции проектировались без учёта современных технологий энергосбережения.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Промоделированы шесть сценариев работы системы вентиляции. Результаты моделирования (раздел 2) показали: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внедрение роторного рекуператора повышенной эффективности (КПД 85 %) снижает электропотребление на 31,3 % (14 670 кВт*ч/год);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- установка теплового насоса «воздух-воздух» (COP = 2,59) снижает электропотребление на 50,9 % (23 870 кВт*ч/год);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- система DCV с управлением по CO2 в одиночном применении снижает электропотребление на 56,8 % (26 642 кВт*ч/год) за счёт сокращения объёма вентилируемого воздуха;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- комбинированные решения (DCV + Рекуп+ и DCV + ТН) обеспечивают максимальную экономию 68,7-75,8 % (32 207 и 35 563 кВт*ч/год соответственно) за счёт синергетического взаимодействия механизмов.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color w:val="000000"/>
        </w:rPr>
        <w:t>Экономический анализ (раздел 3) убедительно подтвердил: из всех рассмотренных вариантов наиболее выгодной является связка «DCV + Рекуп+». При капитальных затратах 335 тыс. Руб. И годовой экономии около 369 тыс. Руб. Срок окупаемости составляет менее одного года - редкий результат для проектов энергоэффективности. NPV за расчётный период 10 лет превышает 1,9 млн руб., IRR ~ 110 %.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 разделе 4 для выбранного решения разработана полноценная система автоматизации: составлена структурная схема, подобраны серийные компоненты ОВЕН (ДКВ-С, ПЛК110, ПЧВ3), разработан программный поток в Node-RED с пропорциональным алгоритмом управления по CO2, Dashboard-панелью и архивированием данных в формате CSV. Поток протестирован имитацией входных данных с воспроизведением нескольких критических режимов.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Практическая ценность работы - не только в конкретных цифрах экономии, но и в воспроизводимости подхода. Методика моделирования в OpenStudio, алгоритм выбора оптимального сценария и программный код Node-RED применимы к любому кинозалу с аналогичной системой вентиляции - достаточно обновить климатический файл EPW и параметры оборудования.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 качестве перспективных направлений дальнейшего развития работы можно назвать внедрение алгоритма предиктивного управления (MPC), учитывающего расписание сеансов и прогноз погоды, а также интеграцию системы с учётом тепловой инерции зала. Кроме того, интерес представляет распространение методики на другие залы кинотеатра, которые имеют схожую структуру, но отличаются вместимостью и режимом загрузки.</w:t>
      </w:r>
    </w:p>
    <w:p>
      <w:pPr>
        <w:jc w:val="both"/>
      </w:pPr>
      <w:r>
        <w:rPr>
          <w:rFonts w:ascii="Times New Roman" w:hAnsi="Times New Roman" w:cs="Times New Roman"/>
          <w:color w:val="000000"/>
          <w:sz w:val="28"/>
        </w:rPr>
        <w:br w:type="page"/>
      </w:r>
    </w:p>
    <w:p>
      <w:pPr>
        <w:pStyle w:val="Heading1"/>
        <w:jc w:val="center"/>
      </w:pPr>
      <w:r>
        <w:rPr>
          <w:rFonts w:ascii="Times New Roman" w:hAnsi="Times New Roman" w:cs="Times New Roman"/>
          <w:b/>
          <w:color w:val="000000"/>
          <w:sz w:val="28"/>
        </w:rPr>
        <w:t>СПИСОК ИСПОЛЬЗУЕМЫХ ИСТОЧНИКОВ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1. СП 60.13330.2020 Отопление, вентиляция и кондиционирование воздуха. Актуализированная редакция СНиП 41-01-2003. - М.: Минстрой России, 2020.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2. СП 118.13330.2012 Общественные здания и сооружения. Актуализированная редакция СНиП 31-06-2009. - М.: Минрегион России, 2012.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3. СП 131.13330.2020 Строительная климатология. Актуализированная редакция СНиП 23-01-99*. - М.: Минстрой России, 2020.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4. Проектная документация (стадия Р). Кинотеатр. Раздел ИОС «Отопление, вентиляция и кондиционирование воздуха» (шифр 2017/23-ИОС4-О). ООО «АБИ 1». - СПб, 2017.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5. Проектная документация (стадия Р). Кинотеатр. Раздел ИОС «Тепломеханические решения» (шифр 2017/23-ИОС4-ТМ). ООО «АБИ 1». - СПб, 2017.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6. ГОСТ 30494-2011 Здания жилые и общественные. Параметры микроклимата в помещениях. - М.: Стандартинформ, 2013.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7. Федеральный закон № 261-ФЗ от 23.11.2009 «Об энергосбережении и о повышении энергетической эффективности». - М.: Государственная Дума РФ, 2009.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8. Almatared M., Abuhussain M., Andleeb Z., Bashir F. (2025) Adaptive reinforcement learning algorithm for real-time energy optimization in building digital twins with heterogeneous IoT sensor networks. Automation in Construction, 182, 106714.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9. Tarragona J., Gangolells M., Casals M. (2024) Model predictive control for managing indoor air quality levels in buildings. Energy Reports, 12, 787-801.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10. Lu X., Pang Z., Fu Y., O'Neill Z. (2022) The nexus of the indoor CO2 concentration and ventilation demands underlying CO2-based demand-controlled ventilation in commercial buildings: A critical review. Building and Environment, 218, 109116.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11. Taheri S., Amiri A., Razban A. (2024) Real-world implementation of a cloud-based MPC for HVAC control in educational buildings. Energy Conversion and Management, 305, 118270.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12. Yu L., Qin S., Zhang M., Shen C., Jiang T., Guan X. (2021) A Review of Deep Reinforcement Learning for Smart Building Energy Management. IEEE Internet of Things Journal, 8, 12046-12063.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13. Khabbazi A. Et al. (2025) Lessons learned from field demonstrations of model predictive control and reinforcement learning for residential and commercial HVAC: A review. Applied Energy, 399, 126459.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14. Song G., Ai Z., Liu Z., Zhang G. (2022) A systematic literature review on smart and personalized ventilation using CO2 concentration monitoring and control. Energy Reports, 8, 7523-7536.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15. Bae K., Choi E., Choi Y., Yun J., Yun G., Moon H., Moon J. (2025) Real-time ventilation control for indoor CO2 management using occupant information. Building and Environment, 285, 113568.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16. Taheri S., Razban A. (2021) Learning-based CO2 concentration prediction: Application to indoor air quality control using demand-controlled ventilation. Building and Environment, 205, 108164.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szCs w:val="28"/>
          <w:color w:val="000000"/>
        </w:rPr>
        <w:t>17. Kim J. Et al. (2025) CO2 concentration prediction in office spaces using physics-informed neural network. Building and Environment, 288, 114035.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18. Каталог секций вентиляционных установок AIRNED-M. ООО «НЭД». - Технический каталог, 2022.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19. ОВЕН ДКВ-С. Датчик концентрации CO2, температуры и влажности. Руководство по эксплуатации. - М.: ОВЕН, 2023.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sz w:val="28"/>
          <w:color w:val="000000"/>
        </w:rPr>
        <w:t>20. ОВЕН ПЛК110-220.60.Р. Программируемый логический контроллер. Руководство по эксплуатации. - М.: ОВЕН, 2024.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21. ОВЕН ПЧВ3-2К2-A. Частотный преобразователь. Руководство по эксплуатации. - М.: ОВЕН, 2024.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22. Комитет по тарифам Санкт-Петербурга. Тарифы на электрическую энергию для потребителей Санкт-Петербурга на 2025-2026 годы. - Официальный портал Администрации СПб, 2024.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23. Node-RED User Guide. OpenJS Foundation. - Режим доступа: https://nodered.org/docs/ (дата обращения: 02.03.2025).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24. EnergyPlus Engineering Reference. U.S. Department of Energy, 2024. - Режим доступа: https://energyplus.net/documentation (дата обращения: 02.03.2025).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/>
          <w:b w:val="0"/>
          <w:color w:val="000000"/>
          <w:sz w:val="28"/>
        </w:rPr>
        <w:t>25. OpenStudio SDK User Manual. NREL, 2024. - Режим доступа: https://openstudio-sdk-documentation.s3.amazonaws.com/index.html (дата обращения: 02.03.2025).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0" w:beforeAutospacing="0" w:after="0" w:afterAutospacing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jc w:val="center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