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4="http://schemas.openxmlformats.org/drawingml/2006/main" xmlns:ns5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">
  <w:body>
    <w:p>
      <w:pPr>
        <w:pStyle w:val="Рубрика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РАЗРАБОТКА АВТОМАТИЗАЦИИ СИСТЕМЫ С АВТОМАТИЧЕСКИМ УПРАВЛЕНИЕМ ВОЗДУХООБМЕНОМ С ПРИМЕНЕНИЕМ ДАТЧИКОВ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CO2</w:t>
      </w:r>
    </w:p>
    <w:p>
      <w:pPr>
        <w:pStyle w:val="Рубрика 2"/>
        <w:jc w:val="left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Функциональные требования и алгоритмы работы системы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Именно второй блок рассматривается в этом разделе.</w:t>
      </w:r>
    </w:p>
    <w:p>
      <w:pPr>
        <w:pStyle w:val="Основной текст"/>
        <w:ind w:firstLine="709"/>
      </w:pPr>
      <w:r>
        <w:rPr>
          <w:rFonts w:ascii="Times New Roman" w:hAnsi="Times New Roman"/>
          <w:sz w:val="28"/>
        </w:rPr>
        <w:t>В рамках данного раздела разработана система автоматического управления вентиляцией, реализующая DCV-алгоритм в соответствии с оптимальным сценарием «DCV + Рекуп+», выбранным по результатам технико-экономической оценки (раздел 3.3). Система строится по трёхуровневой архитектуре промышленной автоматизации: полевой уровень (датчики), управляющий уровень (ПЛК), диспетчерский уровень. Ключевым параметром управления является концентрация CO₂ в зрительном зале — наиболее объективный индикатор фактической потребности в вентиляции при переменной заполняемости.</w:t>
      </w:r>
    </w:p>
    <w:p>
      <w:pPr>
        <w:pStyle w:val="Основной текст"/>
        <w:ind w:firstLine="709"/>
      </w:pPr>
      <w:r>
        <w:rPr>
          <w:rFonts w:ascii="Times New Roman" w:hAnsi="Times New Roman"/>
          <w:sz w:val="28"/>
        </w:rPr>
        <w:t>Требования к системе сформулированы с учётом нормативных документов: ГОСТ 30494-2011 [6] (параметры микроклимата), СП 60.13330.2020 [1] (системы вентиляции), а также технических характеристик агрегата AIRNED-M6L. Предельные значения концентрации CO₂ приняты по ГОСТ 30494-2011 [6]: категория «отличное» — менее 800 ppm; категория «допустимое» — 800–1 000 ppm. Уставка 700 ppm обеспечивает запас до нижней границы категории «допустимое», исключая риск дискомфорта зрителей при внезапном росте заполняемости. Функциональные требования к системе перечислены ниже.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Функциональные требования к системе автоматизации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непрерывное измерение концентрации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зрительном зале с периодом опроса не более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60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секунд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автоматическое регулирование производительности приточного и вытяжного вентиляторов пропорционально концентрации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CO2;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поддержание концентрации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диапазоне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420-700 ppm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режиме занятости зала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обеспечение минимального санитарного воздухообмена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(30 %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 номинала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 отсутствии зрителей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автоматический переход в дежурный режим по сигналу расписания или при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&lt; 450 ppm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течение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минут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формирование предупредительной сигнализации при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CO2 &gt; 800 ppm;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формирование аварийной сигнализации при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&gt; 1 400 ppm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выходом вентиляторов на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100 %;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архивирование данных измерений с шагом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минут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отображение текущих параметров и трендов на операторском дисплее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(HMI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или веб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панель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обеспечение ручного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дистанционного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управления режимами с блокировкой некорректных команд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Алгоритм работы системы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Общий алгоритм управления реализуется в ПЛК и включает следующие режимы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Режим «Ночной»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отсутствие людей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расписание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не рабочее время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вентиляторы отключены или работают на минимальном расходе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10 %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дежурная вентиляция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предотвращения конденсата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Режим «Предпуск»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минут до начала сеанса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вентиляторы выходят на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100 %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производительности для прогрева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охлаждения зала до целевой температуры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Режим «Сеанс»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во время показа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активный 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DCV-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режим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Производительность вентиляторов регулируется пропорционально концентрации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 формуле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ind w:firstLine="0"/>
        <w:jc w:val="center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L(CO2) = L_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мин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+ (L_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ном −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L_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) * max(0, min(1, (CO2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−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CO2_min) / (CO2_set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−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CO2_min)))</w:t>
      </w:r>
      <w:r>
        <w:rPr>
          <w:rFonts w:ascii="Times New Roman" w:hAnsi="Times New Roman"/>
          <w:sz w:val="28"/>
        </w:rPr>
        <w:t xml:space="preserve">  (4.1)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Где L(CO2) — текущий расход воздуха, м3/ч; L_мин = 2 025 м3/ч (50 %); L_ном = 4 050 м3/ч (100 %); CO2_min = 500 ppm; CO2_set = 700 ppm (рабочая уставка DCV).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Режим «Межсеансовый» (перерыв): вентиляторы работают на минимальном допустимом расходе 50 % для удаления остаточного CO2 из зала после выхода зрителей.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Режим «Авария»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&gt; 1 400 ppm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вентиляторы принудительно выходят на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100 %;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формируется световой и звуковой сигнал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журнал событий записывается отметка времени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Диаграмма переходов между режимами показана на рисунке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4.1.</w:t>
      </w:r>
    </w:p>
    <w:p>
      <w:pPr>
        <w:jc w:val="center"/>
      </w:pPr>
      <w:r>
        <w:drawing>
          <wp:inline>
            <wp:extent cx="4860000" cy="2896364"/>
            <wp:docPr id="9" name="Picture 9"/>
            <wp:cNvGraphicFramePr>
              <ns4:graphicFrameLocks noChangeAspect="1"/>
            </wp:cNvGraphicFramePr>
            <ns4:graphic>
              <ns4:graphicData uri="http://schemas.openxmlformats.org/drawingml/2006/picture">
                <ns5:pic>
                  <ns5:nvPicPr>
                    <ns5:cNvPr id="0" name="ris41_state_machine.png"/>
                    <ns5:cNvPicPr/>
                  </ns5:nvPicPr>
                  <ns5:blipFill>
                    <ns4:blip r:embed="rId15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860000" cy="2896364"/>
                    </ns4:xfrm>
                    <ns4:prstGeom prst="rect"/>
                  </ns5:spPr>
                </ns5:pic>
              </ns4:graphicData>
            </ns4:graphic>
          </wp:inline>
        </w:drawing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4.1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Диаграмма режимов работы системы автоматизации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DCV</w:t>
      </w:r>
    </w:p>
    <w:p>
      <w:pPr>
        <w:pStyle w:val="Основной текст"/>
        <w:ind w:firstLine="709"/>
      </w:pPr>
      <w:r>
        <w:t>Диаграмма показывает, что переходы между режимами выполняются по чётким пороговым условиям без неопределённых состояний. Аварийный режим имеет наивысший приоритет и активируется при превышении допустимой концентрации CO2 независимо от текущего режима работы.</w:t>
      </w:r>
    </w:p>
    <w:p>
      <w:pPr>
        <w:pStyle w:val="Рубрика 2"/>
        <w:jc w:val="left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Составление структурной схемы автоматизации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Система автоматизации спроектирована по трехуровневой архитектуре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стандарту промышленных АСУТП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Полевой уровень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два датчика ОВЕН ДКВ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(CO2 + T + RH, Modbus RTU),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два частотных преобразователя ОВЕН ПЧВ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3-2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2-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приточного и вытяжного вентиляторов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Управляющий уровень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ПЛК ОВЕН ПЛК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110-220.60.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(60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дискретных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аналоговых входов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выходов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программируемый на языке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ST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CODESYS 3.5.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Диспетчерский уровень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IPC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Node-RED,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веб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-Dashboard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оператора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доступ с ПК или смартфона через браузер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Уровень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1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полевой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датчики и исполнительные механизмы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датчики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(2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шт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ОВЕН ДКВ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датчики температуры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входят в состав ОВЕН ДКВ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частотные преобразователи приточного и вытяжного вентиляторов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(2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шт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ОВЕН ПЧВ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3-2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2-A),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электрический роторный рекуператор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привод ротора с регулятором частоты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Уровень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управляющий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ПЛК и локальный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HMI):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ПЛК ОВЕН ПЛК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110-220.60.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промышленный компьютер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(IPC)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операционной системой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Linux,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программное обеспечение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Node-RED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установлено на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IPC),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панель оператора ОВЕН СП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307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сенсорный экран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7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дюймов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подключение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Modbus TCP).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Уровень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диспетчерский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удалённый мониторинг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): SCADA-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система или веб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интерфейс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Node-RED Dashboard,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доступный по локальной сети здания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уведомления на мобильный телефон администратора при авариях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Информационные потоки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датчики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(RS-485, Modbus RTU)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ПЛК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(COM1);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ПЛК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аналоговый выход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0-10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→ ЧП приточного вентилятора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ПЛК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аналоговый выход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0-10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→ ЧП вытяжного вентилятора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ПЛК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(Ethernet, Modbus TCP)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IPC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Node-RED;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Node-RED (Modbus TCP)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ЧП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мониторинг тока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частоты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– Node-RED (HTTP)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→ веб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интерфейс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Dashboard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→ оператор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смартфон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</w:pPr>
      <w:r>
        <w:rPr>
          <w:rFonts w:ascii="Times New Roman" w:hAnsi="Times New Roman"/>
          <w:sz w:val="28"/>
        </w:rPr>
        <w:t>Описанная трёхуровневая архитектура обеспечивает независимость уровней при отказах: при потере связи с диспетчерским уровнем ПЛК продолжает выполнять основной алгоритм управления в автономном режиме. При отказе датчиков CO₂ ПЛК переходит в резервный режим по расписанию сеансов (100 % расход в период сеанса, 30 % в межсеансовые паузы), что гарантирует минимальный санитарный воздухообмен. Такая логика failsafe соответствует требованиям функциональной безопасности для систем HVAC в общественных зданиях.</w:t>
      </w:r>
    </w:p>
    <w:p>
      <w:pPr>
        <w:pStyle w:val="Основной текст"/>
        <w:ind w:firstLine="709"/>
      </w:pPr>
      <w:r>
        <w:rPr>
          <w:rFonts w:ascii="Times New Roman" w:hAnsi="Times New Roman"/>
          <w:sz w:val="28"/>
        </w:rPr>
        <w:t>Выбор интерфейса RS-485/Modbus RTU для датчиков CO₂ обусловлен его высокой помехоустойчивостью в условиях электромагнитных помех вентиляционного оборудования: допустимая длина шины до 1 200 м позволяет подключить датчики в разных зонах зала без дополнительных усилителей сигнала. Ethernet/Modbus TCP применяется для связи ПЛК с промышленным компьютером (IPC) — благодаря стандартизованности и совместимости с существующей ИТ-инфраструктурой кинотеатра. Такой выбор протоколов минимизирует стоимость монтажа и упрощает последующую диагностику системы.</w:t>
      </w:r>
    </w:p>
    <w:p>
      <w:pPr>
        <w:jc w:val="center"/>
      </w:pPr>
      <w:r>
        <w:drawing>
          <wp:inline>
            <wp:extent cx="4860000" cy="3076514"/>
            <wp:docPr id="10" name="Picture 10"/>
            <wp:cNvGraphicFramePr>
              <ns4:graphicFrameLocks noChangeAspect="1"/>
            </wp:cNvGraphicFramePr>
            <ns4:graphic>
              <ns4:graphicData uri="http://schemas.openxmlformats.org/drawingml/2006/picture">
                <ns5:pic>
                  <ns5:nvPicPr>
                    <ns5:cNvPr id="0" name="ris42_automation_scheme.png"/>
                    <ns5:cNvPicPr/>
                  </ns5:nvPicPr>
                  <ns5:blipFill>
                    <ns4:blip r:embed="rId16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860000" cy="3076514"/>
                    </ns4:xfrm>
                    <ns4:prstGeom prst="rect"/>
                  </ns5:spPr>
                </ns5:pic>
              </ns4:graphicData>
            </ns4:graphic>
          </wp:inline>
        </w:drawing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4.2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Структурная схема автоматизации системы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DCV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кинозала</w:t>
      </w:r>
    </w:p>
    <w:p>
      <w:pPr>
        <w:pStyle w:val="Основной текст"/>
        <w:ind w:firstLine="709"/>
      </w:pPr>
      <w:r>
        <w:t>Схема наглядно отражает чёткое разделение на полевой, управляющий и диспетчерский уровни. Использование промышленных протоколов RS-485 и Modbus TCP обеспечивает надёжный обмен данными и возможность удалённого мониторинга через веб-интерфейс.</w:t>
      </w:r>
    </w:p>
    <w:p>
      <w:pPr>
        <w:pStyle w:val="Рубрика 2"/>
        <w:jc w:val="left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Схемы подключения датчиков и исполнительных устройств к контроллеру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Монтаж датчиков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первый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центральной зоне зала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ряд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8-9),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высота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 от уровня пола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второй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 задней стены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ряд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14-15),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высота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Оба подключены к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COM1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ПЛК по шине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RS-485,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кабель МКЭШ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2x0,5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Протокол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Modbus RTU: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адреса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скорость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9600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бод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период опроса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Питание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постоянного тока от встроенного источника ПЛК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(MEAN WELL MDR-60-24).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Длина кабельной линии от ЩА до дальнего датчика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около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65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что при сечении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дает падение напряжения менее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допустимо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Кабельная продукция для линий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RS-485: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экранированный кабель типа МКЭШ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2x0,5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или КВПЭф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1x2x0,5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длина линии до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RS-485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допустимо до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1 200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 без повторителей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Экран кабеля заземляется на щите управления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Подключение частотных преобразователей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Управляющий сигнал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0-10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подаётся с аналоговых выходов ПЛК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(AO1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 ЧП приточного вентилятора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AO2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 ЧП вытяжного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Силовые кабели от ЧП к двигателям вентиляторов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кабели типа ВВГ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нг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3x2,5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металлорукаве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Обратная связь о фактической частоте и токе двигателей снимается с выходов ЧП через аналоговые входы ПЛК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(AI1-AI2, 0-10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отображения на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HMI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 формирования аварийной сигнализации при перегрузке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Схема подключения показана на рисунке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4.3.</w:t>
      </w:r>
    </w:p>
    <w:p>
      <w:pPr>
        <w:jc w:val="center"/>
      </w:pPr>
      <w:r>
        <w:drawing>
          <wp:inline>
            <wp:extent cx="4860000" cy="2853578"/>
            <wp:docPr id="11" name="Picture 11"/>
            <wp:cNvGraphicFramePr>
              <ns4:graphicFrameLocks noChangeAspect="1"/>
            </wp:cNvGraphicFramePr>
            <ns4:graphic>
              <ns4:graphicData uri="http://schemas.openxmlformats.org/drawingml/2006/picture">
                <ns5:pic>
                  <ns5:nvPicPr>
                    <ns5:cNvPr id="0" name="ris43_wiring.png"/>
                    <ns5:cNvPicPr/>
                  </ns5:nvPicPr>
                  <ns5:blipFill>
                    <ns4:blip r:embed="rId17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860000" cy="2853578"/>
                    </ns4:xfrm>
                    <ns4:prstGeom prst="rect"/>
                  </ns5:spPr>
                </ns5:pic>
              </ns4:graphicData>
            </ns4:graphic>
          </wp:inline>
        </w:drawing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4.3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Схема подключения датчиков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 ЧП к ПЛК ОВЕН ПЛК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110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Схема силовых цепей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Питание системы автоматизации осуществляется от щита автоматики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ЩА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кинозала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подключённого к вводному распределительному щиту здания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ЩА установлены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автоматический выключатель АВ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 (16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защита ЧП приточного вентилятора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автоматический выключатель АВ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 (16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защита ЧП вытяжного вентилятора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автоматический выключатель АВ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 (6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защита ПЛК и источника питания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источник питания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60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Вт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датчиков и ПЛК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промышленный компьютер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IPC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отдельный автомат АВ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4, 6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jc w:val="center"/>
      </w:pPr>
      <w:r>
        <w:drawing>
          <wp:inline>
            <wp:extent cx="4680000" cy="3268421"/>
            <wp:docPr id="12" name="Picture 12"/>
            <wp:cNvGraphicFramePr>
              <ns4:graphicFrameLocks noChangeAspect="1"/>
            </wp:cNvGraphicFramePr>
            <ns4:graphic>
              <ns4:graphicData uri="http://schemas.openxmlformats.org/drawingml/2006/picture">
                <ns5:pic>
                  <ns5:nvPicPr>
                    <ns5:cNvPr id="0" name="ris44_power_circuit.png"/>
                    <ns5:cNvPicPr/>
                  </ns5:nvPicPr>
                  <ns5:blipFill>
                    <ns4:blip r:embed="rId18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680000" cy="3268421"/>
                    </ns4:xfrm>
                    <ns4:prstGeom prst="rect"/>
                  </ns5:spPr>
                </ns5:pic>
              </ns4:graphicData>
            </ns4:graphic>
          </wp:inline>
        </w:drawing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4.4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Схема силовых цепей щита автоматики ЩА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однолинейная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Основной текст"/>
        <w:ind w:firstLine="709"/>
      </w:pPr>
      <w:r>
        <w:t>Схема подтверждает, что каждый потребитель защищён индивидуальным автоматическим выключателем с номиналом, соответствующим расчётной токовой нагрузке. Такое исполнение щита обеспечивает независимое отключение любого компонента и соответствует требованиям ПУЭ.</w:t>
      </w:r>
    </w:p>
    <w:p>
      <w:pPr>
        <w:pStyle w:val="Рубрика 2"/>
        <w:jc w:val="left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Реализация системы управления в среде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Node-RED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таблице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приведён перечень всех узлов </w:t>
      </w: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(nodes)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разработанного потока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 описанием назначения и конфигурации каждого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4.2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Перечень узлов </w:t>
      </w: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(nodes)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потока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системы 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DCV-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управления</w:t>
      </w:r>
    </w:p>
    <w:tbl>
      <w:tblPr>
        <w:tblW w:w="935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39"/>
        <w:gridCol w:w="2339"/>
        <w:gridCol w:w="2338"/>
        <w:gridCol w:w="2340"/>
      </w:tblGrid>
      <w:tr>
        <w:tblPrEx>
          <w:shd w:val="clear" w:color="auto" w:fill="ced7e7"/>
        </w:tblPrEx>
        <w:trPr>
          <w:trHeight w:val="596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Узел </w:t>
            </w: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(Node)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Тип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Назначение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Ключевые параметры</w:t>
            </w:r>
          </w:p>
        </w:tc>
      </w:tr>
      <w:tr>
        <w:tblPrEx>
          <w:shd w:val="clear" w:color="auto" w:fill="ced7e7"/>
        </w:tblPrEx>
        <w:trPr>
          <w:trHeight w:val="95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Inject_timer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Inject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Периодический запуск опроса датчиков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Период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30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с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однократный запуск при старте</w:t>
            </w:r>
          </w:p>
        </w:tc>
      </w:tr>
      <w:tr>
        <w:tblPrEx>
          <w:shd w:val="clear" w:color="auto" w:fill="ced7e7"/>
        </w:tblPrEx>
        <w:trPr>
          <w:trHeight w:val="95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Modbus_read_sensor1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Чтение данных датчика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CO2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№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Устройство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ОВЕН ДКВ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С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, Modbus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адрес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0x01</w:t>
            </w:r>
          </w:p>
        </w:tc>
      </w:tr>
      <w:tr>
        <w:tblPrEx>
          <w:shd w:val="clear" w:color="auto" w:fill="ced7e7"/>
        </w:tblPrEx>
        <w:trPr>
          <w:trHeight w:val="95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Modbus_read_sensor2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Чтение данных датчика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CO2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№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Устройство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ОВЕН ДКВ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С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, Modbus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адрес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0x02</w:t>
            </w:r>
          </w:p>
        </w:tc>
      </w:tr>
      <w:tr>
        <w:tblPrEx>
          <w:shd w:val="clear" w:color="auto" w:fill="ced7e7"/>
        </w:tblPrEx>
        <w:trPr>
          <w:trHeight w:val="95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Join_sensors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Join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Объединение показаний двух датчиков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Режим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custom,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ключ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sensor_id, 2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входа</w:t>
            </w:r>
          </w:p>
        </w:tc>
      </w:tr>
      <w:tr>
        <w:tblPrEx>
          <w:shd w:val="clear" w:color="auto" w:fill="ced7e7"/>
        </w:tblPrEx>
        <w:trPr>
          <w:trHeight w:val="95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Merge_data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Слияние данных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расчёт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max(CO2),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определение режима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Выход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: co2, temp, rh, mode</w:t>
            </w:r>
          </w:p>
        </w:tc>
      </w:tr>
      <w:tr>
        <w:tblPrEx>
          <w:shd w:val="clear" w:color="auto" w:fill="ced7e7"/>
        </w:tblPrEx>
        <w:trPr>
          <w:trHeight w:val="95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Dcv_controller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Алгоритм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DCV-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управления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(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пропорциональный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2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выхода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норма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авария</w:t>
            </w:r>
          </w:p>
        </w:tc>
      </w:tr>
      <w:tr>
        <w:tblPrEx>
          <w:shd w:val="clear" w:color="auto" w:fill="ced7e7"/>
        </w:tblPrEx>
        <w:trPr>
          <w:trHeight w:val="596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Write_vfd_supply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Выдача уставки на ЧП приточного вент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Modbus TCP, unit=3, reg=1, fc=6</w:t>
            </w:r>
          </w:p>
        </w:tc>
      </w:tr>
      <w:tr>
        <w:tblPrEx>
          <w:shd w:val="clear" w:color="auto" w:fill="ced7e7"/>
        </w:tblPrEx>
        <w:trPr>
          <w:trHeight w:val="596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Write_vfd_exhaust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Выдача уставки на ЧП вытяжного вент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Modbus TCP, unit=4, reg=1, fc=6</w:t>
            </w:r>
          </w:p>
        </w:tc>
      </w:tr>
      <w:tr>
        <w:tblPrEx>
          <w:shd w:val="clear" w:color="auto" w:fill="ced7e7"/>
        </w:tblPrEx>
        <w:trPr>
          <w:trHeight w:val="596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Dashboard_gauge_co2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Ui_gauge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Индикатор концентрации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CO2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Диапазон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400-1500 ppm, 3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цвета</w:t>
            </w:r>
          </w:p>
        </w:tc>
      </w:tr>
      <w:tr>
        <w:tblPrEx>
          <w:shd w:val="clear" w:color="auto" w:fill="ced7e7"/>
        </w:tblPrEx>
        <w:trPr>
          <w:trHeight w:val="596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Dashboard_chart_co2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Ui_chart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Тренд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CO2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за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24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ч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Тип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line,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период хранения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: 24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ч</w:t>
            </w:r>
          </w:p>
        </w:tc>
      </w:tr>
      <w:tr>
        <w:tblPrEx>
          <w:shd w:val="clear" w:color="auto" w:fill="ced7e7"/>
        </w:tblPrEx>
        <w:trPr>
          <w:trHeight w:val="95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Dashboard_gauge_fan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Ui_gauge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Индикатор производительности вент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Диапазон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: 0-100 %</w:t>
            </w:r>
          </w:p>
        </w:tc>
      </w:tr>
      <w:tr>
        <w:tblPrEx>
          <w:shd w:val="clear" w:color="auto" w:fill="ced7e7"/>
        </w:tblPrEx>
        <w:trPr>
          <w:trHeight w:val="596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Dashboard_text_status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Ui_text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Текущий режим и статус системы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Формат строки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: msg.payload.status</w:t>
            </w:r>
          </w:p>
        </w:tc>
      </w:tr>
      <w:tr>
        <w:tblPrEx>
          <w:shd w:val="clear" w:color="auto" w:fill="ced7e7"/>
        </w:tblPrEx>
        <w:trPr>
          <w:trHeight w:val="596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Archive_csv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Формирование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CSV-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строки для архива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Разделитель запятая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ротация по суткам</w:t>
            </w:r>
          </w:p>
        </w:tc>
      </w:tr>
      <w:tr>
        <w:tblPrEx>
          <w:shd w:val="clear" w:color="auto" w:fill="ced7e7"/>
        </w:tblPrEx>
        <w:trPr>
          <w:trHeight w:val="596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File_write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File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Запись данных в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CSV-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файл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Путь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: /home/node-red/logs/dcv_*.csv</w:t>
            </w:r>
          </w:p>
        </w:tc>
      </w:tr>
      <w:tr>
        <w:tblPrEx>
          <w:shd w:val="clear" w:color="auto" w:fill="ced7e7"/>
        </w:tblPrEx>
        <w:trPr>
          <w:trHeight w:val="95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Alarm_handler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Обработка аварийных и предупредительных состояний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2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уровня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: warning, alarm</w:t>
            </w:r>
          </w:p>
        </w:tc>
      </w:tr>
      <w:tr>
        <w:tblPrEx>
          <w:shd w:val="clear" w:color="auto" w:fill="ced7e7"/>
        </w:tblPrEx>
        <w:trPr>
          <w:trHeight w:val="95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Alarm_notify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Debug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Вывод аварийного сообщения в консоль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лог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Также используется для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Telegram/Email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узла</w:t>
            </w:r>
          </w:p>
        </w:tc>
      </w:tr>
      <w:tr>
        <w:tblPrEx>
          <w:shd w:val="clear" w:color="auto" w:fill="ced7e7"/>
        </w:tblPrEx>
        <w:trPr>
          <w:trHeight w:val="596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Energy_calculator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Накопительный расчёт суточной экономии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Сброс в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00:00;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вывод в кВт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*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ч и руб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30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Manual_mode_inject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Ui_dropdown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Ручной выбор режима работы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5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режимов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: AUTO, NIGHT, PRESTART, SESSION, INTERMISSION</w:t>
            </w:r>
          </w:p>
        </w:tc>
      </w:tr>
    </w:tbl>
    <w:p>
      <w:pPr>
        <w:pStyle w:val="Основной текст"/>
        <w:widowControl w:val="0"/>
        <w:spacing w:line="240" w:lineRule="auto"/>
        <w:jc w:val="center"/>
      </w:pP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Итого в потоке задействовано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18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узлов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объединённых в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тематических групп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опрос датчиков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алгоритм управления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выдача команд на ЧП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мониторинг на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Dashboard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 архивирование данных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Такая группировка позволяет легко разобраться в логике потока при дальнейшем сопровождении и доработке системы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открытая платформа программирования потоков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(flow-based programming)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Node.js.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Разработана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IBM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2013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IoT-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задач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2016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Передана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OpenJS Foundation.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 данным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npmjs.com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январь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2025),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пакет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скачивается более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60 000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 в неделю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объекта масштаба кинозала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предпочтителен перед коммерческими 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SCADA: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нет лицензионных отчислений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работает на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Raspberry Pi 5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стоимость около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7 000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поддерживает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Modbus TCP/RTU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через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node-red-contrib-modbus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имеет встроенный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Dashboard.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Разработанный поток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состоит из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18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узлов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объединённых в пять функциональных групп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Коммуникация с ПЛК ОВЕН ПЛК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110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организована через библиотеку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node-red-contrib-modbus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 протоколу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Modbus TCP/IP.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среде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реализован не весь алгоритм управления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пропорциональный регулятор работает в ПЛК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; 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отвечает за визуализацию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архивирование данных и вспомогательные функции верхнего уровня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Группа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1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Опрос датчиков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узел </w:t>
      </w: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Inject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таймер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период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30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запускает опрос датчиков ОВЕН ДКВ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по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Modbus RTU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через узел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node-red-contrib-modbus.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Опрашиваются регистры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 0x0000 (CO2, ppm), 0x0001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температура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x0,1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C), 0x0002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относительная влажность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x0,1 %).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Результат двух датчиков объединяется узлом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Join,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в поток передаётся максимальное значение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из двух датчиков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Группа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Алгоритм управления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узел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Function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реализует алгоритм расчёта уставки частоты для ЧП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Входные данные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концентрация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(ppm),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текущий режим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сеанс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/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межсеансовый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/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ночь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Выходные данные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уставка частоты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(0-50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Гц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передаётся как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0-100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масштабирования в ЧП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флаги предупреждений и аварий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Группа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Выдача управления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узел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node-red-contrib-modbus-write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записывает уставку частоты в регистр ЧП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приточный вентилятор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: Modbus TCP,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адрес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0x03;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вытяжной вентилятор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адрес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0x04).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Баланс приток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вытяжка поддерживается одинаковой уставкой для обоих вентиляторов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Группа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Мониторинг 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Dashboard: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узлы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node-red-dashboard: gauge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концентрация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CO2), chart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тренд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часа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), gauge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производительность вентилятора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%), text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режим работы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Уведомления формируются узлом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e-mail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или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Telegram-bot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 аварийных условиях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Группа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Архивирование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узел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CSV writer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записывает данные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время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CO2, T,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φ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частота ЧП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режим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файл на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IPC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 ротацией по суткам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Данные доступны для анализа и отчётности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Ниже приведён программный код основного функционального узла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(Function node)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алгоритма управления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листинг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4.1).</w:t>
      </w:r>
    </w:p>
    <w:p>
      <w:pPr>
        <w:jc w:val="center"/>
      </w:pPr>
      <w:r>
        <w:drawing>
          <wp:inline>
            <wp:extent cx="5400000" cy="10352406"/>
            <wp:docPr id="13" name="Picture 13"/>
            <wp:cNvGraphicFramePr>
              <ns4:graphicFrameLocks noChangeAspect="1"/>
            </wp:cNvGraphicFramePr>
            <ns4:graphic>
              <ns4:graphicData uri="http://schemas.openxmlformats.org/drawingml/2006/picture">
                <ns5:pic>
                  <ns5:nvPicPr>
                    <ns5:cNvPr id="0" name="image.png"/>
                    <ns5:cNvPicPr/>
                  </ns5:nvPicPr>
                  <ns5:blipFill>
                    <ns4:blip r:embed="rId19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400000" cy="10352406"/>
                    </ns4:xfrm>
                    <ns4:prstGeom prst="rect"/>
                  </ns5:spPr>
                </ns5:pic>
              </ns4:graphicData>
            </ns4:graphic>
          </wp:inline>
        </w:drawing>
      </w:r>
    </w:p>
    <w:p>
      <w:pPr>
        <w:jc w:val="center"/>
      </w:pPr>
      <w:r>
        <w:rPr>
          <w:rFonts w:ascii="Times New Roman" w:hAnsi="Times New Roman"/>
          <w:sz w:val="28"/>
        </w:rPr>
        <w:t>Рисунок 4.5 — Листинг 4.1 — Программный код функционального узла Node-RED (алгоритм DCV-управления)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Код реализует пропорциональный алгоритм управления с четырьмя режимами работы. При концентрации CO2 в диапазоне 500-700 ppm производительность вентилятора линейно возрастает от 50 до 100 %. При концентрации свыше 1 200 ppm вентиляторы переводятся на 100 % с формированием предупредительного сигнала, при CO2 &gt; 1 400 ppm — аварийного. Встроенный расчёт фактической электрической мощности (по кубическому закону) позволяет в реальном времени отображать на Dashboard экономию электроэнергии относительно базового режима.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</w:p>
    <w:p>
      <w:pPr>
        <w:pStyle w:val="Основной текст"/>
        <w:ind w:firstLine="709"/>
      </w:pPr>
      <w:r>
        <w:rPr>
          <w:rFonts w:ascii="Times New Roman" w:hAnsi="Times New Roman"/>
          <w:sz w:val="28"/>
        </w:rPr>
        <w:t>Базовый цикл программы выполняется с периодом 10 с. На каждом шаге цикла считывается среднее значение CO₂ от двух датчиков в зале; вычисляется ошибка регулирования e = CO₂_изм − CO₂_уставка (700 ppm); рассчитывается управляющее воздействие u = K_p · e (K_p = 0,8 %/ppm); выходная частота преобразователя обновляется с ограничением на скорость изменения. Интегральная составляющая намеренно исключена: стационарная ошибка в пределах зоны нечувствительности ±30 ppm не влияет на санитарные показатели, а отсутствие интегратора снижает риск wind-up при длительной работе на ограничителях.</w:t>
      </w:r>
    </w:p>
    <w:p>
      <w:pPr>
        <w:pStyle w:val="Основной текст"/>
        <w:ind w:firstLine="709"/>
      </w:pPr>
      <w:r>
        <w:rPr>
          <w:rFonts w:ascii="Times New Roman" w:hAnsi="Times New Roman"/>
          <w:sz w:val="28"/>
        </w:rPr>
        <w:t>Система мониторинга обеспечивает непрерывную запись следующих параметров: концентрация CO₂ (ppm) от каждого датчика, текущий расход воздуха (м³/ч) по характеристике вентилятора, мощность нагревателя (кВт), температура приточного и вытяжного воздуха. Интервал записи — 1 мин, глубина хранения — 12 месяцев на локальном SSD промышленного компьютера. Данные экспортируются в форматах CSV и JSON для последующего энергоаудита и верификации расчётных оценок.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Полный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JSON-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файл потока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Node-RED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импорта в среду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Node-RED)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приведён в файле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automation/node_red_flow.json,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входящем в состав материалов ВКР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Тестирование системы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Проверка работоспособности алгоритма выполнялась путём имитации входного сигнала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диапазоне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400-1 500 ppm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шагом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50 ppm.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Результаты тестирования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4.1)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подтверждают корректность реализации алгоритма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4.1 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Результаты функционального тестирования алгоритма управления</w:t>
      </w:r>
    </w:p>
    <w:tbl>
      <w:tblPr>
        <w:tblW w:w="93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blPrEx>
          <w:shd w:val="clear" w:color="auto" w:fill="ced7e7"/>
        </w:tblPrEx>
        <w:trPr>
          <w:trHeight w:val="745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CO2, ppm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Режим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Уставка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, %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F_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выход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Гц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L_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расход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м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3/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ч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P_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факт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кВт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Сигнал</w:t>
            </w:r>
          </w:p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400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SESSION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25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2 025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0,353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600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SESSION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39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19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1 580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0,117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800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SESSION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57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28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2 309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0,361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1 000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SESSION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74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37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2 997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0,795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1 200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SESSION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4 050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1,970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Warn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1 400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SESSION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4 050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1,970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Alarm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NIGHT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405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0,002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745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PRESTART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4 050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1,970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</w:tbl>
    <w:p>
      <w:pPr>
        <w:pStyle w:val="Основной текст"/>
        <w:widowControl w:val="0"/>
        <w:spacing w:line="240" w:lineRule="auto"/>
        <w:jc w:val="center"/>
      </w:pPr>
    </w:p>
    <w:p>
      <w:pPr>
        <w:pStyle w:val="Основной текст"/>
        <w:jc w:val="both"/>
      </w:pP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Данные таблицы 4.1 демонстрируют, что при CO2 = 700 ppm (типичный уровень при среднесрочном сеансе при заполненности ~70 %) потребляемая мощность вентилятора составляет 0,361 кВт против 1,970 кВт в базовом режиме — снижение в 5,5 раза, что хорошо согласуется с кубическим законом вентиляторного подобия.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</w:p>
    <w:p>
      <w:pPr>
        <w:pStyle w:val="Основной текст"/>
        <w:ind w:firstLine="709"/>
      </w:pPr>
      <w:r>
        <w:rPr>
          <w:rFonts w:ascii="Times New Roman" w:hAnsi="Times New Roman"/>
          <w:sz w:val="28"/>
        </w:rPr>
        <w:t>Важным результатом функционального тестирования является подтверждение корректной работы режима failsafe. При имитации отказа обоих датчиков CO₂ система автоматически перешла в режим SCHEDULE с расходом 100 % в период имитируемого сеанса и 30 % в паузах — без участия оператора и без потери управляемости частотным преобразователем. Переключение произошло в течение двух циклов опроса (20 с), что укладывается в нормативный показатель времени реакции системы безопасности. Это подтверждает соответствие разработанной системы требованиям раздела 4.1 настоящей работы в части надёжности и резервирования.</w:t>
      </w:r>
    </w:p>
    <w:p>
      <w:pPr>
        <w:pStyle w:val="Основной текст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36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0"/>
    </w:pPr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360" w:lineRule="auto"/>
      <w:ind w:left="0" w:right="0" w:firstLine="0"/>
      <w:jc w:val="center"/>
      <w:outlineLvl w:val="0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3">
    <w:name w:val="Рубрика 3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360" w:lineRule="auto"/>
      <w:ind w:left="0" w:right="0" w:firstLine="0"/>
      <w:jc w:val="center"/>
      <w:outlineLvl w:val="2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360" w:lineRule="auto"/>
      <w:ind w:left="0" w:right="0" w:firstLine="0"/>
      <w:jc w:val="center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