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4="http://schemas.openxmlformats.org/drawingml/2006/main" xmlns:ns5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">
  <w:body>
    <w:p>
      <w:pPr>
        <w:pStyle w:val="Рубрика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ходе работы удалось решить все задачи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Ниже приведены основные результаты и выводы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Теоретический анализ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крупных общественных зданиях до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40-60 %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потребляемой электроэнергии приходится на системы вентиляции и кондиционирования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кинозалов с непостоянной наполняемостью работа приточно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вытяжной установки на постоянном максимальном расходе означает систематическую «переветиляцию» пустого или полупустого зала 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следствие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нерациональный расход электроэнергии на нагрев и привод вентиляторов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Объект исследования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кинозал на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мест в СПб ГБУК «Петербург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кино»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характеризуется суммарным электропотреблением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46 906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 в базовом режиме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из которых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84 %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составляют затраты на нагрев приточного воздуха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типичная ситуация для кинотеатров советской постройки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где системы вентиляции проектировались без учёта современных технологий энергосбережения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Промоделированы шесть сценариев работы системы вентиляции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моделирования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внедрение роторного рекуператора повышенной эффективности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КПД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85 %)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снижает электропотребление на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31,3 % (14 670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теплового насоса «воздух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воздух»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(COP = 2,59)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снижает электропотребление на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50,9 % (23 870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управлением по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одиночном применении снижает электропотребление на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56,8 % (26 642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*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счёт сокращения объёма вентилируемого воздуха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 комбинированные решения (DCV + Рекуп+ и DCV + ТН) дают максимальную экономию 68,7-75,8 % (32 207 и 35 563 кВт*ч/год соответственно): каждый из механизмов снижает разную статью расходов, и их эффекты складываются.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Экономический анализ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убедительно подтвердил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всех рассмотренных вариантов наиболее выгодной является связка «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DCV +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Рекуп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+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капитальных затратах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335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годовой экономии около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369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тыс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Срок окупаемости составляет менее одного года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редкий результат для проектов энергоэффективности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. NPV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расчётный период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лет превышает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1,9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млн руб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., IRR ~ 110 %.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разделе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выбранного решения разработана полноценная система автоматизации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составлена структурная схема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подобраны серийные компоненты ОВЕН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ДКВ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110,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ПЧВ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 программный поток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пропорциональным алгоритмом управления по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CO2, Dashboard-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панелью и архивированием данных в формате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CSV.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Поток протестирован имитацией входных данных с воспроизведением нескольких критических режимов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Практическая ценность работы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только в конкретных цифрах экономии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 в воспроизводимости подхода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Методика моделирования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 выбора оптимального сценария и программный код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применимы к любому кинозалу с аналогичной системой вентиляции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достаточно обновить климатический файл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EPW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параметры оборудования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firstLine="709"/>
      </w:pPr>
      <w:r>
        <w:rPr>
          <w:rFonts w:ascii="Times New Roman" w:hAnsi="Times New Roman"/>
          <w:sz w:val="28"/>
        </w:rPr>
        <w:t>Важно подчеркнуть, что предложенный методический подход воспроизводим для широкого класса схожих объектов. Методика EnergyPlus-моделирования с TMY-файлом и стандартизованным расписанием, объединённая с пропорциональным DCV-алгоритмом, может быть применена к любому кинозалу с известными параметрами ограждающих конструкций и вентиляционного оборудования. Единственным объектно-специфичным элементом является климатический EPW-файл, доступный для большинства крупных городов России в открытом доступе.</w:t>
      </w:r>
    </w:p>
    <w:p>
      <w:pPr>
        <w:pStyle w:val="Основной текст"/>
        <w:ind w:firstLine="709"/>
      </w:pPr>
      <w:r>
        <w:rPr>
          <w:rFonts w:ascii="Times New Roman" w:hAnsi="Times New Roman"/>
          <w:sz w:val="28"/>
        </w:rPr>
        <w:t>Полученные результаты подтверждают: повышение энергоэффективности вентиляции кинозала не требует революционных технических решений. Достаточно внедрить серийно выпускаемые компоненты — датчики CO₂, частотный преобразователь, роторный рекуператор — под управлением отечественного ПЛК. Совокупный эффект сопоставим с полной заменой системы на более производительную, при этом капитальные затраты и сроки реализации несопоставимо ниже. Это свидетельствует о высоком потенциале «малозатратной» модернизации в сегменте зрелищных учреждений и является основанием для рекомендации тиражирования данного подхода на аналогичные объекты.</w:t>
      </w:r>
    </w:p>
    <w:p>
      <w:pPr>
        <w:pStyle w:val="Основной текст"/>
        <w:ind w:firstLine="709"/>
      </w:pPr>
      <w:r>
        <w:rPr>
          <w:rFonts w:ascii="Times New Roman" w:hAnsi="Times New Roman"/>
          <w:sz w:val="28"/>
        </w:rPr>
        <w:t>В перспективе дальнейшего развития системы целесообразно рассмотреть переход от П-регулятора к предиктивному управлению (MPC) с использованием прогноза заполняемости зала на основе данных о продажах билетов. Интеграция с CRM-системой кинотеатра позволит алгоритму заблаговременно готовиться к началу сеанса и снижать расход воздуха сразу после его окончания — до того, как датчик CO₂ успевает зафиксировать снижение. По оценкам из литературы [1, 12], такой «проактивный» подход даёт дополнительные 5–10 % экономии сверх реактивного DCV. Реализация предиктивного управления возможна на существующем аппаратном обеспечении (IPC с Node-RED) путём программного обновления без дополнительных капитальных затрат.</w:t>
      </w:r>
    </w:p>
    <w:p>
      <w:pPr>
        <w:pStyle w:val="Основной текст"/>
        <w:ind w:firstLine="709"/>
      </w:pPr>
      <w:r>
        <w:rPr>
          <w:rFonts w:ascii="Times New Roman" w:hAnsi="Times New Roman"/>
          <w:sz w:val="28"/>
        </w:rPr>
        <w:t>В перспективе дальнейшего развития системы целесообразно рассмотреть переход от П-регулятора к предиктивному управлению (MPC) с использованием прогноза заполняемости зала на основе данных о продажах билетов. Интеграция с CRM-системой кинотеатра позволит алгоритму заблаговременно готовиться к началу сеанса и снижать расход воздуха сразу после его окончания — до того, как датчик CO₂ успевает зафиксировать снижение. По оценкам из литературы [1, 12], такой «проактивный» подход даёт дополнительные 5–10 % экономии сверх реактивного DCV. Реализация предиктивного управления возможна на существующем аппаратном обеспечении (IPC с Node-RED) путём программного обновления без дополнительных капитальных затрат.</w:t>
      </w:r>
    </w:p>
    <w:p>
      <w:pPr>
        <w:pStyle w:val="Основной текст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Следующий шаг — алгоритм предиктивного управления (MPC) с учётом расписания сеансов и прогноза погоды: он сможет прогревать зал заранее, не тратя энергию вхолостую. Ещё одно направление — распространить методику на другие залы кинотеатра: они устроены похоже, но имеют разную вместимость и загрузку.</w:t>
      </w:r>
    </w:p>
    <w:p>
      <w:pPr>
        <w:pStyle w:val="Основной текст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ИСПОЛЬЗУЕМЫХ ИСТОЧНИКОВ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60.13330.2020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 и кондиционирование воздуха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41-01-2003.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118.13330.2012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Общественные здания и сооружения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31-06-2009.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Минрегион России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2012.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131.13330.2020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Строительная климатология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23-01-99*.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Раздел ИОС «Отопление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вентиляция и кондиционирование воздуха»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ИОС «Тепломеханические решения»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30494-2011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Здания жилые и общественные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микроклимата в помещениях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Стандартинформ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2013.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ФЗ от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23.11.2009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«Об энергосбережении и о повышении энергетической эффективности»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Государственная Дума РФ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2009.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 Almatared M., Abuhussain M., Andleeb Z., Bashir F. (2025) Adaptive reinforcement learning algorithm for real-time energy optimization in building digital twins with heterogeneous IoT sensor networks. Automation in Construction, 182, 106714.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 Tarragona J., Gangolells M., Casals M. (2024) Model predictive control for managing indoor air quality levels in buildings. Energy Reports, 12, 787-801.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 Lu X., Pang Z., Fu Y., O'Neill Z. (2022) The nexus of the indoor CO2 concentration and ventilation demands underlying CO2-based demand-controlled ventilation in commercial buildings: A critical review. Building and Environment, 218, 109116.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 Taheri S., Amiri A., Razban A. (2024) Real-world implementation of a cloud-based MPC for HVAC control in educational buildings. Energy Conversion and Management, 305, 118270.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 Yu L., Qin S., Zhang M., Shen C., Jiang T., Guan X. (2021) A Review of Deep Reinforcement Learning for Smart Building Energy Management. IEEE Internet of Things Journal, 8, 12046-12063.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 Khabbazi A. Et al. (2025) Lessons learned from field demonstrations of model predictive control and reinforcement learning for residential and commercial HVAC: A review. Applied Energy, 399, 126459.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 Song G., Ai Z., Liu Z., Zhang G. (2022) A systematic literature review on smart and personalized ventilation using CO2 concentration monitoring and control. Energy Reports, 8, 7523-7536.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 Bae K., Choi E., Choi Y., Yun J., Yun G., Moon H., Moon J. (2025) Real-time ventilation control for indoor CO2 management using occupant information. Building and Environment, 285, 113568.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 Taheri S., Razban A. (2021) Learning-based CO2 concentration prediction: Application to indoor air quality control using demand-controlled ventilation. Building and Environment, 205, 108164.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17. Kim J. Et al. (2025) CO2 concentration prediction in office spaces using physics-informed neural network. Building and Environment, 288, 114035.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Каталог секций вентиляционных установок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ООО «НЭД»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Технический каталог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19.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ДКВ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 концентрации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CO2,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температуры и влажности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2023.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ПЛК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Программируемый логический контроллер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ПЧВ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2-A.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Частотный преобразователь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Комитет по тарифам Санкт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Тарифы на электрическую энергию для потребителей Санкт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на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2025-2026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Официальный портал Администрации 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23. Node-RED User Guide. OpenJS Foundation.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https://nodered.org/docs/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 02.03.2025).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24. EnergyPlus Engineering Reference. U.S. Department of Energy, 2024.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https://energyplus.net/documentation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 02.03.2025).</w:t>
      </w:r>
    </w:p>
    <w:p>
      <w:pPr>
        <w:pStyle w:val="Основной текст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25. OpenStudio SDK User Manual. NREL, 2024. 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https://openstudio-sdk-documentation.s3.amazonaws.com/index.html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 02.03.2025).</w:t>
      </w:r>
    </w:p>
    <w:sectPr>
      <w:headerReference w:type="default" r:id="rId4"/>
      <w:footerReference w:type="default" r:id="rId5"/>
      <w:pgSz w:w="11900" w:h="16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36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>
      <w:spacing w:after="0"/>
    </w:pPr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360" w:lineRule="auto"/>
      <w:ind w:left="0" w:right="0" w:firstLine="0"/>
      <w:jc w:val="center"/>
      <w:outlineLvl w:val="0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3">
    <w:name w:val="Рубрика 3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2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1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