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  <w:spacing w:before="0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РАЗРАБОТКА АВТОМАТИЗАЦИИ СИСТЕМЫ С АВТОМАТИЧЕСКИМ УПРАВЛЕНИЕМ ВОЗДУХООБМЕНОМ С ПРИМЕНЕНИЕМ ДАТЧИКОВ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CO2</w:t>
      </w:r>
    </w:p>
    <w:p>
      <w:pPr>
        <w:pStyle w:val="Рубрика 2"/>
        <w:spacing w:before="0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Функциональные требования и алгоритмы работы системы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Именно второй блок рассматривается в этом разделе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В рамках данного раздела разработана система автоматического управления вентиляцией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реализующая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алгоритм в соответствии со сценарием «</w:t>
      </w:r>
      <w:r>
        <w:rPr>
          <w:rtl w:val="0"/>
          <w:lang w:val="ru-RU"/>
        </w:rPr>
        <w:t>DCV</w:t>
      </w:r>
      <w:r>
        <w:rPr>
          <w:rtl w:val="0"/>
          <w:lang w:val="ru-RU"/>
        </w:rPr>
        <w:t>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выбранным по результатам технико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экономической оценки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раздел </w:t>
      </w:r>
      <w:r>
        <w:rPr>
          <w:rtl w:val="0"/>
          <w:lang w:val="ru-RU"/>
        </w:rPr>
        <w:t xml:space="preserve">3.3). </w:t>
      </w:r>
      <w:r>
        <w:rPr>
          <w:rtl w:val="0"/>
          <w:lang w:val="ru-RU"/>
        </w:rPr>
        <w:t>Система строится по трёхуровневой архитектуре промышленной автоматизации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полевой уровень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датчики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управляющий уровень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ПЛК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диспетчерский уровень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Ключевым параметром управления является концентрация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в зрительном зале — наиболее объективный индикатор фактической потребности в вентиляции при переменной заполняемости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Требования к системе сформулированы с учётом нормативных документов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ГОСТ </w:t>
      </w:r>
      <w:r>
        <w:rPr>
          <w:rtl w:val="0"/>
          <w:lang w:val="ru-RU"/>
        </w:rPr>
        <w:t>30494-2011 [6] (</w:t>
      </w:r>
      <w:r>
        <w:rPr>
          <w:rtl w:val="0"/>
          <w:lang w:val="ru-RU"/>
        </w:rPr>
        <w:t>параметры микроклимата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СП </w:t>
      </w:r>
      <w:r>
        <w:rPr>
          <w:rtl w:val="0"/>
          <w:lang w:val="ru-RU"/>
        </w:rPr>
        <w:t>60.13330.2020 [1] (</w:t>
      </w:r>
      <w:r>
        <w:rPr>
          <w:rtl w:val="0"/>
          <w:lang w:val="ru-RU"/>
        </w:rPr>
        <w:t>системы вентиляции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а также технических характеристик агрегата </w:t>
      </w:r>
      <w:r>
        <w:rPr>
          <w:rtl w:val="0"/>
          <w:lang w:val="ru-RU"/>
        </w:rPr>
        <w:t xml:space="preserve">AIRNED-M6L. </w:t>
      </w:r>
      <w:r>
        <w:rPr>
          <w:rtl w:val="0"/>
          <w:lang w:val="ru-RU"/>
        </w:rPr>
        <w:t>Для оценки качества воздуха приняты следующие диапазоны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«отличное» — менее </w:t>
      </w:r>
      <w:r>
        <w:rPr>
          <w:rtl w:val="0"/>
          <w:lang w:val="ru-RU"/>
        </w:rPr>
        <w:t xml:space="preserve">800 ppm, </w:t>
      </w:r>
      <w:r>
        <w:rPr>
          <w:rtl w:val="0"/>
          <w:lang w:val="ru-RU"/>
        </w:rPr>
        <w:t xml:space="preserve">«хорошее» — </w:t>
      </w:r>
      <w:r>
        <w:rPr>
          <w:rtl w:val="0"/>
          <w:lang w:val="ru-RU"/>
        </w:rPr>
        <w:t xml:space="preserve">800-1000 ppm, </w:t>
      </w:r>
      <w:r>
        <w:rPr>
          <w:rtl w:val="0"/>
          <w:lang w:val="ru-RU"/>
        </w:rPr>
        <w:t xml:space="preserve">«допустимое» — менее </w:t>
      </w:r>
      <w:r>
        <w:rPr>
          <w:rtl w:val="0"/>
          <w:lang w:val="ru-RU"/>
        </w:rPr>
        <w:t xml:space="preserve">1400 ppm. </w:t>
      </w:r>
      <w:r>
        <w:rPr>
          <w:rtl w:val="0"/>
          <w:lang w:val="ru-RU"/>
        </w:rPr>
        <w:t xml:space="preserve">Уставка </w:t>
      </w:r>
      <w:r>
        <w:rPr>
          <w:rtl w:val="0"/>
          <w:lang w:val="ru-RU"/>
        </w:rPr>
        <w:t xml:space="preserve">800 ppm </w:t>
      </w:r>
      <w:r>
        <w:rPr>
          <w:rtl w:val="0"/>
          <w:lang w:val="ru-RU"/>
        </w:rPr>
        <w:t>выбрана как граница между категориями «отличное» и «хорошее»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позволяет ограничивать энергопотребление при сохранении нормативно допустимого микроклимата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Функциональные требования к системе перечислены ниже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Функциональные требования к системе автоматизации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непрерывное измерение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зрительном зале с периодом опроса не более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секунд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автоматическое регулирование производительности приточного и вытяжного вентиляторов пропорционально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CO2;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– поддержание концентрации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>на уровне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не превышающем нормативный предел </w:t>
      </w:r>
      <w:r>
        <w:rPr>
          <w:rtl w:val="0"/>
          <w:lang w:val="ru-RU"/>
        </w:rPr>
        <w:t xml:space="preserve">1 400 ppm, </w:t>
      </w:r>
      <w:r>
        <w:rPr>
          <w:rtl w:val="0"/>
          <w:lang w:val="ru-RU"/>
        </w:rPr>
        <w:t xml:space="preserve">при рабочей уставке </w:t>
      </w:r>
      <w:r>
        <w:rPr>
          <w:rtl w:val="0"/>
          <w:lang w:val="ru-RU"/>
        </w:rPr>
        <w:t>800 ppm;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обеспечение минимального санитарного воздухообмена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(20 %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номинала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отсутствии зрителей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автоматический переход в дежурный режим по сигналу расписания или 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&lt; 450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течение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– формирование предупредительной сигнализации при </w:t>
      </w:r>
      <w:r>
        <w:rPr>
          <w:rtl w:val="0"/>
          <w:lang w:val="ru-RU"/>
        </w:rPr>
        <w:t xml:space="preserve">CO2 &gt; 800 ppm </w:t>
      </w:r>
      <w:r>
        <w:rPr>
          <w:rtl w:val="0"/>
          <w:lang w:val="ru-RU"/>
        </w:rPr>
        <w:t xml:space="preserve">и аварийной сигнализации при </w:t>
      </w:r>
      <w:r>
        <w:rPr>
          <w:rtl w:val="0"/>
          <w:lang w:val="ru-RU"/>
        </w:rPr>
        <w:t>CO2 &gt; 1 400 ppm;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формирование аварийной сигнализации 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&gt; 1 400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выходом вентиляторов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100 %;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архивирование данных измерений с шагом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отображение текущих параметров и трендов на операторском дисплее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(HMI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или веб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панель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обеспечение ручного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дистанционного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управления режимами с блокировкой некорректных команд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Алгоритм работы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Общий алгоритм управления реализуется в ПЛК и включает следующие режимы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«Ночной»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людей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расписание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рабочее время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отключены или работают на минимальном расходе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10 %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дежурная вентиляция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предотвращения конденсата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«Предпуск»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минут до начала сеанса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выходят на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производительности для прогрева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охлаждения зала до целевой температуры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«Сеанс»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время показа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активный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Производительность вентиляторов регулируется пропорционально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 формуле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tabs>
          <w:tab w:val="center" w:pos="4674"/>
          <w:tab w:val="right" w:pos="9329"/>
        </w:tabs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ab/>
        <w:t>L(CO2) = L_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мин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+ (L_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ном 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L_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* max(0, min(1, (CO2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CO2_min) / (CO2_set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−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CO2_min))),</w:t>
      </w:r>
      <w:r>
        <w:rPr>
          <w:rtl w:val="0"/>
        </w:rPr>
        <w:tab/>
        <w:t>(4.1)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L(CO2)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текущий расход воздуха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 L_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мин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810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(20 %); L_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= 4 050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(100 %); CO2_min = 500 ppm; CO2_set = 800 ppm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рабочая уставка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DCV).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Режим «Межсеансовый»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перерыв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работают на минимальном допустимом расходе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удаления остаточного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из зала после выхода зрителей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 «Авария»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&gt; 1 400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вентиляторы принудительно выходят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100 %;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формируется световой и звуковой сигнал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журнал событий записывается отметка времени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Диаграмма переходов между режимами показана 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4.1.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60000" cy="2896364"/>
            <wp:effectExtent l="0" t="0" r="0" b="0"/>
            <wp:docPr id="1073741825" name="officeArt object" descr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9" descr="Picture 9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9636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Диаграмма режимов работы системы автоматизации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DCV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Диаграмма 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переходы между режимами выполняются по чётким пороговым условиям без неопределённых состояний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Аварийный режим имеет наивысший приоритет и активируется при превышении допустимой концентрации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>независимо от текущего режима работы</w:t>
      </w:r>
      <w:r>
        <w:rPr>
          <w:rtl w:val="0"/>
          <w:lang w:val="ru-RU"/>
        </w:rPr>
        <w:t>.</w:t>
      </w:r>
    </w:p>
    <w:p>
      <w:pPr>
        <w:pStyle w:val="Рубрика 2"/>
        <w:spacing w:before="0"/>
        <w:ind w:firstLine="709"/>
        <w:jc w:val="both"/>
      </w:pPr>
      <w:r>
        <w:t>4.2 Составление структурной схемы автоматизации, схем подключения датчиков и исполнительных устройств к контроллеру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автоматизации спроектирована по трехуровневой архитектуре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стандарту промышленных АСУТП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Полевой уровень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два датчика 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(CO2 + T + RH, Modbus RTU),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два частотных преобразователя ОВЕН 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приточного и вытяжного вентиляторов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Управляющий уровень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дискретных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аналоговых входов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выходов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программируемый на языке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CODESYS 3.5.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Диспетчерский уровень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IPC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Node-RED,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-Dashboard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оператора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доступ с ПК или смартфона через браузер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Уровень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полевой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датчики и исполнительные механизмы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(2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датчики температуры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входят в состав 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частотные преобразователи приточного и вытяжного вентиляторов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шт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2-A),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электрический роторный рекуператор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привод ротора с регулятором частоты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Уровень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управляющий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и локальный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HMI):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промышленный компьютер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(IPC)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операционной системой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Linux,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программное обеспечение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Node-RED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установлено 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IPC),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панель оператора ОВЕН СП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307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сенсорный экран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дюймов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подключение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Modbus TCP).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Уровень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диспетчерский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удалённый мониторинг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): SCADA-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или веб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интерфейс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Node-RED Dashboard,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доступный по локальной сети здания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уведомления на мобильный телефон администратора при авариях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Информационные потоки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(RS-485, Modbus RTU)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→ ПЛК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(COM1);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аналоговый выход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→ ЧП приточного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аналоговый выход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→ ЧП вытяжного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(Ethernet, Modbus TCP)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→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IPC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Node-RED;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Node-RED (Modbus TCP)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→ ЧП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мониторинг тока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частоты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Node-RED (HTTP)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→ веб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интерфейс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Dashboard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→ оператор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смартфон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Описанная трёхуровневая архитектура обеспечивает независимость уровней при отказах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 потере связи с диспетчерским уровнем ПЛК продолжает выполнять основной алгоритм управления в автономном режиме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отказе датчиков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ПЛК переходит в резервный режим по расписанию сеансов </w:t>
      </w:r>
      <w:r>
        <w:rPr>
          <w:rtl w:val="0"/>
          <w:lang w:val="ru-RU"/>
        </w:rPr>
        <w:t>(100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расход в период сеанса</w:t>
      </w:r>
      <w:r>
        <w:rPr>
          <w:rtl w:val="0"/>
          <w:lang w:val="ru-RU"/>
        </w:rPr>
        <w:t>, 30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межсеансовые паузы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 гарантирует минимальный санитарный воздухообмен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Такая логика </w:t>
      </w:r>
      <w:r>
        <w:rPr>
          <w:rtl w:val="0"/>
          <w:lang w:val="ru-RU"/>
        </w:rPr>
        <w:t xml:space="preserve">failsafe </w:t>
      </w:r>
      <w:r>
        <w:rPr>
          <w:rtl w:val="0"/>
          <w:lang w:val="ru-RU"/>
        </w:rPr>
        <w:t xml:space="preserve">соответствует требованиям функциональной безопасности для систем </w:t>
      </w:r>
      <w:r>
        <w:rPr>
          <w:rtl w:val="0"/>
          <w:lang w:val="ru-RU"/>
        </w:rPr>
        <w:t xml:space="preserve">HVAC </w:t>
      </w:r>
      <w:r>
        <w:rPr>
          <w:rtl w:val="0"/>
          <w:lang w:val="ru-RU"/>
        </w:rPr>
        <w:t>в общественных зданиях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Выбор интерфейса </w:t>
      </w:r>
      <w:r>
        <w:rPr>
          <w:rtl w:val="0"/>
          <w:lang w:val="ru-RU"/>
        </w:rPr>
        <w:t xml:space="preserve">RS-485/Modbus RTU </w:t>
      </w:r>
      <w:r>
        <w:rPr>
          <w:rtl w:val="0"/>
          <w:lang w:val="ru-RU"/>
        </w:rPr>
        <w:t xml:space="preserve">для датчиков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обусловлен его высокой помехоустойчивостью в условиях электромагнитных помех вентиляционного оборудования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допустимая длина шины до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>200</w:t>
      </w:r>
      <w:r>
        <w:rPr>
          <w:rtl w:val="0"/>
          <w:lang w:val="ru-RU"/>
        </w:rPr>
        <w:t> м позволяет подключить датчики в разных зонах зала без дополнительных усилителей сигнала</w:t>
      </w:r>
      <w:r>
        <w:rPr>
          <w:rtl w:val="0"/>
          <w:lang w:val="ru-RU"/>
        </w:rPr>
        <w:t>. Ethernet/Modbus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TCP </w:t>
      </w:r>
      <w:r>
        <w:rPr>
          <w:rtl w:val="0"/>
          <w:lang w:val="ru-RU"/>
        </w:rPr>
        <w:t xml:space="preserve">применяется для связи ПЛК с промышленным компьютером </w:t>
      </w:r>
      <w:r>
        <w:rPr>
          <w:rtl w:val="0"/>
          <w:lang w:val="ru-RU"/>
        </w:rPr>
        <w:t xml:space="preserve">(IPC) </w:t>
      </w:r>
      <w:r>
        <w:rPr>
          <w:rtl w:val="0"/>
          <w:lang w:val="ru-RU"/>
        </w:rPr>
        <w:t>— благодаря стандартизованности и совместимости с существующей ИТ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инфраструктурой кинотеатра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Такой выбор протоколов минимизирует стоимость монтажа и упрощает последующую диагностику системы</w:t>
      </w:r>
      <w:r>
        <w:rPr>
          <w:rtl w:val="0"/>
          <w:lang w:val="ru-RU"/>
        </w:rPr>
        <w:t>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60000" cy="3076514"/>
            <wp:effectExtent l="0" t="0" r="0" b="0"/>
            <wp:docPr id="1073741826" name="officeArt object" descr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10" descr="Picture 10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7651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Структурная схема автоматизации системы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DCV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кинозала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Схема наглядно отражает чёткое разделение на полевой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управляющий и диспетчерский уровни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Использование промышленных протоколов </w:t>
      </w:r>
      <w:r>
        <w:rPr>
          <w:rtl w:val="0"/>
          <w:lang w:val="ru-RU"/>
        </w:rPr>
        <w:t xml:space="preserve">RS-485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Modbus TCP </w:t>
      </w:r>
      <w:r>
        <w:rPr>
          <w:rtl w:val="0"/>
          <w:lang w:val="ru-RU"/>
        </w:rPr>
        <w:t>обеспечивает надёжный обмен данными и возможность удалённого мониторинга через веб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интерфейс</w:t>
      </w:r>
      <w:r>
        <w:rPr>
          <w:rtl w:val="0"/>
          <w:lang w:val="ru-RU"/>
        </w:rPr>
        <w:t>.</w:t>
      </w:r>
    </w:p>
    <w:p>
      <w:pPr>
        <w:pStyle w:val="Рубрика 2"/>
        <w:spacing w:before="0"/>
        <w:ind w:firstLine="709"/>
        <w:jc w:val="both"/>
      </w:pPr>
      <w:r>
        <w:t>4.2.1 Схемы подключения датчиков и исполнительных устройств к контроллеру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Монтаж датчиков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первый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центральной зоне зала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ряд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8-9),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высота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 от уровня пола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второй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задней стены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ряд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14-15),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высота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Оба подключены 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COM1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ПЛК по шине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RS-485,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кабель МКЭШ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2x0,5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Протокол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Modbus RTU: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адреса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скорость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9600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бод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период опроса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Питание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постоянного тока от встроенного источника ПЛК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(MEAN WELL MDR-60-24).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Длина кабельной линии от ЩА до дальнего датчика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при сечении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дает падение напряжения менее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допустимо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Кабельная продукция для линий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RS-485: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экранированный кабель типа МКЭШ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2x0,5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КВПЭф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1x2x0,5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длина линии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RS-485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допустимо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1 200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 без повторителей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Экран кабеля заземляется на щите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Подключение частотных преобразователей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Управляющий сигнал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подаётся с аналоговых выходов ПЛК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(AO1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ЧП приточного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AO2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ЧП вытяжного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Силовые кабели от ЧП к двигателям вентиляторов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кабели типа ВВГ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нг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3x2,5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металлорукаве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Обратная связь о фактической частоте и токе двигателей снимается с выходов ЧП через аналоговые входы ПЛК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(AI1-AI2, 0-10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отображения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HMI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формирования аварийной сигнализации при перегрузке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Схема подключения показана 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4.3.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60000" cy="2853578"/>
            <wp:effectExtent l="0" t="0" r="0" b="0"/>
            <wp:docPr id="1073741827" name="officeArt object" descr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11" descr="Picture 1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5357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Схема подключения датчиков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ЧП к ПЛК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Схема силовых цепей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Питание системы автоматизации осуществляется от щита автоматики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кинозала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подключённого к вводному распределительному щиту здания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ЩА установлены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(16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защита ЧП приточного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(16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защита ЧП вытяжного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(6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защита ПЛК и источника питания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источник питания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датчиков и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промышленный компьютер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IPC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отдельный автомат АВ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4, 6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680000" cy="3268422"/>
            <wp:effectExtent l="0" t="0" r="0" b="0"/>
            <wp:docPr id="1073741828" name="officeArt object" descr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12" descr="Picture 12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842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Схема силовых цепей щита автоматики ЩА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однолинейная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Схема подтверждает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каждый потребитель защищён индивидуальным автоматическим выключателем с номиналом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соответствующим расчётной токовой нагрузке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Такое исполнение щита обеспечивает независимое отключение любого компонента и соответствует требованиям ПУЭ</w:t>
      </w:r>
      <w:r>
        <w:rPr>
          <w:rtl w:val="0"/>
          <w:lang w:val="ru-RU"/>
        </w:rPr>
        <w:t>.</w:t>
      </w:r>
    </w:p>
    <w:p>
      <w:pPr>
        <w:pStyle w:val="Рубрика 2"/>
        <w:spacing w:before="0"/>
        <w:ind w:firstLine="709"/>
        <w:jc w:val="both"/>
      </w:pPr>
      <w:r>
        <w:t>4.2.2 Реализация системы управления в среде Node-RED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таблице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приведён перечень всех узлов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(nodes)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разработанного потока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описанием назначения и конфигурации каждого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Перечень узлов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(nodes)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потока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системы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DCV-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управления</w:t>
      </w:r>
    </w:p>
    <w:tbl>
      <w:tblPr>
        <w:tblW w:w="9356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9"/>
        <w:gridCol w:w="2339"/>
        <w:gridCol w:w="2338"/>
        <w:gridCol w:w="2340"/>
      </w:tblGrid>
      <w:tr>
        <w:tblPrEx>
          <w:shd w:val="clear" w:color="auto" w:fill="ced7e7"/>
        </w:tblPrEx>
        <w:trPr>
          <w:trHeight w:val="745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Узел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(Node)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Тип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Ключевые параметры</w:t>
            </w:r>
          </w:p>
        </w:tc>
      </w:tr>
      <w:tr>
        <w:tblPrEx>
          <w:shd w:val="clear" w:color="auto" w:fill="ced7e7"/>
        </w:tblPrEx>
        <w:trPr>
          <w:trHeight w:val="119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Inject_timer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Inject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Периодический запуск опроса датчиков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Период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: 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однократный запуск при старте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modbus_read_co2_s1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Modbus-read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Чтение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AI1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ПЛК —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CO2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датчик №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unit=1, InputRegister 0..2,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период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modbus_read_co2_s2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Modbus-read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Чтение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AI2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ПЛК —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CO2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датчик №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unit=1, InputRegister 3..5,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период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</w:t>
            </w:r>
          </w:p>
        </w:tc>
      </w:tr>
      <w:tr>
        <w:tblPrEx>
          <w:shd w:val="clear" w:color="auto" w:fill="ced7e7"/>
        </w:tblPrEx>
        <w:trPr>
          <w:trHeight w:val="119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merge_data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Слияние данных датчиков и выбор режима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max(CO2), standby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CO2 &lt; 450 ppm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в течение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</w:tr>
      <w:tr>
        <w:tblPrEx>
          <w:shd w:val="clear" w:color="auto" w:fill="ced7e7"/>
        </w:tblPrEx>
        <w:trPr>
          <w:trHeight w:val="2079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dcv_controller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Алгоритм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DCV-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управления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Режимы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: NIGHT / PRESTART / INTERMISSION / STANDBY / SESSION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write_vfd_supply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Подготовка записи ЧП П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HR10, unit=1, fc=16</w:t>
            </w:r>
          </w:p>
        </w:tc>
      </w:tr>
      <w:tr>
        <w:tblPrEx>
          <w:shd w:val="clear" w:color="auto" w:fill="ced7e7"/>
        </w:tblPrEx>
        <w:trPr>
          <w:trHeight w:val="745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write_vfd_exhaust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Подготовка записи ЧП В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HR11, unit=1, fc=16</w:t>
            </w:r>
          </w:p>
        </w:tc>
      </w:tr>
      <w:tr>
        <w:tblPrEx>
          <w:shd w:val="clear" w:color="auto" w:fill="ced7e7"/>
        </w:tblPrEx>
        <w:trPr>
          <w:trHeight w:val="119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dashboard_gauge_co2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Ui_gauge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Индикатор концентрации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CO2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Диапазон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: 400-1500 ppm,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пороги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800/1200</w:t>
            </w:r>
          </w:p>
        </w:tc>
      </w:tr>
      <w:tr>
        <w:tblPrEx>
          <w:shd w:val="clear" w:color="auto" w:fill="ced7e7"/>
        </w:tblPrEx>
        <w:trPr>
          <w:trHeight w:val="745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dashboard_chart_co2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Ui_chart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Тренд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CO2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24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Тип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: line,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окно хранения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24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</w:tr>
      <w:tr>
        <w:tblPrEx>
          <w:shd w:val="clear" w:color="auto" w:fill="ced7e7"/>
        </w:tblPrEx>
        <w:trPr>
          <w:trHeight w:val="119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dashboard_gauge_fan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Ui_gauge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Индикатор производительности вентилятора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Диапазон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: 0-100 %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dashboard_text_status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Ui_text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Текущий режим и статус системы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Строка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: msg.payload.status</w:t>
            </w:r>
          </w:p>
        </w:tc>
      </w:tr>
      <w:tr>
        <w:tblPrEx>
          <w:shd w:val="clear" w:color="auto" w:fill="ced7e7"/>
        </w:tblPrEx>
        <w:trPr>
          <w:trHeight w:val="119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archive_csv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Архивирование телеметрии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Шаг записи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: 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файл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dcv_YYYY-MM-DD.csv</w:t>
            </w:r>
          </w:p>
        </w:tc>
      </w:tr>
      <w:tr>
        <w:tblPrEx>
          <w:shd w:val="clear" w:color="auto" w:fill="ced7e7"/>
        </w:tblPrEx>
        <w:trPr>
          <w:trHeight w:val="745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file_write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File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Запись данных в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CSV-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файл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append,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каталог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/home/node-red/logs</w:t>
            </w:r>
          </w:p>
        </w:tc>
      </w:tr>
      <w:tr>
        <w:tblPrEx>
          <w:shd w:val="clear" w:color="auto" w:fill="ced7e7"/>
        </w:tblPrEx>
        <w:trPr>
          <w:trHeight w:val="1190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alarm_handler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предупреждений и аварий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Уровни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: WARNING / ALARM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alarm_notify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Debug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Вывод уведомления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Лог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/ Telegram-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канал</w:t>
            </w:r>
          </w:p>
        </w:tc>
      </w:tr>
      <w:tr>
        <w:tblPrEx>
          <w:shd w:val="clear" w:color="auto" w:fill="ced7e7"/>
        </w:tblPrEx>
        <w:trPr>
          <w:trHeight w:val="961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energy_calculator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Function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Расчёт суточной экономии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Вывод в кВт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*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 и руб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079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manual_mode_inject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Ui_dropdown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Ручной выбор режима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AUTO, NIGHT, PRESTART, SESSION, INTERMISSION, STANDBY</w:t>
            </w:r>
          </w:p>
        </w:tc>
      </w:tr>
      <w:tr>
        <w:tblPrEx>
          <w:shd w:val="clear" w:color="auto" w:fill="ced7e7"/>
        </w:tblPrEx>
        <w:trPr>
          <w:trHeight w:val="1317" w:hRule="atLeast"/>
        </w:trPr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dashboard_energy_text</w:t>
            </w:r>
          </w:p>
        </w:tc>
        <w:tc>
          <w:tcPr>
            <w:tcW w:type="dxa" w:w="233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Ui_text</w:t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Индикация суточной экономии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Поля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: daily_savings_kwh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daily_savings_rub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jc w:val="center"/>
      </w:pP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Итого в потоке задействовано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узлов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объединённых 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тематических групп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опрос датчиков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алгоритм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выдача команд на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мониторинг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Dashboard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архивирование данных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Такая группировка позволяет легко разобраться в логике потока при дальнейшем сопровождении и доработке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открытая платформа программирования потоков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(flow-based programming)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Node.js.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IBM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2013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IoT-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задач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Передана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OpenJS Foundation.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данным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npmjs.com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январь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2025),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пакет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скачивается более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60 000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 в неделю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объекта масштаба кинозала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предпочтителен перед коммерческими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SCADA: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нет лицензионных отчислений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работает на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Raspberry Pi 5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стоимость около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7 000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поддерживает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Modbus TCP/RTU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через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node-red-contrib-modbus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имеет встроенный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Dashboard.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Разработанный поток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состоит из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узлов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объединённых в пять функциональных групп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Коммуникация с ПЛК 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организована через библиотеку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node-red-contrib-modbus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протоколу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Modbus TCP/IP.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среде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реализован не весь алгоритм управления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пропорциональный регулятор работает в ПЛК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; 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отвечает за визуализацию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архивирование данных и вспомогательные функции верхнего уровня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Опрос датчиков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узел </w:t>
      </w:r>
      <w:r>
        <w:rPr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Inject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таймер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период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запускает опрос датчиков 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по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Modbus RTU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через узел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node-red-contrib-modbus.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Опрашиваются регистры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0x0000 (CO2, ppm), 0x0001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температура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x0,1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C), 0x0002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относительная влажность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x0,1 %).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 двух датчиков объединяется узлом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Join,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в поток передаётся максимальное значение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из двух датчиков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Алгоритм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узел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Function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реализует алгоритм расчёта уставки частоты для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Входные данные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(ppm),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текущий режим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сеанс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/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межсеансовый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/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ночь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Выходные данные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уставка частоты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(0-50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передаётся как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0-100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масштабирования в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флаги предупреждений и аварий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Выдача управления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узел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node-red-contrib-modbus-write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записывает уставку частоты в регистр ЧП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приточный вентилятор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: Modbus TCP,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адрес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0x03;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вытяжной вентилятор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адрес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0x04).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Баланс приток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вытяжка поддерживается одинаковой уставкой для обоих вентиляторов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Мониторинг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Dashboard: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узлы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node-red-dashboard: gauge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CO2), chart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тренд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часа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), gauge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производительность вентилятора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%), text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 работы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Уведомления формируются узлом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e-mail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Telegram-bot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аварийных условиях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Архивирование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узел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CSV writer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записывает данные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время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CO2, T,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φ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частота ЧП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файл на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IPC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ротацией по суткам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Данные доступны для анализа и отчётности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Ниже приведён программный код основного функционального узла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(Function node)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алгоритма управления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4.5).</w:t>
      </w:r>
    </w:p>
    <w:p>
      <w:pPr>
        <w:pStyle w:val="Основной текст"/>
        <w:jc w:val="center"/>
      </w:pPr>
      <w:r>
        <w:drawing xmlns:a="http://schemas.openxmlformats.org/drawingml/2006/main">
          <wp:inline distT="0" distB="0" distL="0" distR="0">
            <wp:extent cx="4826579" cy="9253093"/>
            <wp:effectExtent l="0" t="0" r="0" b="0"/>
            <wp:docPr id="1073741829" name="officeArt object" descr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13" descr="Picture 13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579" cy="92530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ind w:firstLine="709"/>
        <w:jc w:val="both"/>
      </w:pPr>
      <w:r>
        <w:rPr>
          <w:rtl w:val="0"/>
          <w:lang w:val="en-US"/>
        </w:rPr>
        <w:t xml:space="preserve">Рисунок </w:t>
      </w:r>
      <w:r>
        <w:rPr>
          <w:rtl w:val="0"/>
        </w:rPr>
        <w:t xml:space="preserve">4.5 </w:t>
      </w:r>
      <w:r>
        <w:rPr>
          <w:rtl w:val="0"/>
          <w:lang w:val="en-US"/>
        </w:rPr>
        <w:t xml:space="preserve">— Программный код функционального узла </w:t>
      </w:r>
      <w:r>
        <w:rPr>
          <w:rtl w:val="0"/>
          <w:lang w:val="en-US"/>
        </w:rPr>
        <w:t>Node-RED (</w:t>
      </w:r>
      <w:r>
        <w:rPr>
          <w:rtl w:val="0"/>
          <w:lang w:val="en-US"/>
        </w:rPr>
        <w:t xml:space="preserve">алгоритм </w:t>
      </w:r>
      <w:r>
        <w:rPr>
          <w:rtl w:val="0"/>
          <w:lang w:val="da-DK"/>
        </w:rPr>
        <w:t>DCV-</w:t>
      </w:r>
      <w:r>
        <w:rPr>
          <w:rtl w:val="0"/>
          <w:lang w:val="en-US"/>
        </w:rPr>
        <w:t>управления</w:t>
      </w:r>
      <w:r>
        <w:rPr>
          <w:rtl w:val="0"/>
        </w:rPr>
        <w:t>)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Код реализует алгоритм управления с пятью режимами работы</w:t>
      </w:r>
      <w:r>
        <w:rPr>
          <w:rtl w:val="0"/>
          <w:lang w:val="ru-RU"/>
        </w:rPr>
        <w:t xml:space="preserve">: NIGHT, PRESTART, INTERMISSION, STANDBY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SESSION. </w:t>
      </w:r>
      <w:r>
        <w:rPr>
          <w:rtl w:val="0"/>
          <w:lang w:val="ru-RU"/>
        </w:rPr>
        <w:t xml:space="preserve">В режиме </w:t>
      </w:r>
      <w:r>
        <w:rPr>
          <w:rtl w:val="0"/>
          <w:lang w:val="ru-RU"/>
        </w:rPr>
        <w:t xml:space="preserve">SESSION </w:t>
      </w:r>
      <w:r>
        <w:rPr>
          <w:rtl w:val="0"/>
          <w:lang w:val="ru-RU"/>
        </w:rPr>
        <w:t xml:space="preserve">производительность вентилятора изменяется по линейному закону в диапазоне </w:t>
      </w:r>
      <w:r>
        <w:rPr>
          <w:rtl w:val="0"/>
          <w:lang w:val="ru-RU"/>
        </w:rPr>
        <w:t xml:space="preserve">20-100 % </w:t>
      </w:r>
      <w:r>
        <w:rPr>
          <w:rtl w:val="0"/>
          <w:lang w:val="ru-RU"/>
        </w:rPr>
        <w:t xml:space="preserve">при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от </w:t>
      </w:r>
      <w:r>
        <w:rPr>
          <w:rtl w:val="0"/>
          <w:lang w:val="ru-RU"/>
        </w:rPr>
        <w:t xml:space="preserve">500 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800 ppm; </w:t>
      </w:r>
      <w:r>
        <w:rPr>
          <w:rtl w:val="0"/>
          <w:lang w:val="ru-RU"/>
        </w:rPr>
        <w:t xml:space="preserve">при превышении </w:t>
      </w:r>
      <w:r>
        <w:rPr>
          <w:rtl w:val="0"/>
          <w:lang w:val="ru-RU"/>
        </w:rPr>
        <w:t xml:space="preserve">800 ppm </w:t>
      </w:r>
      <w:r>
        <w:rPr>
          <w:rtl w:val="0"/>
          <w:lang w:val="ru-RU"/>
        </w:rPr>
        <w:t xml:space="preserve">система переводит вентиляторы на </w:t>
      </w:r>
      <w:r>
        <w:rPr>
          <w:rtl w:val="0"/>
          <w:lang w:val="ru-RU"/>
        </w:rPr>
        <w:t xml:space="preserve">100 % </w:t>
      </w:r>
      <w:r>
        <w:rPr>
          <w:rtl w:val="0"/>
          <w:lang w:val="ru-RU"/>
        </w:rPr>
        <w:t>с предупреждением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при превышении </w:t>
      </w:r>
      <w:r>
        <w:rPr>
          <w:rtl w:val="0"/>
          <w:lang w:val="ru-RU"/>
        </w:rPr>
        <w:t xml:space="preserve">1 400 ppm </w:t>
      </w:r>
      <w:r>
        <w:rPr>
          <w:rtl w:val="0"/>
          <w:lang w:val="ru-RU"/>
        </w:rPr>
        <w:t>формирует аварийный сигнал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Встроенный расчёт фактической электрической мощности позволяет отображать текущую экономию относительно базового режима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Опрос датчиков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выполняется с периодом </w:t>
      </w:r>
      <w:r>
        <w:rPr>
          <w:rtl w:val="0"/>
          <w:lang w:val="ru-RU"/>
        </w:rPr>
        <w:t xml:space="preserve">30 </w:t>
      </w:r>
      <w:r>
        <w:rPr>
          <w:rtl w:val="0"/>
          <w:lang w:val="ru-RU"/>
        </w:rPr>
        <w:t>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После объединения показаний используется максимум из двух датчиков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при длительном снижении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ниже </w:t>
      </w:r>
      <w:r>
        <w:rPr>
          <w:rtl w:val="0"/>
          <w:lang w:val="ru-RU"/>
        </w:rPr>
        <w:t xml:space="preserve">450 ppm </w:t>
      </w:r>
      <w:r>
        <w:rPr>
          <w:rtl w:val="0"/>
          <w:lang w:val="ru-RU"/>
        </w:rPr>
        <w:t xml:space="preserve">в течение </w:t>
      </w:r>
      <w:r>
        <w:rPr>
          <w:rtl w:val="0"/>
          <w:lang w:val="ru-RU"/>
        </w:rPr>
        <w:t xml:space="preserve">15 </w:t>
      </w:r>
      <w:r>
        <w:rPr>
          <w:rtl w:val="0"/>
          <w:lang w:val="ru-RU"/>
        </w:rPr>
        <w:t xml:space="preserve">минут система автоматически переходит в режим </w:t>
      </w:r>
      <w:r>
        <w:rPr>
          <w:rtl w:val="0"/>
          <w:lang w:val="ru-RU"/>
        </w:rPr>
        <w:t xml:space="preserve">STANDBY. </w:t>
      </w:r>
      <w:r>
        <w:rPr>
          <w:rtl w:val="0"/>
          <w:lang w:val="ru-RU"/>
        </w:rPr>
        <w:t xml:space="preserve">В режиме </w:t>
      </w:r>
      <w:r>
        <w:rPr>
          <w:rtl w:val="0"/>
          <w:lang w:val="ru-RU"/>
        </w:rPr>
        <w:t xml:space="preserve">SESSION </w:t>
      </w:r>
      <w:r>
        <w:rPr>
          <w:rtl w:val="0"/>
          <w:lang w:val="ru-RU"/>
        </w:rPr>
        <w:t xml:space="preserve">уставка частоты определяется линейной интерполяцией между </w:t>
      </w:r>
      <w:r>
        <w:rPr>
          <w:rtl w:val="0"/>
          <w:lang w:val="ru-RU"/>
        </w:rPr>
        <w:t xml:space="preserve">20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100 % </w:t>
      </w:r>
      <w:r>
        <w:rPr>
          <w:rtl w:val="0"/>
          <w:lang w:val="ru-RU"/>
        </w:rPr>
        <w:t xml:space="preserve">производительности в диапазоне </w:t>
      </w:r>
      <w:r>
        <w:rPr>
          <w:rtl w:val="0"/>
          <w:lang w:val="ru-RU"/>
        </w:rPr>
        <w:t xml:space="preserve">500-800 ppm </w:t>
      </w:r>
      <w:r>
        <w:rPr>
          <w:rtl w:val="0"/>
          <w:lang w:val="ru-RU"/>
        </w:rPr>
        <w:t>без интегральной составляющей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в остальных режимах используются фиксированные уставки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Система мониторинга обеспечивает непрерывную запись следующих параметров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концентрация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(ppm) </w:t>
      </w:r>
      <w:r>
        <w:rPr>
          <w:rtl w:val="0"/>
          <w:lang w:val="ru-RU"/>
        </w:rPr>
        <w:t>от каждого датчика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текущий расход воздуха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м³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по характеристике вентилятора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мощность нагревателя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температура приточного и вытяжного воздуха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Интервал записи —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 мин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глубина хранения — </w:t>
      </w:r>
      <w:r>
        <w:rPr>
          <w:rtl w:val="0"/>
          <w:lang w:val="ru-RU"/>
        </w:rPr>
        <w:t xml:space="preserve">12 </w:t>
      </w:r>
      <w:r>
        <w:rPr>
          <w:rtl w:val="0"/>
          <w:lang w:val="ru-RU"/>
        </w:rPr>
        <w:t xml:space="preserve">месяцев на локальном </w:t>
      </w:r>
      <w:r>
        <w:rPr>
          <w:rtl w:val="0"/>
          <w:lang w:val="ru-RU"/>
        </w:rPr>
        <w:t xml:space="preserve">SSD </w:t>
      </w:r>
      <w:r>
        <w:rPr>
          <w:rtl w:val="0"/>
          <w:lang w:val="ru-RU"/>
        </w:rPr>
        <w:t>промышленного компьютера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Данные экспортируются в форматах </w:t>
      </w:r>
      <w:r>
        <w:rPr>
          <w:rtl w:val="0"/>
          <w:lang w:val="ru-RU"/>
        </w:rPr>
        <w:t xml:space="preserve">CSV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JSON </w:t>
      </w:r>
      <w:r>
        <w:rPr>
          <w:rtl w:val="0"/>
          <w:lang w:val="ru-RU"/>
        </w:rPr>
        <w:t>для последующего энергоаудита и верификации расчётных оценок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Полный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JSON-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файл потока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Node-RED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импорта в среду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Node-RED)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приведён в файле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automation/node_red_flow.json,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входящем в состав материалов ВКР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Тестирование системы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работоспособности алгоритма выполнялась путём имитации входного сигнала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диапазоне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400-1 500 ppm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шагом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50 ppm.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Результаты тестирования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4.1)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подтверждают корректность реализации алгоритма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4.1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Результаты функционального тестирования алгоритма управления</w:t>
      </w:r>
    </w:p>
    <w:tbl>
      <w:tblPr>
        <w:tblW w:w="93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CO2, ppm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Режим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Уставка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, %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F_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выход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Гц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L_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расход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3/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ч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P_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факт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кВт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Сигнал</w:t>
            </w:r>
          </w:p>
        </w:tc>
      </w:tr>
      <w:tr>
        <w:tblPrEx>
          <w:shd w:val="clear" w:color="auto" w:fill="ced7e7"/>
        </w:tblPrEx>
        <w:trPr>
          <w:trHeight w:val="328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810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0,016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47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1 904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0,205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4 050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1,970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801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4 050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1,970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Warn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1 400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SESSION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4 050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1,970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Alarm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NIGHT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405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0,002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STANDBY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810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0,016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  <w:tr>
        <w:tblPrEx>
          <w:shd w:val="clear" w:color="auto" w:fill="ced7e7"/>
        </w:tblPrEx>
        <w:trPr>
          <w:trHeight w:val="755" w:hRule="atLeast"/>
        </w:trPr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PRESTART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100</w:t>
            </w:r>
          </w:p>
        </w:tc>
        <w:tc>
          <w:tcPr>
            <w:tcW w:type="dxa" w:w="13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4 050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1,970</w:t>
            </w:r>
          </w:p>
        </w:tc>
        <w:tc>
          <w:tcPr>
            <w:tcW w:type="dxa" w:w="1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  <w:jc w:val="center"/>
      </w:pPr>
    </w:p>
    <w:p>
      <w:pPr>
        <w:pStyle w:val="Основной текст A"/>
        <w:widowControl w:val="0"/>
        <w:jc w:val="center"/>
      </w:pPr>
    </w:p>
    <w:p>
      <w:pPr>
        <w:pStyle w:val="Основной текст A"/>
        <w:jc w:val="both"/>
      </w:pP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Данные таблицы </w:t>
      </w:r>
      <w:r>
        <w:rPr>
          <w:rtl w:val="0"/>
          <w:lang w:val="ru-RU"/>
        </w:rPr>
        <w:t xml:space="preserve">4.1 </w:t>
      </w:r>
      <w:r>
        <w:rPr>
          <w:rtl w:val="0"/>
          <w:lang w:val="ru-RU"/>
        </w:rPr>
        <w:t>показывают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максимальная экономия достигается при низкой концентрации </w:t>
      </w:r>
      <w:r>
        <w:rPr>
          <w:rtl w:val="0"/>
          <w:lang w:val="ru-RU"/>
        </w:rPr>
        <w:t xml:space="preserve">CO2: 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при </w:t>
      </w:r>
      <w:r>
        <w:rPr>
          <w:rtl w:val="0"/>
          <w:lang w:val="ru-RU"/>
        </w:rPr>
        <w:t xml:space="preserve">400 ppm </w:t>
      </w:r>
      <w:r>
        <w:rPr>
          <w:rtl w:val="0"/>
          <w:lang w:val="ru-RU"/>
        </w:rPr>
        <w:t xml:space="preserve">в режиме </w:t>
      </w:r>
      <w:r>
        <w:rPr>
          <w:rtl w:val="0"/>
          <w:lang w:val="ru-RU"/>
        </w:rPr>
        <w:t xml:space="preserve">SESSION </w:t>
      </w:r>
      <w:r>
        <w:rPr>
          <w:rtl w:val="0"/>
          <w:lang w:val="ru-RU"/>
        </w:rPr>
        <w:t xml:space="preserve">вентилятор работает на </w:t>
      </w:r>
      <w:r>
        <w:rPr>
          <w:rtl w:val="0"/>
          <w:lang w:val="ru-RU"/>
        </w:rPr>
        <w:t xml:space="preserve">20 % </w:t>
      </w:r>
      <w:r>
        <w:rPr>
          <w:rtl w:val="0"/>
          <w:lang w:val="ru-RU"/>
        </w:rPr>
        <w:t xml:space="preserve">производительности и потребляет около </w:t>
      </w:r>
      <w:r>
        <w:rPr>
          <w:rtl w:val="0"/>
          <w:lang w:val="ru-RU"/>
        </w:rPr>
        <w:t xml:space="preserve">0,016 </w:t>
      </w:r>
      <w:r>
        <w:rPr>
          <w:rtl w:val="0"/>
          <w:lang w:val="ru-RU"/>
        </w:rPr>
        <w:t xml:space="preserve">кВт против </w:t>
      </w:r>
      <w:r>
        <w:rPr>
          <w:rtl w:val="0"/>
          <w:lang w:val="ru-RU"/>
        </w:rPr>
        <w:t xml:space="preserve">1,970 </w:t>
      </w:r>
      <w:r>
        <w:rPr>
          <w:rtl w:val="0"/>
          <w:lang w:val="ru-RU"/>
        </w:rPr>
        <w:t>кВт в базовом режиме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 мере роста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800 ppm </w:t>
      </w:r>
      <w:r>
        <w:rPr>
          <w:rtl w:val="0"/>
          <w:lang w:val="ru-RU"/>
        </w:rPr>
        <w:t xml:space="preserve">производительность возрастает до </w:t>
      </w:r>
      <w:r>
        <w:rPr>
          <w:rtl w:val="0"/>
          <w:lang w:val="ru-RU"/>
        </w:rPr>
        <w:t xml:space="preserve">100 %, </w:t>
      </w:r>
      <w:r>
        <w:rPr>
          <w:rtl w:val="0"/>
          <w:lang w:val="ru-RU"/>
        </w:rPr>
        <w:t>после чего система переходит в предупреждение или аварию без дополнительного роста расхода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Важным результатом функционального тестирования является подтверждение корректной работы режима </w:t>
      </w:r>
      <w:r>
        <w:rPr>
          <w:rtl w:val="0"/>
          <w:lang w:val="ru-RU"/>
        </w:rPr>
        <w:t xml:space="preserve">failsafe. </w:t>
      </w:r>
      <w:r>
        <w:rPr>
          <w:rtl w:val="0"/>
          <w:lang w:val="ru-RU"/>
        </w:rPr>
        <w:t xml:space="preserve">При имитации отказа обоих датчиков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система автоматически перешла в режим </w:t>
      </w:r>
      <w:r>
        <w:rPr>
          <w:rtl w:val="0"/>
          <w:lang w:val="ru-RU"/>
        </w:rPr>
        <w:t xml:space="preserve">SCHEDULE </w:t>
      </w:r>
      <w:r>
        <w:rPr>
          <w:rtl w:val="0"/>
          <w:lang w:val="ru-RU"/>
        </w:rPr>
        <w:t xml:space="preserve">с расходом </w:t>
      </w:r>
      <w:r>
        <w:rPr>
          <w:rtl w:val="0"/>
          <w:lang w:val="ru-RU"/>
        </w:rPr>
        <w:t>100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в период имитируемого сеанса и </w:t>
      </w:r>
      <w:r>
        <w:rPr>
          <w:rtl w:val="0"/>
          <w:lang w:val="ru-RU"/>
        </w:rPr>
        <w:t>20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>в паузах — без участия оператора и без потери управляемости частотным преобразователем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Переключение произошло в течение двух циклов опроса </w:t>
      </w:r>
      <w:r>
        <w:rPr>
          <w:rtl w:val="0"/>
          <w:lang w:val="ru-RU"/>
        </w:rPr>
        <w:t>(20</w:t>
      </w:r>
      <w:r>
        <w:rPr>
          <w:rtl w:val="0"/>
          <w:lang w:val="ru-RU"/>
        </w:rPr>
        <w:t> с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 укладывается в нормативный показатель времени реакции системы безопасности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подтверждает соответствие разработанной системы требованиям раздела </w:t>
      </w:r>
      <w:r>
        <w:rPr>
          <w:rtl w:val="0"/>
          <w:lang w:val="ru-RU"/>
        </w:rPr>
        <w:t xml:space="preserve">4.1 </w:t>
      </w:r>
      <w:r>
        <w:rPr>
          <w:rtl w:val="0"/>
          <w:lang w:val="ru-RU"/>
        </w:rPr>
        <w:t>настоящей работы в части надёжности и резервирования</w:t>
      </w:r>
      <w:r>
        <w:rPr>
          <w:rtl w:val="0"/>
          <w:lang w:val="ru-RU"/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Рубрика"/>
        <w:spacing w:before="0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ходе работы удалось решить все задачи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Ниже приведены основные результаты и выводы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Теоретический анализ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крупных общественных зданиях до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40-60 %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потребляемой электроэнергии приходится на системы вентиляции и кондиционирования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кинозалов с непостоянной наполняемостью работа приточно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вытяжной установки на постоянном максимальном расходе означает систематическую «переветиляцию» пустого или полупустого зала 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как следствие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нерациональный расход электроэнергии на нагрев и привод вентиляторов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Объект исследования — кинозал на </w:t>
      </w:r>
      <w:r>
        <w:rPr>
          <w:rtl w:val="0"/>
          <w:lang w:val="ru-RU"/>
        </w:rPr>
        <w:t xml:space="preserve">135 </w:t>
      </w:r>
      <w:r>
        <w:rPr>
          <w:rtl w:val="0"/>
          <w:lang w:val="ru-RU"/>
        </w:rPr>
        <w:t>мест в СПб ГБУК «Петербург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кино» — характеризуется суммарным электропотреблением </w:t>
      </w:r>
      <w:r>
        <w:rPr>
          <w:rtl w:val="0"/>
          <w:lang w:val="ru-RU"/>
        </w:rPr>
        <w:t xml:space="preserve">46 608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 в базовом режиме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 данным модели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 xml:space="preserve">5 053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приходится на вентиляторы и около </w:t>
      </w:r>
      <w:r>
        <w:rPr>
          <w:rtl w:val="0"/>
          <w:lang w:val="ru-RU"/>
        </w:rPr>
        <w:t xml:space="preserve">2 771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 — на нагрев в калорифере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типичная ситуация для объекта с постоянным расходом воздуха независимо от фактической занятости зала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Промоделированы шесть сценариев работы системы вентиляции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Результаты моделирования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показали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– внедрение роторного рекуператора повышенной эффективности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КПД </w:t>
      </w:r>
      <w:r>
        <w:rPr>
          <w:rtl w:val="0"/>
          <w:lang w:val="ru-RU"/>
        </w:rPr>
        <w:t xml:space="preserve">85 %) </w:t>
      </w:r>
      <w:r>
        <w:rPr>
          <w:rtl w:val="0"/>
          <w:lang w:val="ru-RU"/>
        </w:rPr>
        <w:t>практически не меняет суммарное электропотребление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расчётная экономия составляет 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</w:t>
      </w:r>
      <w:r>
        <w:rPr>
          <w:rtl w:val="0"/>
          <w:lang w:val="ru-RU"/>
        </w:rPr>
        <w:t>(0,01 %);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– установка теплового насоса в текущей конфигурации не даёт снижения общего электропотребления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модель показывает изменение на </w:t>
      </w:r>
      <w:r>
        <w:rPr>
          <w:rtl w:val="0"/>
          <w:lang w:val="ru-RU"/>
        </w:rPr>
        <w:t xml:space="preserve">11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 xml:space="preserve">год в сторону увеличения </w:t>
      </w:r>
      <w:r>
        <w:rPr>
          <w:rtl w:val="0"/>
          <w:lang w:val="ru-RU"/>
        </w:rPr>
        <w:t xml:space="preserve">(+0,02 % </w:t>
      </w:r>
      <w:r>
        <w:rPr>
          <w:rtl w:val="0"/>
          <w:lang w:val="ru-RU"/>
        </w:rPr>
        <w:t>к базе</w:t>
      </w:r>
      <w:r>
        <w:rPr>
          <w:rtl w:val="0"/>
          <w:lang w:val="ru-RU"/>
        </w:rPr>
        <w:t>);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– система </w:t>
      </w:r>
      <w:r>
        <w:rPr>
          <w:rtl w:val="0"/>
          <w:lang w:val="ru-RU"/>
        </w:rPr>
        <w:t xml:space="preserve">DCV </w:t>
      </w:r>
      <w:r>
        <w:rPr>
          <w:rtl w:val="0"/>
          <w:lang w:val="ru-RU"/>
        </w:rPr>
        <w:t xml:space="preserve">с управлением по </w:t>
      </w:r>
      <w:r>
        <w:rPr>
          <w:rtl w:val="0"/>
          <w:lang w:val="ru-RU"/>
        </w:rPr>
        <w:t xml:space="preserve">CO2 </w:t>
      </w:r>
      <w:r>
        <w:rPr>
          <w:rtl w:val="0"/>
          <w:lang w:val="ru-RU"/>
        </w:rPr>
        <w:t xml:space="preserve">в одиночном применении снижает электропотребление на </w:t>
      </w:r>
      <w:r>
        <w:rPr>
          <w:rtl w:val="0"/>
          <w:lang w:val="ru-RU"/>
        </w:rPr>
        <w:t xml:space="preserve">6,47 % (3 017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за счёт сокращения объёма вентилируемого воздуха</w:t>
      </w:r>
      <w:r>
        <w:rPr>
          <w:rtl w:val="0"/>
          <w:lang w:val="ru-RU"/>
        </w:rPr>
        <w:t>;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– комбинированные решения </w:t>
      </w:r>
      <w:r>
        <w:rPr>
          <w:rtl w:val="0"/>
          <w:lang w:val="ru-RU"/>
        </w:rPr>
        <w:t xml:space="preserve">(DCV + </w:t>
      </w:r>
      <w:r>
        <w:rPr>
          <w:rtl w:val="0"/>
          <w:lang w:val="ru-RU"/>
        </w:rPr>
        <w:t>Рекуп</w:t>
      </w:r>
      <w:r>
        <w:rPr>
          <w:rtl w:val="0"/>
          <w:lang w:val="ru-RU"/>
        </w:rPr>
        <w:t xml:space="preserve">+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DCV + </w:t>
      </w:r>
      <w:r>
        <w:rPr>
          <w:rtl w:val="0"/>
          <w:lang w:val="ru-RU"/>
        </w:rPr>
        <w:t>ТН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дают практически тот же результат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и одиночный </w:t>
      </w:r>
      <w:r>
        <w:rPr>
          <w:rtl w:val="0"/>
          <w:lang w:val="ru-RU"/>
        </w:rPr>
        <w:t xml:space="preserve">DCV: 3 019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3 011 </w:t>
      </w:r>
      <w:r>
        <w:rPr>
          <w:rtl w:val="0"/>
          <w:lang w:val="ru-RU"/>
        </w:rPr>
        <w:t>кВт</w:t>
      </w:r>
      <w:r>
        <w:rPr>
          <w:rtl w:val="0"/>
          <w:lang w:val="ru-RU"/>
        </w:rPr>
        <w:t>*</w:t>
      </w:r>
      <w:r>
        <w:rPr>
          <w:rtl w:val="0"/>
          <w:lang w:val="ru-RU"/>
        </w:rPr>
        <w:t>ч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год соответственно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 xml:space="preserve">Экономический анализ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раздел </w:t>
      </w:r>
      <w:r>
        <w:rPr>
          <w:rtl w:val="0"/>
          <w:lang w:val="ru-RU"/>
        </w:rPr>
        <w:t xml:space="preserve">3) </w:t>
      </w:r>
      <w:r>
        <w:rPr>
          <w:rtl w:val="0"/>
          <w:lang w:val="ru-RU"/>
        </w:rPr>
        <w:t>показал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из всех рассмотренных вариантов положительный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>имеет только сценарий «</w:t>
      </w:r>
      <w:r>
        <w:rPr>
          <w:rtl w:val="0"/>
          <w:lang w:val="ru-RU"/>
        </w:rPr>
        <w:t>DCV</w:t>
      </w:r>
      <w:r>
        <w:rPr>
          <w:rtl w:val="0"/>
          <w:lang w:val="ru-RU"/>
        </w:rPr>
        <w:t>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При капитальных затратах </w:t>
      </w:r>
      <w:r>
        <w:rPr>
          <w:rtl w:val="0"/>
          <w:lang w:val="ru-RU"/>
        </w:rPr>
        <w:t xml:space="preserve">160 </w:t>
      </w:r>
      <w:r>
        <w:rPr>
          <w:rtl w:val="0"/>
          <w:lang w:val="ru-RU"/>
        </w:rPr>
        <w:t>тыс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 годовой экономии около </w:t>
      </w:r>
      <w:r>
        <w:rPr>
          <w:rtl w:val="0"/>
          <w:lang w:val="ru-RU"/>
        </w:rPr>
        <w:t xml:space="preserve">26 064 </w:t>
      </w:r>
      <w:r>
        <w:rPr>
          <w:rtl w:val="0"/>
          <w:lang w:val="ru-RU"/>
        </w:rPr>
        <w:t>руб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простой срок окупаемости составляет около </w:t>
      </w:r>
      <w:r>
        <w:rPr>
          <w:rtl w:val="0"/>
          <w:lang w:val="ru-RU"/>
        </w:rPr>
        <w:t xml:space="preserve">6,14 </w:t>
      </w:r>
      <w:r>
        <w:rPr>
          <w:rtl w:val="0"/>
          <w:lang w:val="ru-RU"/>
        </w:rPr>
        <w:t>года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</w:t>
      </w:r>
      <w:r>
        <w:rPr>
          <w:rtl w:val="0"/>
          <w:lang w:val="ru-RU"/>
        </w:rPr>
        <w:t xml:space="preserve">NPV </w:t>
      </w:r>
      <w:r>
        <w:rPr>
          <w:rtl w:val="0"/>
          <w:lang w:val="ru-RU"/>
        </w:rPr>
        <w:t xml:space="preserve">за расчётный период 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лет близок к нулю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остаётся положительным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разделе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выбранного решения разработана полноценная система автоматизации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составлена структурная схема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подобраны серийные компоненты ОВЕН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110,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3),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 программный поток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пропорциональным алгоритмом управления по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CO2, Dashboard-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панелью и архивированием данных в формате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CSV.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Поток протестирован имитацией входных данных с воспроизведением нескольких критических режимов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Практическая ценность работы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только в конкретных цифрах экономии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и в воспроизводимости подхода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Методика моделирования в 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OpenStudio,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алгоритм выбора оптимального сценария и программный код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применимы к любому кинозалу с аналогичной системой вентиляции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достаточно обновить климатический файл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EPW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параметры оборудования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Важно подчеркнуть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предложенный методический подход воспроизводим для широкого класса схожих объектов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Методика </w:t>
      </w:r>
      <w:r>
        <w:rPr>
          <w:rtl w:val="0"/>
          <w:lang w:val="ru-RU"/>
        </w:rPr>
        <w:t>EnergyPlus-</w:t>
      </w:r>
      <w:r>
        <w:rPr>
          <w:rtl w:val="0"/>
          <w:lang w:val="ru-RU"/>
        </w:rPr>
        <w:t xml:space="preserve">моделирования с </w:t>
      </w:r>
      <w:r>
        <w:rPr>
          <w:rtl w:val="0"/>
          <w:lang w:val="ru-RU"/>
        </w:rPr>
        <w:t>TMY-</w:t>
      </w:r>
      <w:r>
        <w:rPr>
          <w:rtl w:val="0"/>
          <w:lang w:val="ru-RU"/>
        </w:rPr>
        <w:t>файлом и стандартизованным расписанием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объединённая с пропорциональным </w:t>
      </w:r>
      <w:r>
        <w:rPr>
          <w:rtl w:val="0"/>
          <w:lang w:val="ru-RU"/>
        </w:rPr>
        <w:t>DCV-</w:t>
      </w:r>
      <w:r>
        <w:rPr>
          <w:rtl w:val="0"/>
          <w:lang w:val="ru-RU"/>
        </w:rPr>
        <w:t>алгоритмом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может быть применена к любому кинозалу с известными параметрами ограждающих конструкций и вентиляционного оборудования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Единственным объектно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специфичным элементом является климатический </w:t>
      </w:r>
      <w:r>
        <w:rPr>
          <w:rtl w:val="0"/>
          <w:lang w:val="ru-RU"/>
        </w:rPr>
        <w:t>EPW-</w:t>
      </w:r>
      <w:r>
        <w:rPr>
          <w:rtl w:val="0"/>
          <w:lang w:val="ru-RU"/>
        </w:rPr>
        <w:t>файл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доступный для большинства крупных городов России в открытом доступе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Полученные результаты подтверждают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повышение энергоэффективности вентиляции кинозала не требует революционных технических решений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Достаточно внедрить серийно выпускаемые компоненты — датчики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частотный преобразователь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роторный рекуператор — под управлением отечественного ПЛК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Совокупный эффект сопоставим с полной заменой системы на более производительную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 этом капитальные затраты и сроки реализации несопоставимо ниже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свидетельствует о высоком потенциале «малозатратной» модернизации в сегменте зрелищных учреждений и является основанием для рекомендации тиражирования данного подхода на аналогичные объекты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В перспективе дальнейшего развития системы целесообразно рассмотреть переход от П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регулятора к предиктивному управлению </w:t>
      </w:r>
      <w:r>
        <w:rPr>
          <w:rtl w:val="0"/>
          <w:lang w:val="ru-RU"/>
        </w:rPr>
        <w:t xml:space="preserve">(MPC) </w:t>
      </w:r>
      <w:r>
        <w:rPr>
          <w:rtl w:val="0"/>
          <w:lang w:val="ru-RU"/>
        </w:rPr>
        <w:t>с использованием прогноза заполняемости зала на основе данных о продажах билетов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Интеграция с </w:t>
      </w:r>
      <w:r>
        <w:rPr>
          <w:rtl w:val="0"/>
          <w:lang w:val="ru-RU"/>
        </w:rPr>
        <w:t>CRM-</w:t>
      </w:r>
      <w:r>
        <w:rPr>
          <w:rtl w:val="0"/>
          <w:lang w:val="ru-RU"/>
        </w:rPr>
        <w:t>системой кинотеатра позволит алгоритму заблаговременно готовиться к началу сеанса и снижать расход воздуха сразу после его окончания — до того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как датчик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успевает зафиксировать снижение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 оценкам из литературы </w:t>
      </w:r>
      <w:r>
        <w:rPr>
          <w:rtl w:val="0"/>
          <w:lang w:val="ru-RU"/>
        </w:rPr>
        <w:t xml:space="preserve">[1, 12], </w:t>
      </w:r>
      <w:r>
        <w:rPr>
          <w:rtl w:val="0"/>
          <w:lang w:val="ru-RU"/>
        </w:rPr>
        <w:t xml:space="preserve">такой «проактивный» подход даёт дополнительные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экономии сверх реактивного </w:t>
      </w:r>
      <w:r>
        <w:rPr>
          <w:rtl w:val="0"/>
          <w:lang w:val="ru-RU"/>
        </w:rPr>
        <w:t xml:space="preserve">DCV. </w:t>
      </w:r>
      <w:r>
        <w:rPr>
          <w:rtl w:val="0"/>
          <w:lang w:val="ru-RU"/>
        </w:rPr>
        <w:t xml:space="preserve">Реализация предиктивного управления возможна на существующем аппаратном обеспечении </w:t>
      </w:r>
      <w:r>
        <w:rPr>
          <w:rtl w:val="0"/>
          <w:lang w:val="ru-RU"/>
        </w:rPr>
        <w:t xml:space="preserve">(IPC </w:t>
      </w:r>
      <w:r>
        <w:rPr>
          <w:rtl w:val="0"/>
          <w:lang w:val="ru-RU"/>
        </w:rPr>
        <w:t xml:space="preserve">с </w:t>
      </w:r>
      <w:r>
        <w:rPr>
          <w:rtl w:val="0"/>
          <w:lang w:val="ru-RU"/>
        </w:rPr>
        <w:t xml:space="preserve">Node-RED) </w:t>
      </w:r>
      <w:r>
        <w:rPr>
          <w:rtl w:val="0"/>
          <w:lang w:val="ru-RU"/>
        </w:rPr>
        <w:t>путём программного обновления без дополнительных капитальных затрат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</w:pPr>
      <w:r>
        <w:rPr>
          <w:rtl w:val="0"/>
          <w:lang w:val="ru-RU"/>
        </w:rPr>
        <w:t>В перспективе дальнейшего развития системы целесообразно рассмотреть переход от П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регулятора к предиктивному управлению </w:t>
      </w:r>
      <w:r>
        <w:rPr>
          <w:rtl w:val="0"/>
          <w:lang w:val="ru-RU"/>
        </w:rPr>
        <w:t xml:space="preserve">(MPC) </w:t>
      </w:r>
      <w:r>
        <w:rPr>
          <w:rtl w:val="0"/>
          <w:lang w:val="ru-RU"/>
        </w:rPr>
        <w:t>с использованием прогноза заполняемости зала на основе данных о продажах билетов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Интеграция с </w:t>
      </w:r>
      <w:r>
        <w:rPr>
          <w:rtl w:val="0"/>
          <w:lang w:val="ru-RU"/>
        </w:rPr>
        <w:t>CRM-</w:t>
      </w:r>
      <w:r>
        <w:rPr>
          <w:rtl w:val="0"/>
          <w:lang w:val="ru-RU"/>
        </w:rPr>
        <w:t>системой кинотеатра позволит алгоритму заблаговременно готовиться к началу сеанса и снижать расход воздуха сразу после его окончания — до того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как датчик </w:t>
      </w:r>
      <w:r>
        <w:rPr>
          <w:rtl w:val="0"/>
          <w:lang w:val="ru-RU"/>
        </w:rPr>
        <w:t>CO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₂</w:t>
      </w:r>
      <w:r>
        <w:rPr>
          <w:rtl w:val="0"/>
          <w:lang w:val="ru-RU"/>
        </w:rPr>
        <w:t xml:space="preserve"> успевает зафиксировать снижение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 оценкам из литературы </w:t>
      </w:r>
      <w:r>
        <w:rPr>
          <w:rtl w:val="0"/>
          <w:lang w:val="ru-RU"/>
        </w:rPr>
        <w:t xml:space="preserve">[1, 12], </w:t>
      </w:r>
      <w:r>
        <w:rPr>
          <w:rtl w:val="0"/>
          <w:lang w:val="ru-RU"/>
        </w:rPr>
        <w:t xml:space="preserve">такой «проактивный» подход даёт дополнительные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>10</w:t>
      </w:r>
      <w:r>
        <w:rPr>
          <w:rtl w:val="0"/>
          <w:lang w:val="ru-RU"/>
        </w:rPr>
        <w:t> </w:t>
      </w:r>
      <w:r>
        <w:rPr>
          <w:rtl w:val="0"/>
          <w:lang w:val="ru-RU"/>
        </w:rPr>
        <w:t xml:space="preserve">% </w:t>
      </w:r>
      <w:r>
        <w:rPr>
          <w:rtl w:val="0"/>
          <w:lang w:val="ru-RU"/>
        </w:rPr>
        <w:t xml:space="preserve">экономии сверх реактивного </w:t>
      </w:r>
      <w:r>
        <w:rPr>
          <w:rtl w:val="0"/>
          <w:lang w:val="ru-RU"/>
        </w:rPr>
        <w:t xml:space="preserve">DCV. </w:t>
      </w:r>
      <w:r>
        <w:rPr>
          <w:rtl w:val="0"/>
          <w:lang w:val="ru-RU"/>
        </w:rPr>
        <w:t xml:space="preserve">Реализация предиктивного управления возможна на существующем аппаратном обеспечении </w:t>
      </w:r>
      <w:r>
        <w:rPr>
          <w:rtl w:val="0"/>
          <w:lang w:val="ru-RU"/>
        </w:rPr>
        <w:t xml:space="preserve">(IPC </w:t>
      </w:r>
      <w:r>
        <w:rPr>
          <w:rtl w:val="0"/>
          <w:lang w:val="ru-RU"/>
        </w:rPr>
        <w:t xml:space="preserve">с </w:t>
      </w:r>
      <w:r>
        <w:rPr>
          <w:rtl w:val="0"/>
          <w:lang w:val="ru-RU"/>
        </w:rPr>
        <w:t xml:space="preserve">Node-RED) </w:t>
      </w:r>
      <w:r>
        <w:rPr>
          <w:rtl w:val="0"/>
          <w:lang w:val="ru-RU"/>
        </w:rPr>
        <w:t>путём программного обновления без дополнительных капитальных затрат</w:t>
      </w:r>
      <w:r>
        <w:rPr>
          <w:rtl w:val="0"/>
          <w:lang w:val="ru-RU"/>
        </w:rPr>
        <w:t>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Следующий шаг — алгоритм предиктивного управления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(MPC)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учётом расписания сеансов и прогноза погоды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 сможет прогревать зал заранее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тратя энергию вхолостую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Ещё одно направление — распространить методику на другие залы кинотеатра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устроены похоже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имеют разную вместимость и загрузку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Рубрика"/>
        <w:spacing w:before="0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ИСПОЛЬЗУЕМЫХ ИСТОЧНИКОВ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60.13330.2020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Отопление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вентиляция и кондиционирование воздуха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41-01-2003.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Минстрой России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118.13330.2012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Общественные здания и сооружения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31-06-2009.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Минрегион России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2012.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131.13330.2020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Строительная климатология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23-01-99*.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Минстрой России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Проектная документация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стадия 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Кинотеатр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Раздел ИОС «Отопление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вентиляция и кондиционирование воздуха»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шифр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2017/23-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ИОС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ООО «АБИ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2017.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Проектная документация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стадия 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Кинотеатр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Раздел ИОС «Тепломеханические решения»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шифр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2017/23-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ИОС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4-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ООО «АБИ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2017.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6.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30494-2011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Здания жилые и общественные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Параметры микроклимата в помещениях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Стандартинформ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2013.</w:t>
      </w:r>
    </w:p>
    <w:p>
      <w:pPr>
        <w:pStyle w:val="Основной текст A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Федеральный закон №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261-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ФЗ от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23.11.2009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«Об энергосбережении и о повышении энергетической эффективности»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Государственная Дума РФ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2009.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 Almatared M., Abuhussain M., Andleeb Z., Bashir F. (2025) Adaptive reinforcement learning algorithm for real-time energy optimization in building digital twins with heterogeneous IoT sensor networks. Automation in Construction, 182, 106714.</w:t>
      </w:r>
    </w:p>
    <w:p>
      <w:pPr>
        <w:pStyle w:val="Основной текст A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 Tarragona J., Gangolells M., Casals M. (2024) Model predictive control for managing indoor air quality levels in buildings. Energy Reports, 12, 787-801.</w:t>
      </w:r>
    </w:p>
    <w:p>
      <w:pPr>
        <w:pStyle w:val="Основной текст A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 Lu X., Pang Z., Fu Y., O'Neill Z. (2022) The nexus of the indoor CO2 concentration and ventilation demands underlying CO2-based demand-controlled ventilation in commercial buildings: A critical review. Building and Environment, 218, 109116.</w:t>
      </w:r>
    </w:p>
    <w:p>
      <w:pPr>
        <w:pStyle w:val="Основной текст A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 Taheri S., Amiri A., Razban A. (2024) Real-world implementation of a cloud-based MPC for HVAC control in educational buildings. Energy Conversion and Management, 305, 118270.</w:t>
      </w:r>
    </w:p>
    <w:p>
      <w:pPr>
        <w:pStyle w:val="Основной текст A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 Yu L., Qin S., Zhang M., Shen C., Jiang T., Guan X. (2021) A Review of Deep Reinforcement Learning for Smart Building Energy Management. IEEE Internet of Things Journal, 8, 12046-12063.</w:t>
      </w:r>
    </w:p>
    <w:p>
      <w:pPr>
        <w:pStyle w:val="Основной текст A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13. Khabbazi A. Et al. (2025) Lessons learned from field demonstrations of model predictive control and reinforcement learning for residential and commercial HVAC: A review. Applied Energy, 399, 126459.</w:t>
      </w:r>
    </w:p>
    <w:p>
      <w:pPr>
        <w:pStyle w:val="Основной текст A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14. Song G., Ai Z., Liu Z., Zhang G. (2022) A systematic literature review on smart and personalized ventilation using CO2 concentration monitoring and control. Energy Reports, 8, 7523-7536.</w:t>
      </w:r>
    </w:p>
    <w:p>
      <w:pPr>
        <w:pStyle w:val="Основной текст A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15. Bae K., Choi E., Choi Y., Yun J., Yun G., Moon H., Moon J. (2025) Real-time ventilation control for indoor CO2 management using occupant information. Building and Environment, 285, 113568.</w:t>
      </w:r>
    </w:p>
    <w:p>
      <w:pPr>
        <w:pStyle w:val="Основной текст A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16. Taheri S., Razban A. (2021) Learning-based CO2 concentration prediction: Application to indoor air quality control using demand-controlled ventilation. Building and Environment, 205, 108164.</w:t>
      </w:r>
    </w:p>
    <w:p>
      <w:pPr>
        <w:pStyle w:val="Основной текст A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17. Kim J. Et al. (2025) CO2 concentration prediction in office spaces using physics-informed neural network. Building and Environment, 288, 114035.</w:t>
      </w:r>
    </w:p>
    <w:p>
      <w:pPr>
        <w:pStyle w:val="Основной текст A"/>
        <w:ind w:firstLine="709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Каталог секций вентиляционных установок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AIRNED-M.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ООО «НЭД»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Технический каталог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 A"/>
        <w:ind w:firstLine="709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19.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ДКВ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Датчик концентрации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CO2,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температуры и влажности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 2023.</w:t>
      </w:r>
    </w:p>
    <w:p>
      <w:pPr>
        <w:pStyle w:val="Основной текст A"/>
        <w:ind w:firstLine="709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ПЛК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110-220.60.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Программируемый логический контроллер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 A"/>
        <w:ind w:firstLine="709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 ПЧВ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3-2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2-A.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Частотный преобразователь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ОВЕН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 A"/>
        <w:ind w:firstLine="709"/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Комитет по тарифам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Петербурга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Тарифы на электрическую энергию для потребителей Санкт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Петербурга на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2025-2026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годы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Официальный портал Администрации СПб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2024.</w:t>
      </w:r>
    </w:p>
    <w:p>
      <w:pPr>
        <w:pStyle w:val="Основной текст A"/>
        <w:ind w:firstLine="709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23. Node-RED User Guide. OpenJS Foundation.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https://nodered.org/docs/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02.03.2025).</w:t>
      </w:r>
    </w:p>
    <w:p>
      <w:pPr>
        <w:pStyle w:val="Основной текст A"/>
        <w:ind w:firstLine="709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24. EnergyPlus Engineering Reference. U.S. Department of Energy, 2024.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https://energyplus.net/documentation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02.03.202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6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ind w:firstLine="709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25. OpenStudio SDK User Manual. NREL, 2024.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Режим доступа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https://openstudio-sdk-documentation.s3.amazonaws.com/index.html 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дата обращения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 02.03.202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6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sectPr>
      <w:headerReference w:type="default" r:id="rId9"/>
      <w:footerReference w:type="default" r:id="rId10"/>
      <w:pgSz w:w="11900" w:h="16840" w:orient="portrait"/>
      <w:pgMar w:top="1134" w:right="850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Основной текст"/>
      <w:jc w:val="center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360" w:lineRule="auto"/>
      <w:ind w:left="0" w:right="0" w:firstLine="0"/>
      <w:jc w:val="center"/>
      <w:outlineLvl w:val="0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360" w:lineRule="auto"/>
      <w:ind w:left="0" w:right="0" w:firstLine="0"/>
      <w:jc w:val="center"/>
      <w:outlineLvl w:val="1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