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20" w:lineRule="exact"/>
        <w:ind w:firstLine="0"/>
        <w:jc w:val="center"/>
        <w:pageBreakBefore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ЗАКЛЮЧЕНИЕ</w:t>
      </w:r>
    </w:p>
    <w:p>
      <w:pPr/>
      <w:r>
        <w:rPr>
          <w:rFonts w:ascii="Times New Roman" w:hAnsi="Times New Roman" w:cs="Times New Roman" w:eastAsia="Times New Roman"/>
          <w:sz w:val="28"/>
        </w:rPr>
        <w:t>В рамках выпускной квалификационной работы решена задача разработки алгоритмического обеспечения интеллектуальной линии SmartGrid Line для автоматизированного управления распределительными сетями 6–10 кВ.</w:t>
      </w:r>
    </w:p>
    <w:p>
      <w:pPr/>
      <w:r>
        <w:rPr>
          <w:rFonts w:ascii="Times New Roman" w:hAnsi="Times New Roman" w:cs="Times New Roman" w:eastAsia="Times New Roman"/>
          <w:sz w:val="28"/>
        </w:rPr>
        <w:t>В первой главе выполнен анализ современного состояния распределительных сетей среднего напряжения. Рассмотрена концепция Smart Grid применительно к сетям 6–10 кВ. Выявлены ключевые проблемы: высокий износ оборудования, длительные перерывы электроснабжения, отсутствие оперативной автоматики.</w:t>
      </w:r>
    </w:p>
    <w:p>
      <w:pPr/>
      <w:r>
        <w:rPr>
          <w:rFonts w:ascii="Times New Roman" w:hAnsi="Times New Roman" w:cs="Times New Roman" w:eastAsia="Times New Roman"/>
          <w:sz w:val="28"/>
        </w:rPr>
        <w:t>Во второй главе проведена классификация нагрузок на три категории: рядовые, приоритетные и критические. На основе классификации сформированы оперативные группы потребителей. Определены требования к времени восстановления для каждой категории.</w:t>
      </w:r>
    </w:p>
    <w:p>
      <w:pPr/>
      <w:r>
        <w:rPr>
          <w:rFonts w:ascii="Times New Roman" w:hAnsi="Times New Roman" w:cs="Times New Roman" w:eastAsia="Times New Roman"/>
          <w:sz w:val="28"/>
        </w:rPr>
        <w:t>В третьей главе разработаны алгоритмы реагирования на аварийные ситуации. Алгоритмы охватывают полный цикл: обнаружение повреждения, отключение повреждённого участка, автоматическое повторное включение, локализацию дефекта и восстановление питания неповреждённых участков.</w:t>
      </w:r>
    </w:p>
    <w:p>
      <w:pPr/>
      <w:r>
        <w:rPr>
          <w:rFonts w:ascii="Times New Roman" w:hAnsi="Times New Roman" w:cs="Times New Roman" w:eastAsia="Times New Roman"/>
          <w:sz w:val="28"/>
        </w:rPr>
        <w:t>В четвёртой главе резервирование рассмотрено как управляемый алгоритм реконфигурации сети. Отказ от статической альтернативной схемы в пользу динамического перераспределения потоков мощности позволяет повысить гибкость и надёжность электроснабжения.</w:t>
      </w:r>
    </w:p>
    <w:p>
      <w:pPr/>
      <w:r>
        <w:rPr>
          <w:rFonts w:ascii="Times New Roman" w:hAnsi="Times New Roman" w:cs="Times New Roman" w:eastAsia="Times New Roman"/>
          <w:sz w:val="28"/>
        </w:rPr>
        <w:t>В пятой главе результаты формализованы в виде таблиц состояний, диаграмм состояний и структурированного псевдокода. Формализация ориентирована на реализацию в среде ПЛК, устройств РЗА и SCADA.</w:t>
      </w:r>
    </w:p>
    <w:p>
      <w:pPr/>
      <w:r>
        <w:rPr>
          <w:rFonts w:ascii="Times New Roman" w:hAnsi="Times New Roman" w:cs="Times New Roman" w:eastAsia="Times New Roman"/>
          <w:sz w:val="28"/>
        </w:rPr>
        <w:t>В шестой главе выполнена оценка эффективности предложенных решений. Показано улучшение показателей SAIDI и SAIFI на 20–30 %. Время локализации и восстановления сокращается на 60–80 %. Эксплуатационные затраты снижаются на 30–50 %.</w:t>
      </w:r>
    </w:p>
    <w:p>
      <w:pPr/>
      <w:r>
        <w:rPr>
          <w:rFonts w:ascii="Times New Roman" w:hAnsi="Times New Roman" w:cs="Times New Roman" w:eastAsia="Times New Roman"/>
          <w:sz w:val="28"/>
        </w:rPr>
        <w:t>Поставленная цель работы достигнута. Полученные результаты применимы для пилотного внедрения на реальном объекте распределительной сети.</w:t>
      </w:r>
    </w:p>
    <w:p>
      <w:pPr/>
      <w:r>
        <w:rPr>
          <w:rFonts w:ascii="Times New Roman" w:hAnsi="Times New Roman" w:cs="Times New Roman" w:eastAsia="Times New Roman"/>
          <w:sz w:val="28"/>
        </w:rPr>
        <w:t>Перспективы дальнейших исследований включают: детальные расчёты токов короткого замыкания для всех конфигураций сети, построение цифрового двойника линии SmartGrid Line, разработку прототипа SCADA-интерфейса для оперативного управления.</w:t>
      </w:r>
    </w:p>
    <w:p>
      <w:pPr>
        <w:spacing w:before="0" w:after="0" w:line="420" w:lineRule="exact"/>
        <w:ind w:firstLine="0"/>
        <w:jc w:val="center"/>
        <w:pageBreakBefore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СПИСОК ЛИТЕРАТУРЫ</w:t>
      </w:r>
    </w:p>
    <w:p>
      <w:pPr/>
      <w:r>
        <w:rPr>
          <w:rFonts w:ascii="Times New Roman" w:hAnsi="Times New Roman" w:cs="Times New Roman" w:eastAsia="Times New Roman"/>
          <w:sz w:val="28"/>
        </w:rPr>
        <w:t>1. Правила устройства электроустановок (ПУЭ). — 7-е изд. — М. : Изд-во НЦ ЭНАС, 2003. — 552 с.</w:t>
      </w:r>
    </w:p>
    <w:p>
      <w:pPr/>
      <w:r>
        <w:rPr>
          <w:rFonts w:ascii="Times New Roman" w:hAnsi="Times New Roman" w:cs="Times New Roman" w:eastAsia="Times New Roman"/>
          <w:sz w:val="28"/>
        </w:rPr>
        <w:t>2. Чернобровов, Н. В. Релейная защита энергетических систем / Н. В. Чернобровов, В. А. Семёнов. — М. : Энергоатомиздат, 1998. — 800 с.</w:t>
      </w:r>
    </w:p>
    <w:p>
      <w:pPr/>
      <w:r>
        <w:rPr>
          <w:rFonts w:ascii="Times New Roman" w:hAnsi="Times New Roman" w:cs="Times New Roman" w:eastAsia="Times New Roman"/>
          <w:sz w:val="28"/>
        </w:rPr>
        <w:t>3. Шнеерсон, Э. М. Цифровая релейная защита / Э. М. Шнеерсон. — М. : Энергоатомиздат, 2007. — 549 с.</w:t>
      </w:r>
    </w:p>
    <w:p>
      <w:pPr/>
      <w:r>
        <w:rPr>
          <w:rFonts w:ascii="Times New Roman" w:hAnsi="Times New Roman" w:cs="Times New Roman" w:eastAsia="Times New Roman"/>
          <w:sz w:val="28"/>
        </w:rPr>
        <w:t>4. Гуревич, В. И. Микропроцессорные релейные защиты электроэнергетических систем / В. И. Гуревич. — М. : Инфра-Инженерия, 2019. — 336 с.</w:t>
      </w:r>
    </w:p>
    <w:p>
      <w:pPr/>
      <w:r>
        <w:rPr>
          <w:rFonts w:ascii="Times New Roman" w:hAnsi="Times New Roman" w:cs="Times New Roman" w:eastAsia="Times New Roman"/>
          <w:sz w:val="28"/>
        </w:rPr>
        <w:t>5. Воропай, Н. И. Интеллектуальные электроэнергетические системы: концепция, состояние, перспективы / Н. И. Воропай, З. А. Стычинский // Автоматизация и IT в энергетике. — 2010. — № 3. — С. 15–21.</w:t>
      </w:r>
    </w:p>
    <w:p>
      <w:pPr/>
      <w:r>
        <w:rPr>
          <w:rFonts w:ascii="Times New Roman" w:hAnsi="Times New Roman" w:cs="Times New Roman" w:eastAsia="Times New Roman"/>
          <w:sz w:val="28"/>
        </w:rPr>
        <w:t>6. ГОСТ Р 56303–2014. Единая энергетическая система и изолированно работающие энергосистемы. Автоматическое противоаварийное управление режимами энергосистем. Противоаварийная автоматика энергосистем. — М. : Стандартинформ, 2015.</w:t>
      </w:r>
    </w:p>
    <w:p>
      <w:pPr/>
      <w:r>
        <w:rPr>
          <w:rFonts w:ascii="Times New Roman" w:hAnsi="Times New Roman" w:cs="Times New Roman" w:eastAsia="Times New Roman"/>
          <w:sz w:val="28"/>
        </w:rPr>
        <w:t>7. ГОСТ Р 59053–2020. Единая энергетическая система. Показатели качества функционирования распределительных электрических сетей. — М. : Стандартинформ, 2020.</w:t>
      </w:r>
    </w:p>
    <w:p>
      <w:pPr/>
      <w:r>
        <w:rPr>
          <w:rFonts w:ascii="Times New Roman" w:hAnsi="Times New Roman" w:cs="Times New Roman" w:eastAsia="Times New Roman"/>
          <w:sz w:val="28"/>
        </w:rPr>
        <w:t>8. ГОСТ 7.32–2017. Отчёт о научно-исследовательской работе. Структура и правила оформления. — М. : Стандартинформ, 2017.</w:t>
      </w:r>
    </w:p>
    <w:p>
      <w:pPr/>
      <w:r>
        <w:rPr>
          <w:rFonts w:ascii="Times New Roman" w:hAnsi="Times New Roman" w:cs="Times New Roman" w:eastAsia="Times New Roman"/>
          <w:sz w:val="28"/>
        </w:rPr>
        <w:t>9. Федосеев, А. М. Релейная защита электроэнергетических систем / А. М. Федосеев, М. А. Федосеев. — М. : Энергоатомиздат, 1992. — 528 с.</w:t>
      </w:r>
    </w:p>
    <w:p>
      <w:pPr/>
      <w:r>
        <w:rPr>
          <w:rFonts w:ascii="Times New Roman" w:hAnsi="Times New Roman" w:cs="Times New Roman" w:eastAsia="Times New Roman"/>
          <w:sz w:val="28"/>
        </w:rPr>
        <w:t>10. Карапетян, И. Г. Справочник по проектированию электрических сетей / И. Г. Карапетян, Д. Л. Файбисович, И. М. Шапиро. — М. : ЭНАС, 2012. — 376 с.</w:t>
      </w:r>
    </w:p>
    <w:p>
      <w:pPr/>
      <w:r>
        <w:rPr>
          <w:rFonts w:ascii="Times New Roman" w:hAnsi="Times New Roman" w:cs="Times New Roman" w:eastAsia="Times New Roman"/>
          <w:sz w:val="28"/>
        </w:rPr>
        <w:t>11. Кудрин, Б. И. Электроснабжение промышленных предприятий / Б. И. Кудрин. — М. : Интермет Инжиниринг, 2005. — 672 с.</w:t>
      </w:r>
    </w:p>
    <w:p>
      <w:pPr/>
      <w:r>
        <w:rPr>
          <w:rFonts w:ascii="Times New Roman" w:hAnsi="Times New Roman" w:cs="Times New Roman" w:eastAsia="Times New Roman"/>
          <w:sz w:val="28"/>
        </w:rPr>
        <w:t>12. Папков, Б. В. Надёжность электроснабжения / Б. В. Папков, А. Л. Куликов. — Н. Новгород : ННГТУ, 2018. — 360 с.</w:t>
      </w:r>
    </w:p>
    <w:p>
      <w:pPr/>
      <w:r>
        <w:rPr>
          <w:rFonts w:ascii="Times New Roman" w:hAnsi="Times New Roman" w:cs="Times New Roman" w:eastAsia="Times New Roman"/>
          <w:sz w:val="28"/>
        </w:rPr>
        <w:t>13. Илюшин, П. В. Перспективы развития релейной защиты и автоматики распределительных сетей с распределённой генерацией / П. В. Илюшин // Электричество. — 2020. — № 8. — С. 4–12.</w:t>
      </w:r>
    </w:p>
    <w:p>
      <w:pPr/>
      <w:r>
        <w:rPr>
          <w:rFonts w:ascii="Times New Roman" w:hAnsi="Times New Roman" w:cs="Times New Roman" w:eastAsia="Times New Roman"/>
          <w:sz w:val="28"/>
        </w:rPr>
        <w:t>14. Маркович, И. М. Режимы энергетических систем / И. М. Маркович. — М. : Энергия, 1969. — 352 с.</w:t>
      </w:r>
    </w:p>
    <w:p>
      <w:pPr/>
      <w:r>
        <w:rPr>
          <w:rFonts w:ascii="Times New Roman" w:hAnsi="Times New Roman" w:cs="Times New Roman" w:eastAsia="Times New Roman"/>
          <w:sz w:val="28"/>
        </w:rPr>
        <w:t>15. Андреев, В. А. Релейная защита и автоматика систем электроснабжения / В. А. Андреев. — М. : Высшая школа, 2008. — 639 с.</w:t>
      </w:r>
    </w:p>
    <w:p>
      <w:pPr/>
      <w:r>
        <w:rPr>
          <w:rFonts w:ascii="Times New Roman" w:hAnsi="Times New Roman" w:cs="Times New Roman" w:eastAsia="Times New Roman"/>
          <w:sz w:val="28"/>
        </w:rPr>
        <w:t>16. Фёдоров, А. А. Основы электроснабжения промышленных предприятий / А. А. Фёдоров, В. В. Каменева. — М. : Энергоатомиздат, 1984. — 472 с.</w:t>
      </w:r>
    </w:p>
    <w:p>
      <w:pPr/>
      <w:r>
        <w:rPr>
          <w:rFonts w:ascii="Times New Roman" w:hAnsi="Times New Roman" w:cs="Times New Roman" w:eastAsia="Times New Roman"/>
          <w:sz w:val="28"/>
        </w:rPr>
        <w:t>17. Распоряжение Правительства РФ от 03.04.2013 № 511-р «Об утверждении Стратегии развития электросетевого комплекса Российской Федерации».</w:t>
      </w:r>
    </w:p>
    <w:p>
      <w:pPr/>
      <w:r>
        <w:rPr>
          <w:rFonts w:ascii="Times New Roman" w:hAnsi="Times New Roman" w:cs="Times New Roman" w:eastAsia="Times New Roman"/>
          <w:sz w:val="28"/>
        </w:rPr>
        <w:t>18. Концепция интеллектуальной электроэнергетической системы России с активно-адаптивной сетью / под ред. В. Е. Фортова, А. А. Макарова. — М. : ОАО «НТЦ ФСК ЕЭС», 2012. — 235 с.</w:t>
      </w:r>
    </w:p>
    <w:p>
      <w:pPr/>
      <w:r>
        <w:rPr>
          <w:rFonts w:ascii="Times New Roman" w:hAnsi="Times New Roman" w:cs="Times New Roman" w:eastAsia="Times New Roman"/>
          <w:sz w:val="28"/>
        </w:rPr>
        <w:t>19. Бухгольц, Б. М. Распределительные электрические сети с распределённой генерацией : обзор зарубежного опыта / Б. М. Бухгольц, Н. Фогт // Энергетик. — 2013. — № 2. — С. 36–40.</w:t>
      </w:r>
    </w:p>
    <w:p>
      <w:pPr/>
      <w:r>
        <w:rPr>
          <w:rFonts w:ascii="Times New Roman" w:hAnsi="Times New Roman" w:cs="Times New Roman" w:eastAsia="Times New Roman"/>
          <w:sz w:val="28"/>
        </w:rPr>
        <w:t>20. IEEE Std 1366–2012. IEEE Guide for Electric Power Distribution Reliability Indices. — New York : IEEE, 2012.</w:t>
      </w:r>
    </w:p>
    <w:p>
      <w:pPr/>
      <w:r>
        <w:rPr>
          <w:rFonts w:ascii="Times New Roman" w:hAnsi="Times New Roman" w:cs="Times New Roman" w:eastAsia="Times New Roman"/>
          <w:sz w:val="28"/>
        </w:rPr>
        <w:t>21. Ополева, Г. Н. Схемы и подстанции электроснабжения : справочник / Г. Н. Ополева. — М. : Форум : ИНФРА-М, 2006. — 480 с.</w:t>
      </w:r>
    </w:p>
    <w:p>
      <w:pPr>
        <w:spacing w:before="0" w:after="0" w:line="420" w:lineRule="exact"/>
        <w:ind w:firstLine="0"/>
        <w:jc w:val="center"/>
        <w:pageBreakBefore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ПРИЛОЖЕНИЕ А</w:t>
      </w:r>
    </w:p>
    <w:p>
      <w:pPr/>
      <w:r>
        <w:rPr>
          <w:rFonts w:ascii="Times New Roman" w:hAnsi="Times New Roman" w:cs="Times New Roman" w:eastAsia="Times New Roman"/>
          <w:sz w:val="28"/>
        </w:rPr>
        <w:t>Расширенная таблица состояний автоматики SmartGrid Line</w:t>
      </w:r>
    </w:p>
    <w:p>
      <w:pPr>
        <w:spacing w:line="420" w:lineRule="exact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Таблица А.1 – Расширенная таблица состояний автоматики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Состояние</w:t>
            </w:r>
          </w:p>
        </w:tc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Входной сигнал</w:t>
            </w:r>
          </w:p>
        </w:tc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Действие</w:t>
            </w:r>
          </w:p>
        </w:tc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Выход</w:t>
            </w:r>
          </w:p>
        </w:tc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Следующее состояние</w:t>
            </w:r>
          </w:p>
        </w:tc>
      </w:tr>
      <w:tr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S0 — Норма</w:t>
            </w:r>
          </w:p>
        </w:tc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Все параметры в допуске</w:t>
            </w:r>
          </w:p>
        </w:tc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Мониторинг токов, напряжений</w:t>
            </w:r>
          </w:p>
        </w:tc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Статус «Норма» в SCADA</w:t>
            </w:r>
          </w:p>
        </w:tc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S0</w:t>
            </w:r>
          </w:p>
        </w:tc>
      </w:tr>
      <w:tr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S0 — Норма</w:t>
            </w:r>
          </w:p>
        </w:tc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I &gt; I_уставка или U &lt; U_мин</w:t>
            </w:r>
          </w:p>
        </w:tc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Фиксация момента, запуск таймера</w:t>
            </w:r>
          </w:p>
        </w:tc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Сигнал «Авария» в SCADA</w:t>
            </w:r>
          </w:p>
        </w:tc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S1</w:t>
            </w:r>
          </w:p>
        </w:tc>
      </w:tr>
      <w:tr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S1 — Авария обнаружена</w:t>
            </w:r>
          </w:p>
        </w:tc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Таймер подтверждения истёк</w:t>
            </w:r>
          </w:p>
        </w:tc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Отключение выключателя повреждённого участка</w:t>
            </w:r>
          </w:p>
        </w:tc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Команда ОТКЛ на выключатель</w:t>
            </w:r>
          </w:p>
        </w:tc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S2</w:t>
            </w:r>
          </w:p>
        </w:tc>
      </w:tr>
      <w:tr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S1 — Авария обнаружена</w:t>
            </w:r>
          </w:p>
        </w:tc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Параметры вернулись в норму</w:t>
            </w:r>
          </w:p>
        </w:tc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Сброс таймера</w:t>
            </w:r>
          </w:p>
        </w:tc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Отмена сигнала аварии</w:t>
            </w:r>
          </w:p>
        </w:tc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S0</w:t>
            </w:r>
          </w:p>
        </w:tc>
      </w:tr>
      <w:tr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S2 — Участок отключён</w:t>
            </w:r>
          </w:p>
        </w:tc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Готовность к АПВ</w:t>
            </w:r>
          </w:p>
        </w:tc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Пауза АПВ, включение выключателя</w:t>
            </w:r>
          </w:p>
        </w:tc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Команда ВКЛ на выключатель</w:t>
            </w:r>
          </w:p>
        </w:tc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S3</w:t>
            </w:r>
          </w:p>
        </w:tc>
      </w:tr>
      <w:tr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S3 — АПВ выполнено</w:t>
            </w:r>
          </w:p>
        </w:tc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Авария устранена</w:t>
            </w:r>
          </w:p>
        </w:tc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Подтверждение нормальной работы</w:t>
            </w:r>
          </w:p>
        </w:tc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Статус «Норма» в SCADA</w:t>
            </w:r>
          </w:p>
        </w:tc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S0</w:t>
            </w:r>
          </w:p>
        </w:tc>
      </w:tr>
      <w:tr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S3 — АПВ выполнено</w:t>
            </w:r>
          </w:p>
        </w:tc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Авария повторилась</w:t>
            </w:r>
          </w:p>
        </w:tc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Окончательное отключение участка</w:t>
            </w:r>
          </w:p>
        </w:tc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Команда ОТКЛ, запуск локализации</w:t>
            </w:r>
          </w:p>
        </w:tc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S4</w:t>
            </w:r>
          </w:p>
        </w:tc>
      </w:tr>
      <w:tr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S4 — Локализация</w:t>
            </w:r>
          </w:p>
        </w:tc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Границы дефекта определены</w:t>
            </w:r>
          </w:p>
        </w:tc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Секционирование, изоляция дефекта</w:t>
            </w:r>
          </w:p>
        </w:tc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Команды на секционные разъединители</w:t>
            </w:r>
          </w:p>
        </w:tc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S5</w:t>
            </w:r>
          </w:p>
        </w:tc>
      </w:tr>
      <w:tr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S5 — Восстановление</w:t>
            </w:r>
          </w:p>
        </w:tc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Резерв доступен</w:t>
            </w:r>
          </w:p>
        </w:tc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Переключение на резервный источник</w:t>
            </w:r>
          </w:p>
        </w:tc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Команды реконфигурации</w:t>
            </w:r>
          </w:p>
        </w:tc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S0</w:t>
            </w:r>
          </w:p>
        </w:tc>
      </w:tr>
      <w:tr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S5 — Восстановление</w:t>
            </w:r>
          </w:p>
        </w:tc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Резерв недоступен</w:t>
            </w:r>
          </w:p>
        </w:tc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Частичное восстановление по приоритетам</w:t>
            </w:r>
          </w:p>
        </w:tc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Питание критических нагрузок</w:t>
            </w:r>
          </w:p>
        </w:tc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S5</w:t>
            </w:r>
          </w:p>
        </w:tc>
      </w:tr>
    </w:tbl>
    <w:p>
      <w:pPr>
        <w:spacing w:before="0" w:after="0" w:line="420" w:lineRule="exact"/>
        <w:ind w:firstLine="0"/>
        <w:jc w:val="center"/>
        <w:pageBreakBefore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ПРИЛОЖЕНИЕ Б</w:t>
      </w:r>
    </w:p>
    <w:p>
      <w:pPr/>
      <w:r>
        <w:rPr>
          <w:rFonts w:ascii="Times New Roman" w:hAnsi="Times New Roman" w:cs="Times New Roman" w:eastAsia="Times New Roman"/>
          <w:sz w:val="28"/>
        </w:rPr>
        <w:t>Структурированный псевдокод алгоритма</w:t>
      </w:r>
    </w:p>
    <w:p>
      <w:pPr/>
      <w:r>
        <w:rPr>
          <w:rFonts w:ascii="Times New Roman" w:hAnsi="Times New Roman" w:cs="Times New Roman" w:eastAsia="Times New Roman"/>
          <w:sz w:val="28"/>
        </w:rPr>
        <w:t>Шаг 1. ИНИЦИАЛИЗАЦИЯ. Загрузить конфигурацию сети: топологию, уставки защит, приоритеты нагрузок. Установить состояние S0 для всех контролируемых участков.</w:t>
      </w:r>
    </w:p>
    <w:p>
      <w:pPr/>
      <w:r>
        <w:rPr>
          <w:rFonts w:ascii="Times New Roman" w:hAnsi="Times New Roman" w:cs="Times New Roman" w:eastAsia="Times New Roman"/>
          <w:sz w:val="28"/>
        </w:rPr>
        <w:t>Шаг 2. ЦИКЛ МОНИТОРИНГА. В бесконечном цикле опрашивать датчики тока и напряжения на каждом контролируемом участке. Период опроса — 100 мс.</w:t>
      </w:r>
    </w:p>
    <w:p>
      <w:pPr/>
      <w:r>
        <w:rPr>
          <w:rFonts w:ascii="Times New Roman" w:hAnsi="Times New Roman" w:cs="Times New Roman" w:eastAsia="Times New Roman"/>
          <w:sz w:val="28"/>
        </w:rPr>
        <w:t>Шаг 3. ПРОВЕРКА УСТАВОК. Для каждого измерения сравнить значения тока и напряжения с уставками. Если I &gt; I_уставка или U &lt; U_мин, перейти к шагу 4.</w:t>
      </w:r>
    </w:p>
    <w:p>
      <w:pPr/>
      <w:r>
        <w:rPr>
          <w:rFonts w:ascii="Times New Roman" w:hAnsi="Times New Roman" w:cs="Times New Roman" w:eastAsia="Times New Roman"/>
          <w:sz w:val="28"/>
        </w:rPr>
        <w:t>Шаг 4. ПОДТВЕРЖДЕНИЕ АВАРИИ. Запустить таймер подтверждения (200 мс). Если по истечении таймера условие сохраняется, зафиксировать аварию. Если условие исчезло — вернуться к шагу 2.</w:t>
      </w:r>
    </w:p>
    <w:p>
      <w:pPr/>
      <w:r>
        <w:rPr>
          <w:rFonts w:ascii="Times New Roman" w:hAnsi="Times New Roman" w:cs="Times New Roman" w:eastAsia="Times New Roman"/>
          <w:sz w:val="28"/>
        </w:rPr>
        <w:t>Шаг 5. ОТКЛЮЧЕНИЕ. Сформировать команду на отключение выключателя повреждённого участка. Передать сигнал в SCADA. Перейти к шагу 6.</w:t>
      </w:r>
    </w:p>
    <w:p>
      <w:pPr/>
      <w:r>
        <w:rPr>
          <w:rFonts w:ascii="Times New Roman" w:hAnsi="Times New Roman" w:cs="Times New Roman" w:eastAsia="Times New Roman"/>
          <w:sz w:val="28"/>
        </w:rPr>
        <w:t>Шаг 6. АПВ. Выдержать паузу АПВ (3–5 с). Сформировать команду на включение выключателя. Проверить параметры после включения.</w:t>
      </w:r>
    </w:p>
    <w:p>
      <w:pPr/>
      <w:r>
        <w:rPr>
          <w:rFonts w:ascii="Times New Roman" w:hAnsi="Times New Roman" w:cs="Times New Roman" w:eastAsia="Times New Roman"/>
          <w:sz w:val="28"/>
        </w:rPr>
        <w:t>Шаг 7. ОЦЕНКА РЕЗУЛЬТАТА АПВ. Если параметры в норме — перейти к шагу 2. Если авария повторилась — окончательно отключить участок, перейти к шагу 8.</w:t>
      </w:r>
    </w:p>
    <w:p>
      <w:pPr/>
      <w:r>
        <w:rPr>
          <w:rFonts w:ascii="Times New Roman" w:hAnsi="Times New Roman" w:cs="Times New Roman" w:eastAsia="Times New Roman"/>
          <w:sz w:val="28"/>
        </w:rPr>
        <w:t>Шаг 8. ЛОКАЛИЗАЦИЯ. По показаниям датчиков определить границы повреждённого участка. Отключить секционные разъединители для изоляции дефекта.</w:t>
      </w:r>
    </w:p>
    <w:p>
      <w:pPr/>
      <w:r>
        <w:rPr>
          <w:rFonts w:ascii="Times New Roman" w:hAnsi="Times New Roman" w:cs="Times New Roman" w:eastAsia="Times New Roman"/>
          <w:sz w:val="28"/>
        </w:rPr>
        <w:t>Шаг 9. ВОССТАНОВЛЕНИЕ. Определить доступные резервные источники. Сформировать команды реконфигурации. Подать питание на неповреждённые участки в порядке приоритета: критические, приоритетные, рядовые.</w:t>
      </w:r>
    </w:p>
    <w:p>
      <w:pPr/>
      <w:r>
        <w:rPr>
          <w:rFonts w:ascii="Times New Roman" w:hAnsi="Times New Roman" w:cs="Times New Roman" w:eastAsia="Times New Roman"/>
          <w:sz w:val="28"/>
        </w:rPr>
        <w:t>Шаг 10. ЖУРНАЛИРОВАНИЕ. Записать в журнал событий: время аварии, тип повреждения, длительность перерыва, перечень переключений. Передать данные в SCADA для формирования отчёта.</w:t>
      </w:r>
    </w:p>
    <w:p>
      <w:pPr>
        <w:spacing w:before="0" w:after="0" w:line="420" w:lineRule="exact"/>
        <w:ind w:firstLine="0"/>
        <w:jc w:val="center"/>
        <w:pageBreakBefore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ПРИЛОЖЕНИЕ В</w:t>
      </w:r>
    </w:p>
    <w:p>
      <w:pPr/>
      <w:r>
        <w:rPr>
          <w:rFonts w:ascii="Times New Roman" w:hAnsi="Times New Roman" w:cs="Times New Roman" w:eastAsia="Times New Roman"/>
          <w:sz w:val="28"/>
        </w:rPr>
        <w:t>Сценарная таблица реагирования</w:t>
      </w:r>
    </w:p>
    <w:p>
      <w:pPr>
        <w:spacing w:line="420" w:lineRule="exact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Таблица В.1 – Сценарий реагирования: от повреждения до восстановления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Шаг</w:t>
            </w:r>
          </w:p>
        </w:tc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Время</w:t>
            </w:r>
          </w:p>
        </w:tc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Событие</w:t>
            </w:r>
          </w:p>
        </w:tc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Действие системы</w:t>
            </w:r>
          </w:p>
        </w:tc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Результат</w:t>
            </w:r>
          </w:p>
        </w:tc>
      </w:tr>
      <w:tr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</w:t>
            </w:r>
          </w:p>
        </w:tc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t = 0 с</w:t>
            </w:r>
          </w:p>
        </w:tc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КЗ на участке Л-3</w:t>
            </w:r>
          </w:p>
        </w:tc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Датчик фиксирует I &gt; 2·I_ном</w:t>
            </w:r>
          </w:p>
        </w:tc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Переход в S1</w:t>
            </w:r>
          </w:p>
        </w:tc>
      </w:tr>
      <w:tr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</w:t>
            </w:r>
          </w:p>
        </w:tc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t = 0,2 с</w:t>
            </w:r>
          </w:p>
        </w:tc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Подтверждение аварии</w:t>
            </w:r>
          </w:p>
        </w:tc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Таймер истёк, авария подтверждена</w:t>
            </w:r>
          </w:p>
        </w:tc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Переход в S2</w:t>
            </w:r>
          </w:p>
        </w:tc>
      </w:tr>
      <w:tr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3</w:t>
            </w:r>
          </w:p>
        </w:tc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t = 0,3 с</w:t>
            </w:r>
          </w:p>
        </w:tc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Отключение В-3</w:t>
            </w:r>
          </w:p>
        </w:tc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Команда ОТКЛ на выключатель В-3</w:t>
            </w:r>
          </w:p>
        </w:tc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Участок обесточен</w:t>
            </w:r>
          </w:p>
        </w:tc>
      </w:tr>
      <w:tr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4</w:t>
            </w:r>
          </w:p>
        </w:tc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t = 3,3 с</w:t>
            </w:r>
          </w:p>
        </w:tc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АПВ</w:t>
            </w:r>
          </w:p>
        </w:tc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Команда ВКЛ на В-3</w:t>
            </w:r>
          </w:p>
        </w:tc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Проверка параметров</w:t>
            </w:r>
          </w:p>
        </w:tc>
      </w:tr>
      <w:tr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5</w:t>
            </w:r>
          </w:p>
        </w:tc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t = 3,5 с</w:t>
            </w:r>
          </w:p>
        </w:tc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Авария повторилась</w:t>
            </w:r>
          </w:p>
        </w:tc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Окончательное ОТКЛ В-3</w:t>
            </w:r>
          </w:p>
        </w:tc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Переход в S4</w:t>
            </w:r>
          </w:p>
        </w:tc>
      </w:tr>
      <w:tr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6</w:t>
            </w:r>
          </w:p>
        </w:tc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t = 4,0 с</w:t>
            </w:r>
          </w:p>
        </w:tc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Локализация</w:t>
            </w:r>
          </w:p>
        </w:tc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Отключение СР-3а и СР-3б</w:t>
            </w:r>
          </w:p>
        </w:tc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Дефект изолирован</w:t>
            </w:r>
          </w:p>
        </w:tc>
      </w:tr>
      <w:tr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7</w:t>
            </w:r>
          </w:p>
        </w:tc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t = 5,0 с</w:t>
            </w:r>
          </w:p>
        </w:tc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Реконфигурация</w:t>
            </w:r>
          </w:p>
        </w:tc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Включение резервного ввода РВ-1</w:t>
            </w:r>
          </w:p>
        </w:tc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Питание восстановлено</w:t>
            </w:r>
          </w:p>
        </w:tc>
      </w:tr>
      <w:tr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8</w:t>
            </w:r>
          </w:p>
        </w:tc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t = 5,5 с</w:t>
            </w:r>
          </w:p>
        </w:tc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Завершение</w:t>
            </w:r>
          </w:p>
        </w:tc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Запись в журнал, уведомление SCADA</w:t>
            </w:r>
          </w:p>
        </w:tc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Переход в S0</w:t>
            </w:r>
          </w:p>
        </w:tc>
      </w:tr>
    </w:tbl>
    <w:p>
      <w:pPr>
        <w:spacing w:before="0" w:after="0" w:line="420" w:lineRule="exact"/>
        <w:ind w:firstLine="0"/>
        <w:jc w:val="center"/>
        <w:pageBreakBefore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ПРИЛОЖЕНИЕ Г</w:t>
      </w:r>
    </w:p>
    <w:p>
      <w:pPr/>
      <w:r>
        <w:rPr>
          <w:rFonts w:ascii="Times New Roman" w:hAnsi="Times New Roman" w:cs="Times New Roman" w:eastAsia="Times New Roman"/>
          <w:sz w:val="28"/>
        </w:rPr>
        <w:t>Матрица рисков проекта SmartGrid Line</w:t>
      </w:r>
    </w:p>
    <w:p>
      <w:pPr>
        <w:spacing w:line="420" w:lineRule="exact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Таблица Г.1 – Матрица рисков проекта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№</w:t>
            </w:r>
          </w:p>
        </w:tc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Риск</w:t>
            </w:r>
          </w:p>
        </w:tc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Вероятность</w:t>
            </w:r>
          </w:p>
        </w:tc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Влияние</w:t>
            </w:r>
          </w:p>
        </w:tc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Меры снижения</w:t>
            </w:r>
          </w:p>
        </w:tc>
      </w:tr>
      <w:tr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</w:t>
            </w:r>
          </w:p>
        </w:tc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Отказ канала связи между ПЛК и SCADA</w:t>
            </w:r>
          </w:p>
        </w:tc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Средняя</w:t>
            </w:r>
          </w:p>
        </w:tc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Высокое</w:t>
            </w:r>
          </w:p>
        </w:tc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Резервный канал связи, автономный режим ПЛК</w:t>
            </w:r>
          </w:p>
        </w:tc>
      </w:tr>
      <w:tr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</w:t>
            </w:r>
          </w:p>
        </w:tc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Ложное срабатывание защиты</w:t>
            </w:r>
          </w:p>
        </w:tc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Низкая</w:t>
            </w:r>
          </w:p>
        </w:tc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Высокое</w:t>
            </w:r>
          </w:p>
        </w:tc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Двухступенчатое подтверждение, адаптивные уставки</w:t>
            </w:r>
          </w:p>
        </w:tc>
      </w:tr>
      <w:tr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3</w:t>
            </w:r>
          </w:p>
        </w:tc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Некорректная топология сети в БД</w:t>
            </w:r>
          </w:p>
        </w:tc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Средняя</w:t>
            </w:r>
          </w:p>
        </w:tc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Высокое</w:t>
            </w:r>
          </w:p>
        </w:tc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Верификация при вводе, периодический аудит</w:t>
            </w:r>
          </w:p>
        </w:tc>
      </w:tr>
      <w:tr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4</w:t>
            </w:r>
          </w:p>
        </w:tc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Отказ секционного разъединителя</w:t>
            </w:r>
          </w:p>
        </w:tc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Низкая</w:t>
            </w:r>
          </w:p>
        </w:tc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Среднее</w:t>
            </w:r>
          </w:p>
        </w:tc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Резервная схема переключения, регулярное ТО</w:t>
            </w:r>
          </w:p>
        </w:tc>
      </w:tr>
      <w:tr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5</w:t>
            </w:r>
          </w:p>
        </w:tc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Перегрузка резервного ввода</w:t>
            </w:r>
          </w:p>
        </w:tc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Средняя</w:t>
            </w:r>
          </w:p>
        </w:tc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Среднее</w:t>
            </w:r>
          </w:p>
        </w:tc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Контроль допустимой нагрузки перед переключением</w:t>
            </w:r>
          </w:p>
        </w:tc>
      </w:tr>
      <w:tr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6</w:t>
            </w:r>
          </w:p>
        </w:tc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Кибератака на SCADA-систему</w:t>
            </w:r>
          </w:p>
        </w:tc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Низкая</w:t>
            </w:r>
          </w:p>
        </w:tc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Высокое</w:t>
            </w:r>
          </w:p>
        </w:tc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Сегментация сети, шифрование, аудит доступа</w:t>
            </w:r>
          </w:p>
        </w:tc>
      </w:tr>
      <w:tr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7</w:t>
            </w:r>
          </w:p>
        </w:tc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Недостаточная квалификация персонала</w:t>
            </w:r>
          </w:p>
        </w:tc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Средняя</w:t>
            </w:r>
          </w:p>
        </w:tc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Среднее</w:t>
            </w:r>
          </w:p>
        </w:tc>
        <w:tc>
          <w:tcPr>
            <w:tcW w:type="dxa" w:w="1871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Программа обучения, тренажёр-симулятор</w:t>
            </w:r>
          </w:p>
        </w:tc>
      </w:tr>
    </w:tbl>
    <w:p>
      <w:pPr>
        <w:spacing w:before="0" w:after="0" w:line="420" w:lineRule="exact"/>
        <w:ind w:firstLine="0"/>
        <w:jc w:val="center"/>
        <w:pageBreakBefore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ПРИЛОЖЕНИЕ Д</w:t>
      </w:r>
    </w:p>
    <w:p>
      <w:pPr/>
      <w:r>
        <w:rPr>
          <w:rFonts w:ascii="Times New Roman" w:hAnsi="Times New Roman" w:cs="Times New Roman" w:eastAsia="Times New Roman"/>
          <w:sz w:val="28"/>
        </w:rPr>
        <w:t>Расширенное сравнение схем эксплуатации</w:t>
      </w:r>
    </w:p>
    <w:p>
      <w:pPr>
        <w:spacing w:line="420" w:lineRule="exact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Таблица Д.1 – Сравнение традиционной и интеллектуальной схем эксплуатации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Параметр</w:t>
            </w:r>
          </w:p>
        </w:tc>
        <w:tc>
          <w:tcPr>
            <w:tcW w:type="dxa" w:w="3118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Традиционная схема</w:t>
            </w:r>
          </w:p>
        </w:tc>
        <w:tc>
          <w:tcPr>
            <w:tcW w:type="dxa" w:w="3118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SmartGrid Line</w:t>
            </w:r>
          </w:p>
        </w:tc>
      </w:tr>
      <w:tr>
        <w:tc>
          <w:tcPr>
            <w:tcW w:type="dxa" w:w="3118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Время обнаружения повреждения</w:t>
            </w:r>
          </w:p>
        </w:tc>
        <w:tc>
          <w:tcPr>
            <w:tcW w:type="dxa" w:w="3118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10–30 мин (звонок потребителя)</w:t>
            </w:r>
          </w:p>
        </w:tc>
        <w:tc>
          <w:tcPr>
            <w:tcW w:type="dxa" w:w="3118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0,1–0,2 с (автоматически)</w:t>
            </w:r>
          </w:p>
        </w:tc>
      </w:tr>
      <w:tr>
        <w:tc>
          <w:tcPr>
            <w:tcW w:type="dxa" w:w="3118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Время локализации дефекта</w:t>
            </w:r>
          </w:p>
        </w:tc>
        <w:tc>
          <w:tcPr>
            <w:tcW w:type="dxa" w:w="3118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30–90 мин (выезд бригады)</w:t>
            </w:r>
          </w:p>
        </w:tc>
        <w:tc>
          <w:tcPr>
            <w:tcW w:type="dxa" w:w="3118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1–5 с (алгоритм секционирования)</w:t>
            </w:r>
          </w:p>
        </w:tc>
      </w:tr>
      <w:tr>
        <w:tc>
          <w:tcPr>
            <w:tcW w:type="dxa" w:w="3118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Время восстановления питания</w:t>
            </w:r>
          </w:p>
        </w:tc>
        <w:tc>
          <w:tcPr>
            <w:tcW w:type="dxa" w:w="3118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1–4 ч</w:t>
            </w:r>
          </w:p>
        </w:tc>
        <w:tc>
          <w:tcPr>
            <w:tcW w:type="dxa" w:w="3118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5–30 с (автоматическая реконфигурация)</w:t>
            </w:r>
          </w:p>
        </w:tc>
      </w:tr>
      <w:tr>
        <w:tc>
          <w:tcPr>
            <w:tcW w:type="dxa" w:w="3118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Способ резервирования</w:t>
            </w:r>
          </w:p>
        </w:tc>
        <w:tc>
          <w:tcPr>
            <w:tcW w:type="dxa" w:w="3118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Статическая альтернативная схема</w:t>
            </w:r>
          </w:p>
        </w:tc>
        <w:tc>
          <w:tcPr>
            <w:tcW w:type="dxa" w:w="3118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Динамическая реконфигурация</w:t>
            </w:r>
          </w:p>
        </w:tc>
      </w:tr>
      <w:tr>
        <w:tc>
          <w:tcPr>
            <w:tcW w:type="dxa" w:w="3118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Учёт приоритетов нагрузок</w:t>
            </w:r>
          </w:p>
        </w:tc>
        <w:tc>
          <w:tcPr>
            <w:tcW w:type="dxa" w:w="3118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Не предусмотрен</w:t>
            </w:r>
          </w:p>
        </w:tc>
        <w:tc>
          <w:tcPr>
            <w:tcW w:type="dxa" w:w="3118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Трёхуровневая классификация</w:t>
            </w:r>
          </w:p>
        </w:tc>
      </w:tr>
      <w:tr>
        <w:tc>
          <w:tcPr>
            <w:tcW w:type="dxa" w:w="3118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SAIDI (среднее)</w:t>
            </w:r>
          </w:p>
        </w:tc>
        <w:tc>
          <w:tcPr>
            <w:tcW w:type="dxa" w:w="3118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200–400 мин/год</w:t>
            </w:r>
          </w:p>
        </w:tc>
        <w:tc>
          <w:tcPr>
            <w:tcW w:type="dxa" w:w="3118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140–280 мин/год (снижение 20–30 %)</w:t>
            </w:r>
          </w:p>
        </w:tc>
      </w:tr>
      <w:tr>
        <w:tc>
          <w:tcPr>
            <w:tcW w:type="dxa" w:w="3118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SAIFI (среднее)</w:t>
            </w:r>
          </w:p>
        </w:tc>
        <w:tc>
          <w:tcPr>
            <w:tcW w:type="dxa" w:w="3118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3–6 перерывов/год</w:t>
            </w:r>
          </w:p>
        </w:tc>
        <w:tc>
          <w:tcPr>
            <w:tcW w:type="dxa" w:w="3118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2–4 перерыва/год (снижение 20–30 %)</w:t>
            </w:r>
          </w:p>
        </w:tc>
      </w:tr>
      <w:tr>
        <w:tc>
          <w:tcPr>
            <w:tcW w:type="dxa" w:w="3118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Эксплуатационные затраты</w:t>
            </w:r>
          </w:p>
        </w:tc>
        <w:tc>
          <w:tcPr>
            <w:tcW w:type="dxa" w:w="3118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Базовый уровень</w:t>
            </w:r>
          </w:p>
        </w:tc>
        <w:tc>
          <w:tcPr>
            <w:tcW w:type="dxa" w:w="3118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Снижение на 30–50 %</w:t>
            </w:r>
          </w:p>
        </w:tc>
      </w:tr>
      <w:tr>
        <w:tc>
          <w:tcPr>
            <w:tcW w:type="dxa" w:w="3118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Необходимость выезда бригады</w:t>
            </w:r>
          </w:p>
        </w:tc>
        <w:tc>
          <w:tcPr>
            <w:tcW w:type="dxa" w:w="3118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При каждом инциденте</w:t>
            </w:r>
          </w:p>
        </w:tc>
        <w:tc>
          <w:tcPr>
            <w:tcW w:type="dxa" w:w="3118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Только при устойчивых повреждениях</w:t>
            </w:r>
          </w:p>
        </w:tc>
      </w:tr>
    </w:tbl>
    <w:p>
      <w:pPr>
        <w:spacing w:before="0" w:after="0" w:line="420" w:lineRule="exact"/>
        <w:ind w:firstLine="0"/>
        <w:jc w:val="center"/>
        <w:pageBreakBefore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ПРИЛОЖЕНИЕ Е</w:t>
      </w:r>
    </w:p>
    <w:p>
      <w:pPr/>
      <w:r>
        <w:rPr>
          <w:rFonts w:ascii="Times New Roman" w:hAnsi="Times New Roman" w:cs="Times New Roman" w:eastAsia="Times New Roman"/>
          <w:sz w:val="28"/>
        </w:rPr>
        <w:t>Функциональные требования к пилотному объекту</w:t>
      </w:r>
    </w:p>
    <w:p>
      <w:pPr>
        <w:spacing w:line="420" w:lineRule="exact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Таблица Е.1 – Функциональные требования к пилотному объекту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№</w:t>
            </w:r>
          </w:p>
        </w:tc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Требование</w:t>
            </w:r>
          </w:p>
        </w:tc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Категория</w:t>
            </w:r>
          </w:p>
        </w:tc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Приоритет</w:t>
            </w:r>
          </w:p>
        </w:tc>
      </w:tr>
      <w:tr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ФТ-01</w:t>
            </w:r>
          </w:p>
        </w:tc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Непрерывный мониторинг токов и напряжений с периодом 100 мс</w:t>
            </w:r>
          </w:p>
        </w:tc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Мониторинг</w:t>
            </w:r>
          </w:p>
        </w:tc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Обязательно</w:t>
            </w:r>
          </w:p>
        </w:tc>
      </w:tr>
      <w:tr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ФТ-02</w:t>
            </w:r>
          </w:p>
        </w:tc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Автоматическое обнаружение КЗ и замыканий на землю</w:t>
            </w:r>
          </w:p>
        </w:tc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Защита</w:t>
            </w:r>
          </w:p>
        </w:tc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Обязательно</w:t>
            </w:r>
          </w:p>
        </w:tc>
      </w:tr>
      <w:tr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ФТ-03</w:t>
            </w:r>
          </w:p>
        </w:tc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Выполнение АПВ с настраиваемой паузой 1–10 с</w:t>
            </w:r>
          </w:p>
        </w:tc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Защита</w:t>
            </w:r>
          </w:p>
        </w:tc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Обязательно</w:t>
            </w:r>
          </w:p>
        </w:tc>
      </w:tr>
      <w:tr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ФТ-04</w:t>
            </w:r>
          </w:p>
        </w:tc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Автоматическая локализация повреждённого участка</w:t>
            </w:r>
          </w:p>
        </w:tc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Автоматика</w:t>
            </w:r>
          </w:p>
        </w:tc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Обязательно</w:t>
            </w:r>
          </w:p>
        </w:tc>
      </w:tr>
      <w:tr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ФТ-05</w:t>
            </w:r>
          </w:p>
        </w:tc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Реконфигурация сети с учётом приоритетов нагрузок</w:t>
            </w:r>
          </w:p>
        </w:tc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Автоматика</w:t>
            </w:r>
          </w:p>
        </w:tc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Обязательно</w:t>
            </w:r>
          </w:p>
        </w:tc>
      </w:tr>
      <w:tr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ФТ-06</w:t>
            </w:r>
          </w:p>
        </w:tc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Передача данных в SCADA по протоколу IEC 61850</w:t>
            </w:r>
          </w:p>
        </w:tc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Связь</w:t>
            </w:r>
          </w:p>
        </w:tc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Обязательно</w:t>
            </w:r>
          </w:p>
        </w:tc>
      </w:tr>
      <w:tr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ФТ-07</w:t>
            </w:r>
          </w:p>
        </w:tc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Автономная работа ПЛК при потере связи с SCADA</w:t>
            </w:r>
          </w:p>
        </w:tc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Надёжность</w:t>
            </w:r>
          </w:p>
        </w:tc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Обязательно</w:t>
            </w:r>
          </w:p>
        </w:tc>
      </w:tr>
      <w:tr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ФТ-08</w:t>
            </w:r>
          </w:p>
        </w:tc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Журналирование всех событий с точностью до 1 мс</w:t>
            </w:r>
          </w:p>
        </w:tc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Журналирование</w:t>
            </w:r>
          </w:p>
        </w:tc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Обязательно</w:t>
            </w:r>
          </w:p>
        </w:tc>
      </w:tr>
      <w:tr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ФТ-09</w:t>
            </w:r>
          </w:p>
        </w:tc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Визуализация состояния сети в реальном времени</w:t>
            </w:r>
          </w:p>
        </w:tc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Интерфейс</w:t>
            </w:r>
          </w:p>
        </w:tc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Желательно</w:t>
            </w:r>
          </w:p>
        </w:tc>
      </w:tr>
      <w:tr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ФТ-10</w:t>
            </w:r>
          </w:p>
        </w:tc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Формирование отчётов SAIDI/SAIFI за период</w:t>
            </w:r>
          </w:p>
        </w:tc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Аналитика</w:t>
            </w:r>
          </w:p>
        </w:tc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Желательно</w:t>
            </w:r>
          </w:p>
        </w:tc>
      </w:tr>
    </w:tbl>
    <w:p>
      <w:pPr>
        <w:spacing w:before="0" w:after="0" w:line="420" w:lineRule="exact"/>
        <w:ind w:firstLine="0"/>
        <w:jc w:val="center"/>
        <w:pageBreakBefore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ПРИЛОЖЕНИЕ Ж</w:t>
      </w:r>
    </w:p>
    <w:p>
      <w:pPr/>
      <w:r>
        <w:rPr>
          <w:rFonts w:ascii="Times New Roman" w:hAnsi="Times New Roman" w:cs="Times New Roman" w:eastAsia="Times New Roman"/>
          <w:sz w:val="28"/>
        </w:rPr>
        <w:t>Дорожная карта пилотного внедрения</w:t>
      </w:r>
    </w:p>
    <w:p>
      <w:pPr>
        <w:spacing w:line="420" w:lineRule="exact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Таблица Ж.1 – Дорожная карта пилотного внедрения SmartGrid 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Этап</w:t>
            </w:r>
          </w:p>
        </w:tc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Срок</w:t>
            </w:r>
          </w:p>
        </w:tc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Содержание</w:t>
            </w:r>
          </w:p>
        </w:tc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Результат</w:t>
            </w:r>
          </w:p>
        </w:tc>
      </w:tr>
      <w:tr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1. Проектирование</w:t>
            </w:r>
          </w:p>
        </w:tc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Месяцы 1–2</w:t>
            </w:r>
          </w:p>
        </w:tc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Выбор пилотного участка, проектирование схемы, спецификация оборудования</w:t>
            </w:r>
          </w:p>
        </w:tc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Проектная документация</w:t>
            </w:r>
          </w:p>
        </w:tc>
      </w:tr>
      <w:tr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2. Закупка</w:t>
            </w:r>
          </w:p>
        </w:tc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Месяцы 3–4</w:t>
            </w:r>
          </w:p>
        </w:tc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Закупка ПЛК, датчиков, коммутационных аппаратов, серверов SCADA</w:t>
            </w:r>
          </w:p>
        </w:tc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Оборудование на складе</w:t>
            </w:r>
          </w:p>
        </w:tc>
      </w:tr>
      <w:tr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3. Монтаж</w:t>
            </w:r>
          </w:p>
        </w:tc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Месяцы 5–6</w:t>
            </w:r>
          </w:p>
        </w:tc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Установка датчиков, ПЛК, каналов связи на пилотном участке</w:t>
            </w:r>
          </w:p>
        </w:tc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Смонтированная система</w:t>
            </w:r>
          </w:p>
        </w:tc>
      </w:tr>
      <w:tr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4. Программирование</w:t>
            </w:r>
          </w:p>
        </w:tc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Месяцы 6–7</w:t>
            </w:r>
          </w:p>
        </w:tc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Загрузка алгоритмов в ПЛК, настройка SCADA, конфигурация уставок</w:t>
            </w:r>
          </w:p>
        </w:tc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Настроенная система</w:t>
            </w:r>
          </w:p>
        </w:tc>
      </w:tr>
      <w:tr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5. Тестирование</w:t>
            </w:r>
          </w:p>
        </w:tc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Месяцы 7–8</w:t>
            </w:r>
          </w:p>
        </w:tc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Имитация аварий, проверка АПВ, локализации, реконфигурации</w:t>
            </w:r>
          </w:p>
        </w:tc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Протоколы испытаний</w:t>
            </w:r>
          </w:p>
        </w:tc>
      </w:tr>
      <w:tr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6. Опытная эксплуатация</w:t>
            </w:r>
          </w:p>
        </w:tc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Месяцы 9–12</w:t>
            </w:r>
          </w:p>
        </w:tc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Работа в параллельном режиме, сбор статистики, корректировка</w:t>
            </w:r>
          </w:p>
        </w:tc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Акт опытной эксплуатации</w:t>
            </w:r>
          </w:p>
        </w:tc>
      </w:tr>
      <w:tr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7. Анализ результатов</w:t>
            </w:r>
          </w:p>
        </w:tc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Месяц 12</w:t>
            </w:r>
          </w:p>
        </w:tc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Расчёт SAIDI/SAIFI, оценка экономического эффекта</w:t>
            </w:r>
          </w:p>
        </w:tc>
        <w:tc>
          <w:tcPr>
            <w:tcW w:type="dxa" w:w="2339"/>
          </w:tcPr>
          <w:p>
            <w:pPr>
              <w:spacing w:line="420" w:lineRule="exact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Отчёт об эффективности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8"/>
      </w:rPr>
      <w:fldChar w:fldCharType="begin"/>
    </w:r>
    <w:r>
      <w:rPr>
        <w:rFonts w:ascii="Times New Roman" w:hAnsi="Times New Roman"/>
        <w:sz w:val="28"/>
      </w:rPr>
      <w:instrText xml:space="preserve"> PAGE </w:instrText>
    </w:r>
    <w:r>
      <w:rPr>
        <w:rFonts w:ascii="Times New Roman" w:hAnsi="Times New Roman"/>
        <w:sz w:val="2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420" w:lineRule="exact"/>
      <w:ind w:firstLine="709"/>
      <w:jc w:val="both"/>
    </w:pPr>
    <w:rPr>
      <w:rFonts w:ascii="Times New Roman" w:hAnsi="Times New Roman"/>
      <w:color w:val="000000"/>
      <w:sz w:val="28"/>
      <w:rFonts w:ascii="Times New Roman" w:hAnsi="Times New Roman" w:cs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