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ind w:firstLine="709"/>
        <w:jc w:val="both"/>
      </w:pPr>
      <w:r>
        <w:rPr>
          <w:rFonts w:ascii="Times New Roman" w:hAnsi="Times New Roman"/>
          <w:b/>
          <w:sz w:val="28"/>
        </w:rPr>
        <w:t>2 СРАВНИТЕЛЬНЫЙ АНАЛИЗ ОБОРУДОВАНИЯ ДЛЯ АВТОМАТИЗАЦИИ СЕТЕЙ 6–10 КВ</w:t>
      </w:r>
    </w:p>
    <w:p>
      <w:pPr>
        <w:spacing w:before="240" w:after="120"/>
        <w:ind w:firstLine="709"/>
        <w:jc w:val="both"/>
      </w:pPr>
      <w:r>
        <w:rPr>
          <w:rFonts w:ascii="Times New Roman" w:hAnsi="Times New Roman"/>
          <w:b/>
          <w:sz w:val="28"/>
        </w:rPr>
        <w:t>2.1 Сравнительный анализ реклоузеров для сетей 6–10 кВ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Как показано в главе 1, реклоузеры выполняют функции автоматического обнаружения и отключения повреждённых участков воздушных линий 6–10 кВ. Выбор конкретной модели реклоузера для проекта автоматизации определяется совокупностью технических и экономических факторов: токами короткого замыкания в точке установки, требуемым коммутационным ресурсом, набором функций релейной защиты и автоматики, поддерживаемыми протоколами связи и стоимостью жизненного цикла оборудования [9].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На российском рынке представлены четыре основных производителя реклоузеров для класса напряжения 6–10 кВ: АО «Таврида Электрик» (серия PBA/TEL-10), АО «РиМ» (серия РВА-10), Schneider Electric (серия ADVC) и ABB (серия OVR-10). Все перечисленные модели используют вакуумную дугогасительную среду, что обеспечивает высокий коммутационный ресурс и отсутствие необходимости обслуживания камеры в течение всего срока эксплуатации [13].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Реклоузеры PBA/TEL-10 производства «Таврида Электрик» занимают более 60 % российского рынка. Их блок управления реализует полный набор защит (МТЗ, ТО, ОЗЗ) и до четырёх циклов АПВ. Питание осуществляется от аккумуляторной батареи с подзарядкой от солнечной панели, что позволяет устанавливать реклоузер на опорах без подвода внешнего электроснабжения. Время полного отключения составляет не более 50 мс [13].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Реклоузеры РВА-10 производства АО «РиМ» по основным параметрам аналогичны серии PBA/TEL-10: номинальный ток 630 А, ток отключения 12,5 кА, ресурс 30 000 операций при номинальном токе. Блок управления поддерживает протоколы Modbus TCP и МЭК 60870-5-104. Время отключения — не более 60 мс, что на 10 мс больше, чем у PBA/TEL-10; для задач защиты распределительных сетей эта разница не является критичной [11].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Реклоузеры ADVC производства Schneider Electric отличаются увеличенным коммутационным ресурсом — 50 000 операций при номинальном токе, что в 1,67 раза превышает ресурс отечественных аналогов. Блок управления поддерживает протокол МЭК 61850 наряду с Modbus и МЭК 60870-5-104, что обеспечивает интеграцию с цифровыми подстанциями. Реклоузеры ABB серии OVR-10 имеют наибольший ток отключения — 16 кА, что расширяет область их применения в сетях с высоким уровнем токов КЗ [11].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Результаты сравнительного анализа технических характеристик реклоузеров четырёх производителей сведены в таблицу 2.1.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sz w:val="28"/>
        </w:rPr>
        <w:t>Таблица 2.1 – Сравнительные характеристики реклоузеров для сетей 6–10 кВ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Параметр</w:t>
            </w:r>
          </w:p>
        </w:tc>
        <w:tc>
          <w:tcPr>
            <w:tcW w:type="dxa" w:w="1871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Таврида Электрик</w:t>
              <w:br/>
              <w:t>PBA/TEL-10</w:t>
            </w:r>
          </w:p>
        </w:tc>
        <w:tc>
          <w:tcPr>
            <w:tcW w:type="dxa" w:w="1871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РиМ</w:t>
              <w:br/>
              <w:t>РВА-10</w:t>
            </w:r>
          </w:p>
        </w:tc>
        <w:tc>
          <w:tcPr>
            <w:tcW w:type="dxa" w:w="1871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Schneider</w:t>
              <w:br/>
              <w:t>ADVC</w:t>
            </w:r>
          </w:p>
        </w:tc>
        <w:tc>
          <w:tcPr>
            <w:tcW w:type="dxa" w:w="1871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ABB</w:t>
              <w:br/>
              <w:t>OVR-10</w:t>
            </w:r>
          </w:p>
        </w:tc>
      </w:tr>
      <w:tr>
        <w:tc>
          <w:tcPr>
            <w:tcW w:type="dxa" w:w="1871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Номинальное напряжение, кВ</w:t>
            </w:r>
          </w:p>
        </w:tc>
        <w:tc>
          <w:tcPr>
            <w:tcW w:type="dxa" w:w="1871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type="dxa" w:w="1871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type="dxa" w:w="1871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type="dxa" w:w="1871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10</w:t>
            </w:r>
          </w:p>
        </w:tc>
      </w:tr>
      <w:tr>
        <w:tc>
          <w:tcPr>
            <w:tcW w:type="dxa" w:w="1871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Номинальный ток, А</w:t>
            </w:r>
          </w:p>
        </w:tc>
        <w:tc>
          <w:tcPr>
            <w:tcW w:type="dxa" w:w="1871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630</w:t>
            </w:r>
          </w:p>
        </w:tc>
        <w:tc>
          <w:tcPr>
            <w:tcW w:type="dxa" w:w="1871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630</w:t>
            </w:r>
          </w:p>
        </w:tc>
        <w:tc>
          <w:tcPr>
            <w:tcW w:type="dxa" w:w="1871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630</w:t>
            </w:r>
          </w:p>
        </w:tc>
        <w:tc>
          <w:tcPr>
            <w:tcW w:type="dxa" w:w="1871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630</w:t>
            </w:r>
          </w:p>
        </w:tc>
      </w:tr>
      <w:tr>
        <w:tc>
          <w:tcPr>
            <w:tcW w:type="dxa" w:w="1871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Ток отключения, кА</w:t>
            </w:r>
          </w:p>
        </w:tc>
        <w:tc>
          <w:tcPr>
            <w:tcW w:type="dxa" w:w="1871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12,5</w:t>
            </w:r>
          </w:p>
        </w:tc>
        <w:tc>
          <w:tcPr>
            <w:tcW w:type="dxa" w:w="1871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12,5</w:t>
            </w:r>
          </w:p>
        </w:tc>
        <w:tc>
          <w:tcPr>
            <w:tcW w:type="dxa" w:w="1871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12,5</w:t>
            </w:r>
          </w:p>
        </w:tc>
        <w:tc>
          <w:tcPr>
            <w:tcW w:type="dxa" w:w="1871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16</w:t>
            </w:r>
          </w:p>
        </w:tc>
      </w:tr>
      <w:tr>
        <w:tc>
          <w:tcPr>
            <w:tcW w:type="dxa" w:w="1871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Тип дугогас. среды</w:t>
            </w:r>
          </w:p>
        </w:tc>
        <w:tc>
          <w:tcPr>
            <w:tcW w:type="dxa" w:w="1871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Вакуум</w:t>
            </w:r>
          </w:p>
        </w:tc>
        <w:tc>
          <w:tcPr>
            <w:tcW w:type="dxa" w:w="1871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Вакуум</w:t>
            </w:r>
          </w:p>
        </w:tc>
        <w:tc>
          <w:tcPr>
            <w:tcW w:type="dxa" w:w="1871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Вакуум</w:t>
            </w:r>
          </w:p>
        </w:tc>
        <w:tc>
          <w:tcPr>
            <w:tcW w:type="dxa" w:w="1871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Вакуум</w:t>
            </w:r>
          </w:p>
        </w:tc>
      </w:tr>
      <w:tr>
        <w:tc>
          <w:tcPr>
            <w:tcW w:type="dxa" w:w="1871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Ресурс при Iном, операций</w:t>
            </w:r>
          </w:p>
        </w:tc>
        <w:tc>
          <w:tcPr>
            <w:tcW w:type="dxa" w:w="1871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30 000</w:t>
            </w:r>
          </w:p>
        </w:tc>
        <w:tc>
          <w:tcPr>
            <w:tcW w:type="dxa" w:w="1871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30 000</w:t>
            </w:r>
          </w:p>
        </w:tc>
        <w:tc>
          <w:tcPr>
            <w:tcW w:type="dxa" w:w="1871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50 000</w:t>
            </w:r>
          </w:p>
        </w:tc>
        <w:tc>
          <w:tcPr>
            <w:tcW w:type="dxa" w:w="1871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30 000</w:t>
            </w:r>
          </w:p>
        </w:tc>
      </w:tr>
      <w:tr>
        <w:tc>
          <w:tcPr>
            <w:tcW w:type="dxa" w:w="1871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Ресурс при Iоткл, операций</w:t>
            </w:r>
          </w:p>
        </w:tc>
        <w:tc>
          <w:tcPr>
            <w:tcW w:type="dxa" w:w="1871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100</w:t>
            </w:r>
          </w:p>
        </w:tc>
        <w:tc>
          <w:tcPr>
            <w:tcW w:type="dxa" w:w="1871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100</w:t>
            </w:r>
          </w:p>
        </w:tc>
        <w:tc>
          <w:tcPr>
            <w:tcW w:type="dxa" w:w="1871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100</w:t>
            </w:r>
          </w:p>
        </w:tc>
        <w:tc>
          <w:tcPr>
            <w:tcW w:type="dxa" w:w="1871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100</w:t>
            </w:r>
          </w:p>
        </w:tc>
      </w:tr>
      <w:tr>
        <w:tc>
          <w:tcPr>
            <w:tcW w:type="dxa" w:w="1871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Время отключения, мс</w:t>
            </w:r>
          </w:p>
        </w:tc>
        <w:tc>
          <w:tcPr>
            <w:tcW w:type="dxa" w:w="1871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≤ 50</w:t>
            </w:r>
          </w:p>
        </w:tc>
        <w:tc>
          <w:tcPr>
            <w:tcW w:type="dxa" w:w="1871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≤ 60</w:t>
            </w:r>
          </w:p>
        </w:tc>
        <w:tc>
          <w:tcPr>
            <w:tcW w:type="dxa" w:w="1871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≤ 55</w:t>
            </w:r>
          </w:p>
        </w:tc>
        <w:tc>
          <w:tcPr>
            <w:tcW w:type="dxa" w:w="1871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≤ 50</w:t>
            </w:r>
          </w:p>
        </w:tc>
      </w:tr>
      <w:tr>
        <w:tc>
          <w:tcPr>
            <w:tcW w:type="dxa" w:w="1871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Циклов АПВ</w:t>
            </w:r>
          </w:p>
        </w:tc>
        <w:tc>
          <w:tcPr>
            <w:tcW w:type="dxa" w:w="1871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1–4</w:t>
            </w:r>
          </w:p>
        </w:tc>
        <w:tc>
          <w:tcPr>
            <w:tcW w:type="dxa" w:w="1871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1–3</w:t>
            </w:r>
          </w:p>
        </w:tc>
        <w:tc>
          <w:tcPr>
            <w:tcW w:type="dxa" w:w="1871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1–4</w:t>
            </w:r>
          </w:p>
        </w:tc>
        <w:tc>
          <w:tcPr>
            <w:tcW w:type="dxa" w:w="1871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1–4</w:t>
            </w:r>
          </w:p>
        </w:tc>
      </w:tr>
      <w:tr>
        <w:tc>
          <w:tcPr>
            <w:tcW w:type="dxa" w:w="1871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Протоколы связи</w:t>
            </w:r>
          </w:p>
        </w:tc>
        <w:tc>
          <w:tcPr>
            <w:tcW w:type="dxa" w:w="1871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Modbus,</w:t>
              <w:br/>
              <w:t>МЭК 104</w:t>
            </w:r>
          </w:p>
        </w:tc>
        <w:tc>
          <w:tcPr>
            <w:tcW w:type="dxa" w:w="1871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Modbus,</w:t>
              <w:br/>
              <w:t>МЭК 104</w:t>
            </w:r>
          </w:p>
        </w:tc>
        <w:tc>
          <w:tcPr>
            <w:tcW w:type="dxa" w:w="1871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Modbus,</w:t>
              <w:br/>
              <w:t>МЭК 104,</w:t>
              <w:br/>
              <w:t>МЭК 61850</w:t>
            </w:r>
          </w:p>
        </w:tc>
        <w:tc>
          <w:tcPr>
            <w:tcW w:type="dxa" w:w="1871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Modbus,</w:t>
              <w:br/>
              <w:t>МЭК 104,</w:t>
              <w:br/>
              <w:t>МЭК 61850</w:t>
            </w:r>
          </w:p>
        </w:tc>
      </w:tr>
      <w:tr>
        <w:tc>
          <w:tcPr>
            <w:tcW w:type="dxa" w:w="1871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Защита от ОЗЗ</w:t>
            </w:r>
          </w:p>
        </w:tc>
        <w:tc>
          <w:tcPr>
            <w:tcW w:type="dxa" w:w="1871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type="dxa" w:w="1871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type="dxa" w:w="1871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type="dxa" w:w="1871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>
        <w:tc>
          <w:tcPr>
            <w:tcW w:type="dxa" w:w="1871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Питание</w:t>
            </w:r>
          </w:p>
        </w:tc>
        <w:tc>
          <w:tcPr>
            <w:tcW w:type="dxa" w:w="1871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АКБ +</w:t>
              <w:br/>
              <w:t>солн. панель</w:t>
            </w:r>
          </w:p>
        </w:tc>
        <w:tc>
          <w:tcPr>
            <w:tcW w:type="dxa" w:w="1871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АКБ +</w:t>
              <w:br/>
              <w:t>сеть</w:t>
            </w:r>
          </w:p>
        </w:tc>
        <w:tc>
          <w:tcPr>
            <w:tcW w:type="dxa" w:w="1871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АКБ +</w:t>
              <w:br/>
              <w:t>сеть</w:t>
            </w:r>
          </w:p>
        </w:tc>
        <w:tc>
          <w:tcPr>
            <w:tcW w:type="dxa" w:w="1871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АКБ +</w:t>
              <w:br/>
              <w:t>сеть/солн.</w:t>
            </w:r>
          </w:p>
        </w:tc>
      </w:tr>
    </w:tbl>
    <w:p>
      <w:pPr>
        <w:spacing w:before="120"/>
        <w:ind w:firstLine="0"/>
      </w:pP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Из таблицы 2.1 видно, что по базовым параметрам (напряжение, ток, тип среды) реклоузеры всех производителей равноценны. Различия проявляются в трёх аспектах: коммутационный ресурс (Schneider — 50 000 против 30 000 у остальных), ток отключения (ABB — 16 кА против 12,5 кА) и набор протоколов связи (Schneider и ABB поддерживают МЭК 61850). Для типового проекта автоматизации ВЛ 6–10 кВ в российских сетях реклоузеры PBA/TEL-10 производства «Таврида Электрик» обеспечивают оптимальное соотношение характеристик и стоимости при наличии развитой сервисной сети на территории Российской Федерации [13].</w:t>
      </w:r>
    </w:p>
    <w:p>
      <w:pPr>
        <w:spacing w:before="240" w:after="120"/>
        <w:ind w:firstLine="709"/>
        <w:jc w:val="both"/>
      </w:pPr>
      <w:r>
        <w:rPr>
          <w:rFonts w:ascii="Times New Roman" w:hAnsi="Times New Roman"/>
          <w:b/>
          <w:sz w:val="28"/>
        </w:rPr>
        <w:t>2.2 Разъединители с дистанционным управлением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Как рассмотрено в разделе 1.4, разъединители с дистанционным управлением создают видимый разрыв электрической цепи в бестоковую паузу и обеспечивают изоляцию повреждённых участков линии без выезда персонала. Коммутация разъединителей допускается только при отсутствии тока в цепи, что соответствует требованиям ПУЭ [1]. Для проекта автоматизации принципиальное значение имеет выбор типа привода и наличие встроенного индикатора короткого замыкания (ИКЗ).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На рынке представлены три основных типа разъединителей с дистанционным управлением для ВЛ 6–10 кВ: с моторным приводом и шкафом управления на опоре, с пневматическим приводом и с электромагнитным приводом. Моторные приводы обеспечивают время коммутации 5–10 секунд и являются наиболее распространённым решением для автоматизированных сетей. Пневматические приводы обеспечивают время коммутации 1–3 секунды, но требуют регулярного обслуживания компрессора. Электромагнитные приводы имеют минимальное время коммутации (менее 1 секунды), однако потребляют значительную мощность в момент срабатывания [8].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Результаты сравнения типов разъединителей представлены в таблице 2.2.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sz w:val="28"/>
        </w:rPr>
        <w:t>Таблица 2.2 – Сравнительные характеристики разъединителей с дистанционным управлением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Параметр</w:t>
            </w:r>
          </w:p>
        </w:tc>
        <w:tc>
          <w:tcPr>
            <w:tcW w:type="dxa" w:w="2339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Моторный</w:t>
              <w:br/>
              <w:t>привод</w:t>
            </w:r>
          </w:p>
        </w:tc>
        <w:tc>
          <w:tcPr>
            <w:tcW w:type="dxa" w:w="2339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Пневматический</w:t>
              <w:br/>
              <w:t>привод</w:t>
            </w:r>
          </w:p>
        </w:tc>
        <w:tc>
          <w:tcPr>
            <w:tcW w:type="dxa" w:w="2339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Электромагнитный</w:t>
              <w:br/>
              <w:t>привод</w:t>
            </w:r>
          </w:p>
        </w:tc>
      </w:tr>
      <w:tr>
        <w:tc>
          <w:tcPr>
            <w:tcW w:type="dxa" w:w="2339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Время коммутации</w:t>
            </w:r>
          </w:p>
        </w:tc>
        <w:tc>
          <w:tcPr>
            <w:tcW w:type="dxa" w:w="2339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5–10 с</w:t>
            </w:r>
          </w:p>
        </w:tc>
        <w:tc>
          <w:tcPr>
            <w:tcW w:type="dxa" w:w="2339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1–3 с</w:t>
            </w:r>
          </w:p>
        </w:tc>
        <w:tc>
          <w:tcPr>
            <w:tcW w:type="dxa" w:w="2339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&lt; 1 с</w:t>
            </w:r>
          </w:p>
        </w:tc>
      </w:tr>
      <w:tr>
        <w:tc>
          <w:tcPr>
            <w:tcW w:type="dxa" w:w="2339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Номинальное напряжение, кВ</w:t>
            </w:r>
          </w:p>
        </w:tc>
        <w:tc>
          <w:tcPr>
            <w:tcW w:type="dxa" w:w="2339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type="dxa" w:w="2339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type="dxa" w:w="2339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10</w:t>
            </w:r>
          </w:p>
        </w:tc>
      </w:tr>
      <w:tr>
        <w:tc>
          <w:tcPr>
            <w:tcW w:type="dxa" w:w="2339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Номинальный ток, А</w:t>
            </w:r>
          </w:p>
        </w:tc>
        <w:tc>
          <w:tcPr>
            <w:tcW w:type="dxa" w:w="2339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630</w:t>
            </w:r>
          </w:p>
        </w:tc>
        <w:tc>
          <w:tcPr>
            <w:tcW w:type="dxa" w:w="2339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630</w:t>
            </w:r>
          </w:p>
        </w:tc>
        <w:tc>
          <w:tcPr>
            <w:tcW w:type="dxa" w:w="2339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400</w:t>
            </w:r>
          </w:p>
        </w:tc>
      </w:tr>
      <w:tr>
        <w:tc>
          <w:tcPr>
            <w:tcW w:type="dxa" w:w="2339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Потребляемая мощность, Вт</w:t>
            </w:r>
          </w:p>
        </w:tc>
        <w:tc>
          <w:tcPr>
            <w:tcW w:type="dxa" w:w="2339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50–100</w:t>
            </w:r>
          </w:p>
        </w:tc>
        <w:tc>
          <w:tcPr>
            <w:tcW w:type="dxa" w:w="2339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200–500</w:t>
            </w:r>
          </w:p>
        </w:tc>
        <w:tc>
          <w:tcPr>
            <w:tcW w:type="dxa" w:w="2339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1000–3000</w:t>
            </w:r>
          </w:p>
        </w:tc>
      </w:tr>
      <w:tr>
        <w:tc>
          <w:tcPr>
            <w:tcW w:type="dxa" w:w="2339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Встроенный ИКЗ</w:t>
            </w:r>
          </w:p>
        </w:tc>
        <w:tc>
          <w:tcPr>
            <w:tcW w:type="dxa" w:w="2339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type="dxa" w:w="2339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Опция</w:t>
            </w:r>
          </w:p>
        </w:tc>
        <w:tc>
          <w:tcPr>
            <w:tcW w:type="dxa" w:w="2339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Нет</w:t>
            </w:r>
          </w:p>
        </w:tc>
      </w:tr>
      <w:tr>
        <w:tc>
          <w:tcPr>
            <w:tcW w:type="dxa" w:w="2339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Интервал обслуживания, лет</w:t>
            </w:r>
          </w:p>
        </w:tc>
        <w:tc>
          <w:tcPr>
            <w:tcW w:type="dxa" w:w="2339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5–8</w:t>
            </w:r>
          </w:p>
        </w:tc>
        <w:tc>
          <w:tcPr>
            <w:tcW w:type="dxa" w:w="2339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2–3</w:t>
            </w:r>
          </w:p>
        </w:tc>
        <w:tc>
          <w:tcPr>
            <w:tcW w:type="dxa" w:w="2339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5–8</w:t>
            </w:r>
          </w:p>
        </w:tc>
      </w:tr>
      <w:tr>
        <w:tc>
          <w:tcPr>
            <w:tcW w:type="dxa" w:w="2339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Протоколы связи</w:t>
            </w:r>
          </w:p>
        </w:tc>
        <w:tc>
          <w:tcPr>
            <w:tcW w:type="dxa" w:w="2339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Modbus,</w:t>
              <w:br/>
              <w:t>МЭК 104</w:t>
            </w:r>
          </w:p>
        </w:tc>
        <w:tc>
          <w:tcPr>
            <w:tcW w:type="dxa" w:w="2339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Modbus</w:t>
            </w:r>
          </w:p>
        </w:tc>
        <w:tc>
          <w:tcPr>
            <w:tcW w:type="dxa" w:w="2339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Modbus</w:t>
            </w:r>
          </w:p>
        </w:tc>
      </w:tr>
      <w:tr>
        <w:tc>
          <w:tcPr>
            <w:tcW w:type="dxa" w:w="2339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Диапазон рабочих</w:t>
              <w:br/>
              <w:t>температур, °C</w:t>
            </w:r>
          </w:p>
        </w:tc>
        <w:tc>
          <w:tcPr>
            <w:tcW w:type="dxa" w:w="2339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–40…+55</w:t>
            </w:r>
          </w:p>
        </w:tc>
        <w:tc>
          <w:tcPr>
            <w:tcW w:type="dxa" w:w="2339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–25…+50</w:t>
            </w:r>
          </w:p>
        </w:tc>
        <w:tc>
          <w:tcPr>
            <w:tcW w:type="dxa" w:w="2339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–40…+55</w:t>
            </w:r>
          </w:p>
        </w:tc>
      </w:tr>
    </w:tbl>
    <w:p>
      <w:pPr>
        <w:spacing w:before="120"/>
        <w:ind w:firstLine="0"/>
      </w:pP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Для автоматизированных участков ВЛ 6–10 кВ оптимальным решением является разъединитель с моторным приводом и встроенным ИКЗ. Время коммутации 5–10 секунд не является ограничивающим фактором, поскольку разъединитель коммутируется в бестоковую паузу после отключения реклоузером. Встроенный ИКЗ фиксирует факт и направление протекания тока КЗ, что используется алгоритмами секционирования для определения повреждённой секции. Моторный привод допускает питание от АКБ с подзарядкой от солнечной панели, что упрощает монтаж на удалённых опорах [8].</w:t>
      </w:r>
    </w:p>
    <w:p>
      <w:pPr>
        <w:spacing w:before="240" w:after="120"/>
        <w:ind w:firstLine="709"/>
        <w:jc w:val="both"/>
      </w:pPr>
      <w:r>
        <w:rPr>
          <w:rFonts w:ascii="Times New Roman" w:hAnsi="Times New Roman"/>
          <w:b/>
          <w:sz w:val="28"/>
        </w:rPr>
        <w:t>2.3 Критерии выбора оборудования и схемы размещения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Выбор количества и мест установки коммутационных аппаратов определяется протяжённостью линии, количеством потребителей, уровнями токов КЗ и экономической целесообразностью. Согласно рекомендациям ПАО «Россети» [2], для типового фидера ВЛ 6–10 кВ протяжённостью 15–30 км рекомендуется установка 2–4 секционирующих пунктов, что разделяет линию на 3–5 секций.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Минимальный состав оборудования автоматизированного фидера включает: реклоузер в начале линии (на выходе с питающей подстанции), выполняющий функции головного защитного аппарата; два-три разъединителя с ИКЗ на границах секций; нормально разомкнутый разъединитель в точке соединения с соседним фидером для обеспечения резервного питания [2]. Все аппараты подключаются к системе SCADA по каналам связи Ethernet/ВОЛС (основной) и GSM/GPRS (резервный).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При выборе точек установки разъединителей учитываются три фактора: равномерность распределения нагрузки по секциям, минимизация числа отключаемых потребителей при аварии и доступность опоры для монтажа и обслуживания. Реклоузер устанавливается в точке с максимальным уровнем токов КЗ (начало фидера), где его быстродействие обеспечивает защиту всего фидера. Нормально разомкнутый разъединитель устанавливается в точке минимальной электрической удалённости от смежного источника, что минимизирует потери при переключении на резервное питание [12].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Ток отключения реклоузера должен превышать максимальный ток трёхфазного КЗ в точке установки с запасом не менее 20 %. Для типовых фидеров 10 кВ с током КЗ на шинах подстанции 8–12 кА реклоузеры с током отключения 12,5 кА обеспечивают требуемый запас. При токах КЗ выше 12 кА применяются реклоузеры ABB OVR-10 с током отключения 16 кА [11].</w:t>
      </w:r>
    </w:p>
    <w:p>
      <w:pPr>
        <w:ind w:firstLine="0"/>
      </w:pPr>
      <w:r>
        <w:br w:type="page"/>
      </w:r>
    </w:p>
    <w:p>
      <w:pPr>
        <w:spacing w:after="240"/>
        <w:ind w:firstLine="709"/>
        <w:jc w:val="both"/>
      </w:pPr>
      <w:r>
        <w:rPr>
          <w:rFonts w:ascii="Times New Roman" w:hAnsi="Times New Roman"/>
          <w:b/>
          <w:sz w:val="28"/>
        </w:rPr>
        <w:t>3 АЛГОРИТМЫ ОБНАРУЖЕНИЯ И ЛИКВИДАЦИИ КОРОТКИХ ЗАМЫКАНИЙ</w:t>
      </w:r>
    </w:p>
    <w:p>
      <w:pPr>
        <w:spacing w:before="240" w:after="120"/>
        <w:ind w:firstLine="709"/>
        <w:jc w:val="both"/>
      </w:pPr>
      <w:r>
        <w:rPr>
          <w:rFonts w:ascii="Times New Roman" w:hAnsi="Times New Roman"/>
          <w:b/>
          <w:sz w:val="28"/>
        </w:rPr>
        <w:t>3.1 Типы коротких замыканий в сетях 6–10 кВ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Короткие замыкания в распределительных сетях 6–10 кВ подразделяются на четыре типа: трёхфазное (К3), двухфазное (К2), двухфазное на землю (К1,1) и однофазное замыкание на землю (К1). Трёхфазное КЗ характеризуется максимальными токами и используется при расчёте уставок токовой отсечки. Двухфазное КЗ даёт ток, составляющий 0,87 от тока трёхфазного КЗ, и используется для проверки чувствительности защит. Однофазное замыкание на землю в сетях с изолированной нейтралью характеризуется малыми токами (единицы — десятки ампер) и, согласно ПУЭ [1], допускает продолжение работы сети в течение не более 2 часов [14].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Методы расчёта токов КЗ регламентированы ГОСТ Р 52735-2007 [14]. Ток трёхфазного КЗ в произвольной точке сети определяется выражением Iк3 = Uф / Zк, где Uф — фазное напряжение сети, Zк — полное сопротивление цепи КЗ от источника до точки повреждения. Для линии с погонным сопротивлением z0 и длиной l полное сопротивление составляет Zк = Zс + z0 × l, где Zс — сопротивление системы (определяется мощностью КЗ на шинах подстанции).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По характеру повреждения КЗ разделяются на устойчивые и неустойчивые. Для воздушных линий 6–10 кВ доля неустойчивых повреждений составляет 50–80 % всех КЗ [15]. Неустойчивые повреждения вызываются схлёстыванием проводов при ветре, перекрытием изоляции при грозах, касанием ветвей деревьев. После снятия напряжения и бестоковой паузы изоляционные свойства промежутка восстанавливаются, и линия может быть включена повторно. Высокая доля неустойчивых повреждений обуславливает обязательность применения АПВ [10].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Статистика аварийности ВЛ 6–10 кВ по данным ПАО «Россети» показывает следующее распределение причин КЗ: грозовые перенапряжения — 30–35 %, падение деревьев и касание ветвей — 25–30 %, гололёдно-ветровые нагрузки — 15–20 %, старение изоляции — 10–15 %, прочие — 5–10 %. Данное распределение определяет приоритеты при настройке алгоритмов защиты: быстродействие ТО для межфазных КЗ при грозах и чувствительность защиты от ОЗЗ для повреждений, вызванных падением деревьев [12].</w:t>
      </w:r>
    </w:p>
    <w:p>
      <w:pPr>
        <w:spacing w:before="240" w:after="120"/>
        <w:ind w:firstLine="709"/>
        <w:jc w:val="both"/>
      </w:pPr>
      <w:r>
        <w:rPr>
          <w:rFonts w:ascii="Times New Roman" w:hAnsi="Times New Roman"/>
          <w:b/>
          <w:sz w:val="28"/>
        </w:rPr>
        <w:t>3.2 Алгоритм обнаружения короткого замыкания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Как описано в разделе 1.6, блок управления реклоузера непрерывно измеряет токи в фазах линии и сравнивает их с уставками двух ступеней защиты: токовой отсечки (ТО) и максимальной токовой защиты (МТЗ). Расчёт уставок выполняется на этапе проектирования по методикам, изложенным в [9] и [10].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Уставка токовой отсечки определяется из условия отстройки от максимального тока КЗ в конце защищаемой зоны: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Iто = Kн × Iкз.макс.конец,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где Kн — коэффициент надёжности (1,2–1,3); Iкз.макс.конец — максимальный ток трёхфазного КЗ в конце защищаемой зоны. ТО действует без выдержки времени (мгновенно) и защищает только часть линии — от точки установки реклоузера до границы зоны, где ток КЗ достаточен для срабатывания [9].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Чувствительность ТО проверяется по коэффициенту чувствительности Кч = Iкз.мин / Iто, где Iкз.мин — минимальный ток КЗ (двухфазное) в начале защищаемой зоны. Требование ПУЭ: Кч ≥ 1,2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Уставка максимальной токовой защиты определяется по выражению: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Iмтз = (Kн × Kсз × Iраб.макс) / Kв,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где Kн = 1,1–1,2 — коэффициент надёжности; Kсз = 1,1–1,3 — коэффициент самозапуска нагрузки после кратковременного перерыва питания; Iраб.макс — максимальный рабочий ток линии; Kв = 0,85–0,95 — коэффициент возврата токового реле. МТЗ защищает всю длину линии и действует с выдержкой времени, обеспечивающей селективность с нижестоящими защитами [10].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Выдержка времени МТЗ строится по ступенчатому принципу: каждая последующая защита по направлению к источнику питания имеет выдержку времени на ступень селективности Δt = 0,3–0,5 с больше, чем предыдущая. Для головного реклоузера фидера выдержка времени МТЗ составляет 0,5 с при условии, что выдержка защит головного выключателя подстанции равна 0,8–1,0 с [9].</w:t>
      </w:r>
    </w:p>
    <w:p>
      <w:pPr>
        <w:spacing w:before="240" w:after="120"/>
        <w:ind w:firstLine="709"/>
        <w:jc w:val="both"/>
      </w:pPr>
      <w:r>
        <w:rPr>
          <w:rFonts w:ascii="Times New Roman" w:hAnsi="Times New Roman"/>
          <w:b/>
          <w:sz w:val="28"/>
        </w:rPr>
        <w:t>3.3 Алгоритм автоматического повторного включения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АПВ является обязательным элементом автоматики ВЛ 6–10 кВ и предназначено для восстановления электроснабжения при неустойчивых повреждениях без вмешательства персонала. Алгоритм АПВ реклоузера реализует программируемую последовательность циклов «отключение — пауза — включение» [15].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Цикл 1 — быстрое АПВ. После срабатывания защиты и отключения реклоузера выдерживается пауза t1 = 1–3 с, достаточная для деионизации воздушного промежутка в месте повреждения. Реклоузер включается автоматически. Если ток КЗ отсутствует, линия остаётся в работе. Если ток КЗ сохраняется, защита повторно отключает реклоузер. Успешность первого цикла АПВ для ВЛ 6–10 кВ составляет 60–75 % [15].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Цикл 2 — замедленное АПВ. После второго отключения выдерживается увеличенная пауза t2 = 10–30 с. Увеличение паузы повышает вероятность самоустранения повреждения: полного погасания дуги, остывания проводов после схлёстывания, отпадения ветвей. Реклоузер включается повторно. Суммарная успешность двух циклов АПВ достигает 80–90 % [10].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При неуспешном втором цикле АПВ реклоузер переходит в состояние окончательного отключения (lockout). Блок управления формирует сигнал аварии в систему SCADA с указанием типа сработавшей защиты, значений токов в момент КЗ и количества выполненных циклов АПВ. Дальнейшая ликвидация аварии выполняется алгоритмами секционирования и восстановления питания, рассмотренными в главах 4 и 5 [15].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Число циклов АПВ и длительность пауз являются настраиваемыми параметрами блока управления реклоузера. Для ВЛ 6–10 кВ рекомендуется применение двух циклов: быстрого (1–3 с) и замедленного (10–30 с). Увеличение числа циклов до трёх-четырёх допускается для линий с высокой долей неустойчивых повреждений (лесные просеки, открытая местность с грозовой активностью) [9].</w:t>
      </w:r>
    </w:p>
    <w:p>
      <w:pPr>
        <w:spacing w:before="240" w:after="120"/>
        <w:ind w:firstLine="709"/>
        <w:jc w:val="both"/>
      </w:pPr>
      <w:r>
        <w:rPr>
          <w:rFonts w:ascii="Times New Roman" w:hAnsi="Times New Roman"/>
          <w:b/>
          <w:sz w:val="28"/>
        </w:rPr>
        <w:t>3.4 Координация уставок защит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Координация уставок обеспечивает селективность — при КЗ на любом участке линии отключается только ближайший к месту повреждения защитный аппарат, не затрагивая вышестоящие защиты. Для схемы с одним реклоузером Р1 в начале фидера координация выполняется между уставками реклоузера и защитами головного выключателя питающей подстанции [9], [24].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Принцип координации: выдержка времени МТЗ реклоузера Р1 должна быть на ступень селективности Δt меньше выдержки времени защит головного выключателя подстанции. При Δt = 0,3 с и выдержке защит подстанции 0,8 с выдержка МТЗ реклоузера составляет 0,5 с. Токовая отсечка реклоузера действует мгновенно (0,02 с), поэтому селективность с защитами подстанции обеспечивается по зоне действия: ТО реклоузера отстроена от токов КЗ на шинах подстанции [10].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Для типового фидера 10 кВ с максимальным рабочим током 250 А и максимальным током трёхфазного КЗ в конце защищаемой зоны 2000 А рассчитываются следующие уставки. Уставка ТО: Iто = 1,2 × 2000 = 2400 А, принимается 2500 А. Уставка МТЗ: Iмтз = (1,1 × 1,2 × 250) / 0,9 = 367 А, принимается 400 А. Уставка защиты от ОЗЗ: Iозз = 10 А (по току нулевой последовательности 3I0) [9], [24].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Типовые уставки защит реклоузера Р1 для рассматриваемого фидера приведены в таблице 3.1.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sz w:val="28"/>
        </w:rPr>
        <w:t>Таблица 3.1 – Уставки защит реклоузера Р1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Параметр</w:t>
            </w:r>
          </w:p>
        </w:tc>
        <w:tc>
          <w:tcPr>
            <w:tcW w:type="dxa" w:w="311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  <w:tc>
          <w:tcPr>
            <w:tcW w:type="dxa" w:w="311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Примечание</w:t>
            </w:r>
          </w:p>
        </w:tc>
      </w:tr>
      <w:tr>
        <w:tc>
          <w:tcPr>
            <w:tcW w:type="dxa" w:w="311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Уставка ТО (Iто)</w:t>
            </w:r>
          </w:p>
        </w:tc>
        <w:tc>
          <w:tcPr>
            <w:tcW w:type="dxa" w:w="311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2500 А</w:t>
            </w:r>
          </w:p>
        </w:tc>
        <w:tc>
          <w:tcPr>
            <w:tcW w:type="dxa" w:w="311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Kн = 1,2; Iкз.конец = 2000 А</w:t>
            </w:r>
          </w:p>
        </w:tc>
      </w:tr>
      <w:tr>
        <w:tc>
          <w:tcPr>
            <w:tcW w:type="dxa" w:w="311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Время ТО (tто)</w:t>
            </w:r>
          </w:p>
        </w:tc>
        <w:tc>
          <w:tcPr>
            <w:tcW w:type="dxa" w:w="311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0,02 с</w:t>
            </w:r>
          </w:p>
        </w:tc>
        <w:tc>
          <w:tcPr>
            <w:tcW w:type="dxa" w:w="311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Мгновенное действие</w:t>
            </w:r>
          </w:p>
        </w:tc>
      </w:tr>
      <w:tr>
        <w:tc>
          <w:tcPr>
            <w:tcW w:type="dxa" w:w="311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Уставка МТЗ (Iмтз)</w:t>
            </w:r>
          </w:p>
        </w:tc>
        <w:tc>
          <w:tcPr>
            <w:tcW w:type="dxa" w:w="311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400 А</w:t>
            </w:r>
          </w:p>
        </w:tc>
        <w:tc>
          <w:tcPr>
            <w:tcW w:type="dxa" w:w="311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Kн = 1,1; Kсз = 1,2; Kв = 0,9</w:t>
            </w:r>
          </w:p>
        </w:tc>
      </w:tr>
      <w:tr>
        <w:tc>
          <w:tcPr>
            <w:tcW w:type="dxa" w:w="311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Время МТЗ (tмтз)</w:t>
            </w:r>
          </w:p>
        </w:tc>
        <w:tc>
          <w:tcPr>
            <w:tcW w:type="dxa" w:w="311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0,5 с</w:t>
            </w:r>
          </w:p>
        </w:tc>
        <w:tc>
          <w:tcPr>
            <w:tcW w:type="dxa" w:w="311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Ступень селективности Δt = 0,3 с</w:t>
            </w:r>
          </w:p>
        </w:tc>
      </w:tr>
      <w:tr>
        <w:tc>
          <w:tcPr>
            <w:tcW w:type="dxa" w:w="311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Уставка ОЗЗ (3I0)</w:t>
            </w:r>
          </w:p>
        </w:tc>
        <w:tc>
          <w:tcPr>
            <w:tcW w:type="dxa" w:w="311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10 А</w:t>
            </w:r>
          </w:p>
        </w:tc>
        <w:tc>
          <w:tcPr>
            <w:tcW w:type="dxa" w:w="311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По току нулевой последовательности</w:t>
            </w:r>
          </w:p>
        </w:tc>
      </w:tr>
      <w:tr>
        <w:tc>
          <w:tcPr>
            <w:tcW w:type="dxa" w:w="311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Время ОЗЗ (tозз)</w:t>
            </w:r>
          </w:p>
        </w:tc>
        <w:tc>
          <w:tcPr>
            <w:tcW w:type="dxa" w:w="311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0,5 с</w:t>
            </w:r>
          </w:p>
        </w:tc>
        <w:tc>
          <w:tcPr>
            <w:tcW w:type="dxa" w:w="311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С выдержкой времени</w:t>
            </w:r>
          </w:p>
        </w:tc>
      </w:tr>
      <w:tr>
        <w:tc>
          <w:tcPr>
            <w:tcW w:type="dxa" w:w="311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Циклов АПВ</w:t>
            </w:r>
          </w:p>
        </w:tc>
        <w:tc>
          <w:tcPr>
            <w:tcW w:type="dxa" w:w="311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311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Быстрое + замедленное</w:t>
            </w:r>
          </w:p>
        </w:tc>
      </w:tr>
      <w:tr>
        <w:tc>
          <w:tcPr>
            <w:tcW w:type="dxa" w:w="311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Пауза АПВ-1 (t1)</w:t>
            </w:r>
          </w:p>
        </w:tc>
        <w:tc>
          <w:tcPr>
            <w:tcW w:type="dxa" w:w="311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2 с</w:t>
            </w:r>
          </w:p>
        </w:tc>
        <w:tc>
          <w:tcPr>
            <w:tcW w:type="dxa" w:w="311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Быстрый цикл</w:t>
            </w:r>
          </w:p>
        </w:tc>
      </w:tr>
      <w:tr>
        <w:tc>
          <w:tcPr>
            <w:tcW w:type="dxa" w:w="311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Пауза АПВ-2 (t2)</w:t>
            </w:r>
          </w:p>
        </w:tc>
        <w:tc>
          <w:tcPr>
            <w:tcW w:type="dxa" w:w="311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15 с</w:t>
            </w:r>
          </w:p>
        </w:tc>
        <w:tc>
          <w:tcPr>
            <w:tcW w:type="dxa" w:w="311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Замедленный цикл</w:t>
            </w:r>
          </w:p>
        </w:tc>
      </w:tr>
      <w:tr>
        <w:tc>
          <w:tcPr>
            <w:tcW w:type="dxa" w:w="311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Коэфф. возврата (Kв)</w:t>
            </w:r>
          </w:p>
        </w:tc>
        <w:tc>
          <w:tcPr>
            <w:tcW w:type="dxa" w:w="311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0,9</w:t>
            </w:r>
          </w:p>
        </w:tc>
        <w:tc>
          <w:tcPr>
            <w:tcW w:type="dxa" w:w="311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Для токового органа МТЗ</w:t>
            </w:r>
          </w:p>
        </w:tc>
      </w:tr>
    </w:tbl>
    <w:p>
      <w:pPr>
        <w:spacing w:before="120"/>
        <w:ind w:firstLine="0"/>
      </w:pP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Проверка чувствительности МТЗ: Кч = Iкз.мин.конец / Iмтз, где Iкз.мин.конец — минимальный ток двухфазного КЗ в конце защищаемой зоны. При Iкз.мин.конец = 0,87 × 2000 × (Zк.начало / Zк.конец) ≈ 800 А получаем Кч = 800 / 400 = 2,0, что превышает требование ПУЭ (Кч ≥ 1,5 для МТЗ линий с односторонним питанием)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Проверка чувствительности ТО: при минимальном токе двухфазного КЗ в начале защищаемой зоны Iкз.мин = 5000 А получаем Кч = 5000 / 2500 = 2,0, что превышает требование Кч ≥ 1,2. Зона действия ТО при этом составляет примерно 60–70 % длины линии от точки установки реклоузера [9].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Приведённые уставки являются типовыми и подлежат корректировке при проектировании конкретного объекта на основании расчётов режимов и токов КЗ рассматриваемой сети. Расчёт выполняется для максимального и минимального режимов работы энергосистемы с учётом перспективного развития сети [14].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/>
        <w:sz w:val="28"/>
      </w:rPr>
      <w:fldChar w:fldCharType="begin"/>
    </w:r>
    <w:r>
      <w:rPr>
        <w:rFonts w:ascii="Times New Roman" w:hAnsi="Times New Roman"/>
        <w:sz w:val="28"/>
      </w:rPr>
      <w:instrText xml:space="preserve"> PAGE </w:instrText>
    </w:r>
    <w:r>
      <w:rPr>
        <w:rFonts w:ascii="Times New Roman" w:hAnsi="Times New Roman"/>
        <w:sz w:val="2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  <w:ind w:firstLine="709"/>
      <w:jc w:val="both"/>
    </w:pPr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