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ind w:firstLine="709"/>
        <w:jc w:val="both"/>
      </w:pPr>
      <w:r>
        <w:rPr>
          <w:rFonts w:ascii="Times New Roman" w:hAnsi="Times New Roman"/>
          <w:b/>
          <w:sz w:val="28"/>
        </w:rPr>
        <w:t>9 ПРАКТИЧЕСКАЯ ЗНАЧИМОСТЬ И ПЕРСПЕКТИВЫ ВНЕДРЕНИЯ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9.1 Оценка эффекта от внедрения автоматики секционирования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Внедрение алгоритмов автоматического секционирования и восстановления питания на типовом фидере ВЛ 10 кВ протяжённостью 20 км с тремя секциями позволяет снизить показатель SAIDI на 45–60 %. Время локализации повреждения сокращается с 60–120 минут (ручной поиск ОВБ) до 1–2 минут (автоматическое определение по ИКЗ и изоляция) [26].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Показатель SAIFI снижается пропорционально числу секций. При трёх секциях среднее число отключённых потребителей на одну аварию уменьшается в 2,5–3 раза: обесточивается только повреждённая секция, а не весь фидер [12]. Для типового фидера с 1500 потребителями это означает сокращение числа пострадавших с 1500 до 500 на аварию.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Экономический эффект складывается из снижения объёма недоотпущенной электроэнергии и штрафных санкций, сокращения затрат на выезды ОВБ и уменьшения ущерба потребителей. По оценкам ПАО «Россети» [26], срок окупаемости комплекта автоматизации одного фидера (реклоузер + 2–3 разъединителя с ИКЗ + система связи) составляет 3–5 лет.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9.2 Требования к промышленному внедрению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Переход от прототипа к промышленной системе требует решения нескольких задач. Алгоритмы, верифицированные в главе 8, должны быть реализованы в контроллерах RTU с учётом требований к надёжности и быстродействию [5]. Полный цикл секционирования — от момента КЗ до восстановления питания — не должен превышать 120 секунд в соответствии с требованиями Постановления Правительства РФ № 937 [30].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Каналы связи должны обеспечивать доступность не менее 99,9 % для команд ТУ и время доставки не более 500 мс (таблица 6.2). Для условий российских распределительных сетей оптимально сочетание ВОЛС и LTE/GSM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SCADA-система должна реализовывать циклический опрос параметров, обработку аварийных сигналов, алгоритмы секционирования и восстановления, архив событий, формирование протоколов переключений [8]. Интерфейс оператора — мнемосхема участка с цветовой индикацией по таблицам главы 7.</w:t>
      </w:r>
    </w:p>
    <w:p>
      <w:pPr>
        <w:spacing w:before="240" w:after="120"/>
        <w:ind w:firstLine="709"/>
        <w:jc w:val="both"/>
      </w:pPr>
      <w:r>
        <w:rPr>
          <w:rFonts w:ascii="Times New Roman" w:hAnsi="Times New Roman"/>
          <w:b/>
          <w:sz w:val="28"/>
        </w:rPr>
        <w:t>9.3 Направления развития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Первое направление — расширение алгоритмов FLISR для сетей со сложной топологией (кольцевые, двухлучевые схемы), где восстановление питания требует учёта пропускной способности резервных связей [27].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Второе — интеграция с DMS/OMS для координации автоматики фидера с управлением на уровне сети в целом. Протокол МЭК 61850 [19] через механизм GOOSE-сообщений обеспечивает базу для такой интеграции.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Третье — применение машинного обучения для прогнозирования аварий по данным телеметрии. Анализ трендов токов и напряжений позволяет выявлять деградацию изоляции до наступления повреждения [25].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результате выполнения работы решены все поставленные задачи.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главе 1 проанализированы устройства и структура системы автоматики ВЛ 6–10 кВ: функции реклоузеров и разъединителей, нормативные требования ПУЭ и СТО «Россети», структурные схемы дистанционного управления.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главе 2 выполнен сравнительный анализ реклоузеров четырёх производителей и разъединителей с моторным приводом. Для типового проекта рекомендованы реклоузеры отечественного производства — Таврида Электрик или РиМ.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главе 3 разработаны алгоритмы обнаружения и отключения КЗ (ТО + МТЗ) и АПВ с двумя циклами. Определены типовые уставки и условия координации с защитами питающей подстанции.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главах 4 и 5 разработаны алгоритмы секционирования (определение повреждённой секции по ИКЗ, изоляция, три сценария) и восстановления питания (АВР через НР, АВНР). Время полного цикла — 60–120 секунд.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главе 6 предложена пятиуровневая архитектура дистанционного управления с резервированием каналов связи. Требования: доступность ≥ 99,9 % для ТУ, задержка ≤ 500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главе 7 составлены таблицы состояний для нормального, аварийного и ремонтного режимов. Запрещённые состояния исключены, переходы детерминированы.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главе 8 прототип SCADA (Python) подтвердил работоспособность алгоритмов: обнаружение перегрузки по току и провала напряжения за один цикл опроса (1–5 с).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Разработанные алгоритмы обеспечивают снижение SAIDI на 45–60 % при сроке окупаемости 3–5 лет и ориентированы на промышленное внедрение в распределительных сетях 6–10 кВ. Библиографические ссылки оформлены по ГОСТ Р 7.0.5-2008 [28].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1. Правила устройства электроустановок. ПУЭ. 7-е изд., с изм. и доп. Разделы 1–7. – М.: НЦ ЭНАС, 2003. – 552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2. Стандарты ПАО «Россети» по автоматизации распределительных сетей 6–10 кВ. – М.: ПАО «Россети», 2017–2022.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3. Централизованное решение по автоматике распределительных сетей 6–10 кВ с использованием «умных» разъединителей и выключателей нагрузки // Электроэнергия. Передача и распределение, 2025.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4. СТО 34.01-23.1-001-2017. Объём и нормы испытаний электрооборудования. – М.: ПАО «Россети», 2017.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5. СТО 34.01-3.2-004-2016. Реклоузеры 6–35 кВ. Общие технические требования. – М.: ПАО «Россети», 2016.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6. РД 153-34.3-35.613-00. Правила технического обслуживания устройств релейной защиты и электроавтоматики электрических сетей 0,4–35 кВ. – М.: ОАО «ОРГРЭС», 2000.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7. Секционирование электрических сетей 10(6) кВ при помощи реклоузеров // НВ Журнал, 2024.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8. Решения для воздушных ЛЭП 6–10 кВ. – Prosoft Systems, 2024.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9. Шабад М.А. Расчёты релейной защиты и автоматики распределительных сетей. – СПб.: ПЭИПК, 2003. – 350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10. Федосеев А.М. Релейная защита электроэнергетических систем. – М.: Энергоатомиздат, 1984. – 520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11. IEEE Std C37.60-2012. IEEE Standard for High-Voltage Switchgear. – New York: IEEE, 2012.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12. IEEE Std 1366-2012. IEEE Guide for Electric Power Distribution Reliability Indices. – New York: IEEE, 2012.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13. Каталог продукции АО «Таврида Электрик». Реклоузеры PBA/TEL-10. – М.: Таврида Электрик, 2023.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14. ГОСТ Р 52735-2007. Короткие замыкания в электроустановках. Методы расчёта в электроустановках переменного тока напряжением свыше 1 кВ. – М.: Стандартинформ, 2007.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15. Андреев В.А. Релейная защита и автоматика систем электроснабжения. – М.: Высш. шк., 2006. – 639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16. ГОСТ 32144-2013. Электрическая энергия. Совместимость технических средств электромагнитная. Нормы качества электрической энергии в системах электроснабжения общего назначения. – М.: Стандартинформ, 2014.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17. Гуревич В.И. Интеллектуальные сети: новые перспективы или новые проблемы? // Электротехнический рынок. – 2010. – № 6. – С. 50–55.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18. МЭК 60870-5-104:2006. Протоколы телемеханики. Стандарт-компаньон для сетей TCP/IP. – Женева: МЭК, 2006.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19. МЭК 61850:2013. Сети и системы связи на подстанциях. – Женева: МЭК, 2013.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20. Modbus Application Protocol Specification V1.1b3. – Modbus Organization, 2012.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21. ГОСТ Р 59109-2020. Единая энергетическая система и изолированно работающие энергосистемы. Релейная защита и автоматика. Автоматика ликвидации асинхронного режима. – М.: Стандартинформ, 2020.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22. Распоряжение Правительства РФ от 03.04.2013 № 511-р. Стратегия развития электросетевого комплекса Российской Федерации.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23. Концепция «Цифровая трансформация 2030» ПАО «Россети». – М.: ПАО «Россети», 2018.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24. Нагай В.И. Релейная защита. Алгоритмы и схемы. – Ростов-на-Дону: СКНЦ ВШ, 2005. – 312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25. Справочник по проектированию электрических сетей / Под ред. Д.Л. Файбисовича. – М.: ЭНАС, 2012. – 376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26. Программа повышения надёжности электрических сетей ПАО «Россети» на 2022–2027 гг. – М.: ПАО «Россети», 2022.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27. Герасименко А.А., Федин В.Т. Передача и распределение электрической энергии. – М.: КНОРУС, 2014. – 648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28. ГОСТ Р 7.0.5-2008. Библиографическая ссылка. Общие требования и правила составления. – М.: Стандартинформ, 2009.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29. Кузнецов О.Н. Компьютерные сети. Принципы, технологии, протоколы. – СПб.: Питер, 2022. – 1008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30. Постановление Правительства РФ от 13.08.2018 № 937. Об утверждении Правил технологического функционирования электроэнергетических систем.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