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bookmarkStart w:id="33" w:name="_bm_annotaciya"/>
      <w:pPr>
        <w:spacing w:before="0" w:after="240" w:line="360" w:lineRule="auto"/>
        <w:ind w:firstLine="0"/>
        <w:jc w:val="center"/>
      </w:pPr>
      <w:r>
        <w:rPr>
          <w:rFonts w:ascii="Times New Roman" w:hAnsi="Times New Roman"/>
          <w:b/>
          <w:color w:val="000000"/>
          <w:sz w:val="28"/>
        </w:rPr>
        <w:t>АННОТАЦИЯ</w:t>
      </w:r>
      <w:bookmarkEnd w:id="33"/>
    </w:p>
    <w:p>
      <w:pPr>
        <w:spacing w:before="0" w:after="0" w:line="360" w:lineRule="auto"/>
        <w:ind w:firstLine="709"/>
        <w:jc w:val="both"/>
      </w:pPr>
      <w:r>
        <w:rPr>
          <w:rFonts w:ascii="Times New Roman" w:hAnsi="Times New Roman"/>
          <w:b w:val="0"/>
          <w:i w:val="0"/>
          <w:color w:val="000000"/>
          <w:sz w:val="28"/>
        </w:rPr>
        <w:t>Выпускная квалификационная работа посвящена разработке и исследованию прототипа системы мониторинга для автоматизированного участка воздушной линии электропередачи напряжением 6–10 кВ с интеграцией в SCADA-систему. Работа выполнена в рамках концепции Smart Grid и направлена на повышение управляемости и надёжности распределительных электрических сетей.</w:t>
      </w:r>
    </w:p>
    <w:p>
      <w:pPr>
        <w:spacing w:before="0" w:after="0" w:line="360" w:lineRule="auto"/>
        <w:ind w:firstLine="709"/>
        <w:jc w:val="both"/>
      </w:pPr>
      <w:r>
        <w:rPr>
          <w:rFonts w:ascii="Times New Roman" w:hAnsi="Times New Roman"/>
          <w:b w:val="0"/>
          <w:i w:val="0"/>
          <w:color w:val="000000"/>
          <w:sz w:val="28"/>
        </w:rPr>
        <w:t>В работе проведён анализ существующих SCADA-систем, применяемых в распределительных сетях, выполнена их классификация и выявлены особенности использования на воздушных линиях среднего напряжения. Разработана архитектура системы мониторинга, включающая полевой, коммуникационный и диспетчерский уровни. Реализован программный прототип с использованием протокола МЭК 60870-5-104, спроектирована логическая структура базы данных и интерфейс диспетчера.</w:t>
      </w:r>
    </w:p>
    <w:p>
      <w:pPr>
        <w:spacing w:before="0" w:after="0" w:line="360" w:lineRule="auto"/>
        <w:ind w:firstLine="709"/>
        <w:jc w:val="both"/>
      </w:pPr>
      <w:r>
        <w:rPr>
          <w:rFonts w:ascii="Times New Roman" w:hAnsi="Times New Roman"/>
          <w:b w:val="0"/>
          <w:i w:val="0"/>
          <w:color w:val="000000"/>
          <w:sz w:val="28"/>
        </w:rPr>
        <w:t>Проведена оценка эффективности предложенного решения, включая сравнительный анализ с существующими коммерческими SCADA-системами. Выполнен расчёт экономического эффекта от внедрения и анализ рыночных тенденций в области автоматизации электросетей с учётом курса на импортозамещение.</w:t>
      </w:r>
    </w:p>
    <w:p>
      <w:pPr>
        <w:spacing w:before="0" w:after="0" w:line="360" w:lineRule="auto"/>
        <w:ind w:firstLine="709"/>
        <w:jc w:val="both"/>
      </w:pPr>
      <w:r>
        <w:rPr>
          <w:rFonts w:ascii="Times New Roman" w:hAnsi="Times New Roman"/>
          <w:b w:val="0"/>
          <w:i w:val="0"/>
          <w:color w:val="000000"/>
          <w:sz w:val="28"/>
        </w:rPr>
        <w:t>Результаты работы могут быть использованы при проектировании и внедрении систем мониторинга распределительных сетей 6–10 кВ, а также в качестве основы для дальнейших исследований в области интеллектуальных электрических сетей.</w:t>
      </w:r>
    </w:p>
    <w:p>
      <w:pPr>
        <w:spacing w:before="0" w:after="0" w:line="360" w:lineRule="auto"/>
        <w:ind w:firstLine="709"/>
        <w:jc w:val="both"/>
      </w:pPr>
      <w:r>
        <w:rPr>
          <w:rFonts w:ascii="Times New Roman" w:hAnsi="Times New Roman"/>
          <w:b/>
          <w:i w:val="0"/>
          <w:color w:val="000000"/>
          <w:sz w:val="28"/>
        </w:rPr>
        <w:t xml:space="preserve">Ключевые слова: </w:t>
      </w:r>
      <w:r>
        <w:rPr>
          <w:rFonts w:ascii="Times New Roman" w:hAnsi="Times New Roman"/>
          <w:b w:val="0"/>
          <w:i w:val="0"/>
          <w:color w:val="000000"/>
          <w:sz w:val="28"/>
        </w:rPr>
        <w:t>Smart Grid, SCADA-система, воздушная линия 6–10 кВ, реклоузер, система мониторинга, автоматизация электросетей, МЭК 60870-5-104, распределительная сеть, диспетчерское управление, импортозамещение</w:t>
      </w:r>
    </w:p>
    <w:p>
      <w:bookmarkStart w:id="34" w:name="_bm_soderzhanie"/>
      <w:pPr>
        <w:pageBreakBefore/>
        <w:spacing w:before="0" w:after="240" w:line="360" w:lineRule="auto"/>
        <w:ind w:firstLine="0"/>
        <w:jc w:val="center"/>
      </w:pPr>
      <w:r>
        <w:rPr>
          <w:rFonts w:ascii="Times New Roman" w:hAnsi="Times New Roman"/>
          <w:b/>
          <w:color w:val="000000"/>
          <w:sz w:val="28"/>
        </w:rPr>
        <w:t>СОДЕРЖАНИЕ</w:t>
      </w:r>
      <w:bookmarkEnd w:id="34"/>
    </w:p>
    <w:p>
      <w:pPr>
        <w:spacing w:line="360" w:lineRule="auto" w:before="0" w:after="0"/>
        <w:ind w:firstLine="0"/>
        <w:jc w:val="left"/>
        <w:tabs>
          <w:tab w:val="right" w:leader="dot" w:pos="9354"/>
        </w:tabs>
      </w:pPr>
      <w:r>
        <w:fldChar w:fldCharType="begin" w:dirty="true"/>
      </w:r>
      <w:r>
        <w:instrText xml:space="preserve"> TOC \h \z \u </w:instrText>
      </w:r>
      <w:r>
        <w:fldChar w:fldCharType="separate"/>
      </w:r>
      <w:hyperlink w:anchor="_bm_spisok_sokraschenij_i_uslovnyh_oboznache" w:history="1">
        <w:r>
          <w:rPr>
            <w:rFonts w:ascii="Times New Roman" w:hAnsi="Times New Roman" w:cs="Times New Roman"/>
            <w:sz w:val="28"/>
            <w:szCs w:val="28"/>
            <w:color w:val="000000"/>
          </w:rPr>
          <w:t xml:space="preserve">СПИСОК СОКРАЩЕНИЙ И УСЛОВНЫХ ОБОЗНАЧЕНИЙ</w:t>
        </w:r>
        <w:r>
          <w:rPr>
            <w:rFonts w:ascii="Times New Roman" w:hAnsi="Times New Roman" w:cs="Times New Roman"/>
            <w:sz w:val="28"/>
            <w:szCs w:val="28"/>
            <w:color w:val="000000"/>
          </w:rPr>
          <w:t xml:space="preserve">	</w:t>
        </w:r>
        <w:r>
          <w:rPr>
            <w:rFonts w:ascii="Times New Roman" w:hAnsi="Times New Roman" w:cs="Times New Roman"/>
            <w:sz w:val="28"/>
            <w:szCs w:val="28"/>
            <w:color w:val="000000"/>
          </w:rPr>
          <w:t xml:space="preserve">5</w:t>
        </w:r>
      </w:hyperlink>
    </w:p>
    <w:p>
      <w:pPr>
        <w:spacing w:line="360" w:lineRule="auto" w:before="0" w:after="0"/>
        <w:ind w:firstLine="0"/>
        <w:jc w:val="left"/>
        <w:tabs>
          <w:tab w:val="right" w:leader="dot" w:pos="9354"/>
        </w:tabs>
      </w:pPr>
      <w:hyperlink w:anchor="_bm_vvedenie" w:history="1">
        <w:r>
          <w:rPr>
            <w:rFonts w:ascii="Times New Roman" w:hAnsi="Times New Roman" w:cs="Times New Roman"/>
            <w:sz w:val="28"/>
            <w:szCs w:val="28"/>
            <w:color w:val="000000"/>
          </w:rPr>
          <w:t xml:space="preserve">ВВЕДЕНИЕ</w:t>
        </w:r>
        <w:r>
          <w:rPr>
            <w:rFonts w:ascii="Times New Roman" w:hAnsi="Times New Roman" w:cs="Times New Roman"/>
            <w:sz w:val="28"/>
            <w:szCs w:val="28"/>
            <w:color w:val="000000"/>
          </w:rPr>
          <w:t xml:space="preserve">	</w:t>
        </w:r>
        <w:r>
          <w:rPr>
            <w:rFonts w:ascii="Times New Roman" w:hAnsi="Times New Roman" w:cs="Times New Roman"/>
            <w:sz w:val="28"/>
            <w:szCs w:val="28"/>
            <w:color w:val="000000"/>
          </w:rPr>
          <w:t xml:space="preserve">7</w:t>
        </w:r>
      </w:hyperlink>
    </w:p>
    <w:p>
      <w:pPr>
        <w:spacing w:line="360" w:lineRule="auto" w:before="0" w:after="0"/>
        <w:ind w:firstLine="0"/>
        <w:jc w:val="left"/>
        <w:tabs>
          <w:tab w:val="right" w:leader="dot" w:pos="9354"/>
        </w:tabs>
      </w:pPr>
      <w:hyperlink w:anchor="_bm_glava_1" w:history="1">
        <w:r>
          <w:rPr>
            <w:rFonts w:ascii="Times New Roman" w:hAnsi="Times New Roman" w:cs="Times New Roman"/>
            <w:sz w:val="28"/>
            <w:szCs w:val="28"/>
            <w:color w:val="000000"/>
          </w:rPr>
          <w:t xml:space="preserve">Глава 1. SCADA-системы в распределительных электрических сетях</w:t>
        </w:r>
        <w:r>
          <w:rPr>
            <w:rFonts w:ascii="Times New Roman" w:hAnsi="Times New Roman" w:cs="Times New Roman"/>
            <w:sz w:val="28"/>
            <w:szCs w:val="28"/>
            <w:color w:val="000000"/>
          </w:rPr>
          <w:t xml:space="preserve">	</w:t>
        </w:r>
        <w:r>
          <w:rPr>
            <w:rFonts w:ascii="Times New Roman" w:hAnsi="Times New Roman" w:cs="Times New Roman"/>
            <w:sz w:val="28"/>
            <w:szCs w:val="28"/>
            <w:color w:val="000000"/>
          </w:rPr>
          <w:t xml:space="preserve">14</w:t>
        </w:r>
      </w:hyperlink>
    </w:p>
    <w:p>
      <w:pPr>
        <w:spacing w:line="360" w:lineRule="auto" w:before="0" w:after="0"/>
        <w:ind w:firstLine="0" w:left="709"/>
        <w:jc w:val="left"/>
        <w:tabs>
          <w:tab w:val="right" w:leader="dot" w:pos="9354"/>
        </w:tabs>
      </w:pPr>
      <w:hyperlink w:anchor="_bm_section_1_1" w:history="1">
        <w:r>
          <w:rPr>
            <w:rFonts w:ascii="Times New Roman" w:hAnsi="Times New Roman" w:cs="Times New Roman"/>
            <w:sz w:val="28"/>
            <w:szCs w:val="28"/>
            <w:color w:val="000000"/>
          </w:rPr>
          <w:t xml:space="preserve">1.1 Назначение и основные функции SCADA-систем</w:t>
        </w:r>
        <w:r>
          <w:rPr>
            <w:rFonts w:ascii="Times New Roman" w:hAnsi="Times New Roman" w:cs="Times New Roman"/>
            <w:sz w:val="28"/>
            <w:szCs w:val="28"/>
            <w:color w:val="000000"/>
          </w:rPr>
          <w:t xml:space="preserve">	</w:t>
        </w:r>
        <w:r>
          <w:rPr>
            <w:rFonts w:ascii="Times New Roman" w:hAnsi="Times New Roman" w:cs="Times New Roman"/>
            <w:sz w:val="28"/>
            <w:szCs w:val="28"/>
            <w:color w:val="000000"/>
          </w:rPr>
          <w:t xml:space="preserve">14</w:t>
        </w:r>
      </w:hyperlink>
    </w:p>
    <w:p>
      <w:pPr>
        <w:spacing w:line="360" w:lineRule="auto" w:before="0" w:after="0"/>
        <w:ind w:firstLine="0" w:left="709"/>
        <w:jc w:val="left"/>
        <w:tabs>
          <w:tab w:val="right" w:leader="dot" w:pos="9354"/>
        </w:tabs>
      </w:pPr>
      <w:hyperlink w:anchor="_bm_section_1_2" w:history="1">
        <w:r>
          <w:rPr>
            <w:rFonts w:ascii="Times New Roman" w:hAnsi="Times New Roman" w:cs="Times New Roman"/>
            <w:sz w:val="28"/>
            <w:szCs w:val="28"/>
            <w:color w:val="000000"/>
          </w:rPr>
          <w:t xml:space="preserve">1.2 Классификация SCADA-систем и область их применения</w:t>
        </w:r>
        <w:r>
          <w:rPr>
            <w:rFonts w:ascii="Times New Roman" w:hAnsi="Times New Roman" w:cs="Times New Roman"/>
            <w:sz w:val="28"/>
            <w:szCs w:val="28"/>
            <w:color w:val="000000"/>
          </w:rPr>
          <w:t xml:space="preserve">	</w:t>
        </w:r>
        <w:r>
          <w:rPr>
            <w:rFonts w:ascii="Times New Roman" w:hAnsi="Times New Roman" w:cs="Times New Roman"/>
            <w:sz w:val="28"/>
            <w:szCs w:val="28"/>
            <w:color w:val="000000"/>
          </w:rPr>
          <w:t xml:space="preserve">18</w:t>
        </w:r>
      </w:hyperlink>
    </w:p>
    <w:p>
      <w:pPr>
        <w:spacing w:line="360" w:lineRule="auto" w:before="0" w:after="0"/>
        <w:ind w:firstLine="0" w:left="709"/>
        <w:jc w:val="left"/>
        <w:tabs>
          <w:tab w:val="right" w:leader="dot" w:pos="9354"/>
        </w:tabs>
      </w:pPr>
      <w:hyperlink w:anchor="_bm_section_1_3" w:history="1">
        <w:r>
          <w:rPr>
            <w:rFonts w:ascii="Times New Roman" w:hAnsi="Times New Roman" w:cs="Times New Roman"/>
            <w:sz w:val="28"/>
            <w:szCs w:val="28"/>
            <w:color w:val="000000"/>
          </w:rPr>
          <w:t xml:space="preserve">1.3 Особенности использования SCADA на автоматизированных воздушных линиях 6–10 кВ</w:t>
        </w:r>
        <w:r>
          <w:rPr>
            <w:rFonts w:ascii="Times New Roman" w:hAnsi="Times New Roman" w:cs="Times New Roman"/>
            <w:sz w:val="28"/>
            <w:szCs w:val="28"/>
            <w:color w:val="000000"/>
          </w:rPr>
          <w:t xml:space="preserve">	</w:t>
        </w:r>
        <w:r>
          <w:rPr>
            <w:rFonts w:ascii="Times New Roman" w:hAnsi="Times New Roman" w:cs="Times New Roman"/>
            <w:sz w:val="28"/>
            <w:szCs w:val="28"/>
            <w:color w:val="000000"/>
          </w:rPr>
          <w:t xml:space="preserve">22</w:t>
        </w:r>
      </w:hyperlink>
    </w:p>
    <w:p>
      <w:pPr>
        <w:spacing w:line="360" w:lineRule="auto" w:before="0" w:after="0"/>
        <w:ind w:firstLine="0" w:left="709"/>
        <w:jc w:val="left"/>
        <w:tabs>
          <w:tab w:val="right" w:leader="dot" w:pos="9354"/>
        </w:tabs>
      </w:pPr>
      <w:hyperlink w:anchor="_bm_section_1_4" w:history="1">
        <w:r>
          <w:rPr>
            <w:rFonts w:ascii="Times New Roman" w:hAnsi="Times New Roman" w:cs="Times New Roman"/>
            <w:sz w:val="28"/>
            <w:szCs w:val="28"/>
            <w:color w:val="000000"/>
          </w:rPr>
          <w:t xml:space="preserve">1.4 Требования к системам мониторинга и диспетчерского управления в распределительных сетях</w:t>
        </w:r>
        <w:r>
          <w:rPr>
            <w:rFonts w:ascii="Times New Roman" w:hAnsi="Times New Roman" w:cs="Times New Roman"/>
            <w:sz w:val="28"/>
            <w:szCs w:val="28"/>
            <w:color w:val="000000"/>
          </w:rPr>
          <w:t xml:space="preserve">	</w:t>
        </w:r>
        <w:r>
          <w:rPr>
            <w:rFonts w:ascii="Times New Roman" w:hAnsi="Times New Roman" w:cs="Times New Roman"/>
            <w:sz w:val="28"/>
            <w:szCs w:val="28"/>
            <w:color w:val="000000"/>
          </w:rPr>
          <w:t xml:space="preserve">26</w:t>
        </w:r>
      </w:hyperlink>
    </w:p>
    <w:p>
      <w:pPr>
        <w:spacing w:line="360" w:lineRule="auto" w:before="0" w:after="0"/>
        <w:ind w:firstLine="0"/>
        <w:jc w:val="left"/>
        <w:tabs>
          <w:tab w:val="right" w:leader="dot" w:pos="9354"/>
        </w:tabs>
      </w:pPr>
      <w:hyperlink w:anchor="_bm_glava_2" w:history="1">
        <w:r>
          <w:rPr>
            <w:rFonts w:ascii="Times New Roman" w:hAnsi="Times New Roman" w:cs="Times New Roman"/>
            <w:sz w:val="28"/>
            <w:szCs w:val="28"/>
            <w:color w:val="000000"/>
          </w:rPr>
          <w:t xml:space="preserve">Глава 2. Архитектура системы мониторинга автоматизированного участка воздушной линии 6–10 кВ</w:t>
        </w:r>
        <w:r>
          <w:rPr>
            <w:rFonts w:ascii="Times New Roman" w:hAnsi="Times New Roman" w:cs="Times New Roman"/>
            <w:sz w:val="28"/>
            <w:szCs w:val="28"/>
            <w:color w:val="000000"/>
          </w:rPr>
          <w:t xml:space="preserve">	</w:t>
        </w:r>
        <w:r>
          <w:rPr>
            <w:rFonts w:ascii="Times New Roman" w:hAnsi="Times New Roman" w:cs="Times New Roman"/>
            <w:sz w:val="28"/>
            <w:szCs w:val="28"/>
            <w:color w:val="000000"/>
          </w:rPr>
          <w:t xml:space="preserve">30</w:t>
        </w:r>
      </w:hyperlink>
    </w:p>
    <w:p>
      <w:pPr>
        <w:spacing w:line="360" w:lineRule="auto" w:before="0" w:after="0"/>
        <w:ind w:firstLine="0" w:left="709"/>
        <w:jc w:val="left"/>
        <w:tabs>
          <w:tab w:val="right" w:leader="dot" w:pos="9354"/>
        </w:tabs>
      </w:pPr>
      <w:hyperlink w:anchor="_bm_section_2_1" w:history="1">
        <w:r>
          <w:rPr>
            <w:rFonts w:ascii="Times New Roman" w:hAnsi="Times New Roman" w:cs="Times New Roman"/>
            <w:sz w:val="28"/>
            <w:szCs w:val="28"/>
            <w:color w:val="000000"/>
          </w:rPr>
          <w:t xml:space="preserve">2.1 Общая структура автоматизированного участка ВЛ и состав оборудования</w:t>
        </w:r>
        <w:r>
          <w:rPr>
            <w:rFonts w:ascii="Times New Roman" w:hAnsi="Times New Roman" w:cs="Times New Roman"/>
            <w:sz w:val="28"/>
            <w:szCs w:val="28"/>
            <w:color w:val="000000"/>
          </w:rPr>
          <w:t xml:space="preserve">	</w:t>
        </w:r>
        <w:r>
          <w:rPr>
            <w:rFonts w:ascii="Times New Roman" w:hAnsi="Times New Roman" w:cs="Times New Roman"/>
            <w:sz w:val="28"/>
            <w:szCs w:val="28"/>
            <w:color w:val="000000"/>
          </w:rPr>
          <w:t xml:space="preserve">30</w:t>
        </w:r>
      </w:hyperlink>
    </w:p>
    <w:p>
      <w:pPr>
        <w:spacing w:line="360" w:lineRule="auto" w:before="0" w:after="0"/>
        <w:ind w:firstLine="0" w:left="709"/>
        <w:jc w:val="left"/>
        <w:tabs>
          <w:tab w:val="right" w:leader="dot" w:pos="9354"/>
        </w:tabs>
      </w:pPr>
      <w:hyperlink w:anchor="_bm_section_2_2" w:history="1">
        <w:r>
          <w:rPr>
            <w:rFonts w:ascii="Times New Roman" w:hAnsi="Times New Roman" w:cs="Times New Roman"/>
            <w:sz w:val="28"/>
            <w:szCs w:val="28"/>
            <w:color w:val="000000"/>
          </w:rPr>
          <w:t xml:space="preserve">2.2 Источники данных и измеряемые параметры автоматизированного участка ВЛ</w:t>
        </w:r>
        <w:r>
          <w:rPr>
            <w:rFonts w:ascii="Times New Roman" w:hAnsi="Times New Roman" w:cs="Times New Roman"/>
            <w:sz w:val="28"/>
            <w:szCs w:val="28"/>
            <w:color w:val="000000"/>
          </w:rPr>
          <w:t xml:space="preserve">	</w:t>
        </w:r>
        <w:r>
          <w:rPr>
            <w:rFonts w:ascii="Times New Roman" w:hAnsi="Times New Roman" w:cs="Times New Roman"/>
            <w:sz w:val="28"/>
            <w:szCs w:val="28"/>
            <w:color w:val="000000"/>
          </w:rPr>
          <w:t xml:space="preserve">34</w:t>
        </w:r>
      </w:hyperlink>
    </w:p>
    <w:p>
      <w:pPr>
        <w:spacing w:line="360" w:lineRule="auto" w:before="0" w:after="0"/>
        <w:ind w:firstLine="0" w:left="709"/>
        <w:jc w:val="left"/>
        <w:tabs>
          <w:tab w:val="right" w:leader="dot" w:pos="9354"/>
        </w:tabs>
      </w:pPr>
      <w:hyperlink w:anchor="_bm_section_2_3" w:history="1">
        <w:r>
          <w:rPr>
            <w:rFonts w:ascii="Times New Roman" w:hAnsi="Times New Roman" w:cs="Times New Roman"/>
            <w:sz w:val="28"/>
            <w:szCs w:val="28"/>
            <w:color w:val="000000"/>
          </w:rPr>
          <w:t xml:space="preserve">2.3 Каналы связи и способы передачи данных в SCADA-систему</w:t>
        </w:r>
        <w:r>
          <w:rPr>
            <w:rFonts w:ascii="Times New Roman" w:hAnsi="Times New Roman" w:cs="Times New Roman"/>
            <w:sz w:val="28"/>
            <w:szCs w:val="28"/>
            <w:color w:val="000000"/>
          </w:rPr>
          <w:t xml:space="preserve">	</w:t>
        </w:r>
        <w:r>
          <w:rPr>
            <w:rFonts w:ascii="Times New Roman" w:hAnsi="Times New Roman" w:cs="Times New Roman"/>
            <w:sz w:val="28"/>
            <w:szCs w:val="28"/>
            <w:color w:val="000000"/>
          </w:rPr>
          <w:t xml:space="preserve">36</w:t>
        </w:r>
      </w:hyperlink>
    </w:p>
    <w:p>
      <w:pPr>
        <w:spacing w:line="360" w:lineRule="auto" w:before="0" w:after="0"/>
        <w:ind w:firstLine="0" w:left="709"/>
        <w:jc w:val="left"/>
        <w:tabs>
          <w:tab w:val="right" w:leader="dot" w:pos="9354"/>
        </w:tabs>
      </w:pPr>
      <w:hyperlink w:anchor="_bm_section_2_4" w:history="1">
        <w:r>
          <w:rPr>
            <w:rFonts w:ascii="Times New Roman" w:hAnsi="Times New Roman" w:cs="Times New Roman"/>
            <w:sz w:val="28"/>
            <w:szCs w:val="28"/>
            <w:color w:val="000000"/>
          </w:rPr>
          <w:t xml:space="preserve">2.4 Архитектура системы мониторинга и взаимодействие её элементов</w:t>
        </w:r>
        <w:r>
          <w:rPr>
            <w:rFonts w:ascii="Times New Roman" w:hAnsi="Times New Roman" w:cs="Times New Roman"/>
            <w:sz w:val="28"/>
            <w:szCs w:val="28"/>
            <w:color w:val="000000"/>
          </w:rPr>
          <w:t xml:space="preserve">	</w:t>
        </w:r>
        <w:r>
          <w:rPr>
            <w:rFonts w:ascii="Times New Roman" w:hAnsi="Times New Roman" w:cs="Times New Roman"/>
            <w:sz w:val="28"/>
            <w:szCs w:val="28"/>
            <w:color w:val="000000"/>
          </w:rPr>
          <w:t xml:space="preserve">39</w:t>
        </w:r>
      </w:hyperlink>
    </w:p>
    <w:p>
      <w:pPr>
        <w:spacing w:line="360" w:lineRule="auto" w:before="0" w:after="0"/>
        <w:ind w:firstLine="0" w:left="709"/>
        <w:jc w:val="left"/>
        <w:tabs>
          <w:tab w:val="right" w:leader="dot" w:pos="9354"/>
        </w:tabs>
      </w:pPr>
      <w:hyperlink w:anchor="_bm_section_2_5" w:history="1">
        <w:r>
          <w:rPr>
            <w:rFonts w:ascii="Times New Roman" w:hAnsi="Times New Roman" w:cs="Times New Roman"/>
            <w:sz w:val="28"/>
            <w:szCs w:val="28"/>
            <w:color w:val="000000"/>
          </w:rPr>
          <w:t xml:space="preserve">2.5 Требования к надёжности и отказоустойчивости системы мониторинга</w:t>
        </w:r>
        <w:r>
          <w:rPr>
            <w:rFonts w:ascii="Times New Roman" w:hAnsi="Times New Roman" w:cs="Times New Roman"/>
            <w:sz w:val="28"/>
            <w:szCs w:val="28"/>
            <w:color w:val="000000"/>
          </w:rPr>
          <w:t xml:space="preserve">	</w:t>
        </w:r>
        <w:r>
          <w:rPr>
            <w:rFonts w:ascii="Times New Roman" w:hAnsi="Times New Roman" w:cs="Times New Roman"/>
            <w:sz w:val="28"/>
            <w:szCs w:val="28"/>
            <w:color w:val="000000"/>
          </w:rPr>
          <w:t xml:space="preserve">42</w:t>
        </w:r>
      </w:hyperlink>
    </w:p>
    <w:p>
      <w:pPr>
        <w:spacing w:line="360" w:lineRule="auto" w:before="0" w:after="0"/>
        <w:ind w:firstLine="0"/>
        <w:jc w:val="left"/>
        <w:tabs>
          <w:tab w:val="right" w:leader="dot" w:pos="9354"/>
        </w:tabs>
      </w:pPr>
      <w:hyperlink w:anchor="_bm_glava_3" w:history="1">
        <w:r>
          <w:rPr>
            <w:rFonts w:ascii="Times New Roman" w:hAnsi="Times New Roman" w:cs="Times New Roman"/>
            <w:sz w:val="28"/>
            <w:szCs w:val="28"/>
            <w:color w:val="000000"/>
          </w:rPr>
          <w:t xml:space="preserve">Глава 3. Разработка прототипа SCADA-системы мониторинга автоматизированного участка ВЛ</w:t>
        </w:r>
        <w:r>
          <w:rPr>
            <w:rFonts w:ascii="Times New Roman" w:hAnsi="Times New Roman" w:cs="Times New Roman"/>
            <w:sz w:val="28"/>
            <w:szCs w:val="28"/>
            <w:color w:val="000000"/>
          </w:rPr>
          <w:t xml:space="preserve">	</w:t>
        </w:r>
        <w:r>
          <w:rPr>
            <w:rFonts w:ascii="Times New Roman" w:hAnsi="Times New Roman" w:cs="Times New Roman"/>
            <w:sz w:val="28"/>
            <w:szCs w:val="28"/>
            <w:color w:val="000000"/>
          </w:rPr>
          <w:t xml:space="preserve">46</w:t>
        </w:r>
      </w:hyperlink>
    </w:p>
    <w:p>
      <w:pPr>
        <w:spacing w:line="360" w:lineRule="auto" w:before="0" w:after="0"/>
        <w:ind w:firstLine="0" w:left="709"/>
        <w:jc w:val="left"/>
        <w:tabs>
          <w:tab w:val="right" w:leader="dot" w:pos="9354"/>
        </w:tabs>
      </w:pPr>
      <w:hyperlink w:anchor="_bm_section_3_1" w:history="1">
        <w:r>
          <w:rPr>
            <w:rFonts w:ascii="Times New Roman" w:hAnsi="Times New Roman" w:cs="Times New Roman"/>
            <w:sz w:val="28"/>
            <w:szCs w:val="28"/>
            <w:color w:val="000000"/>
          </w:rPr>
          <w:t xml:space="preserve">3.1 Определение функциональных требований к прототипу системы мониторинга</w:t>
        </w:r>
        <w:r>
          <w:rPr>
            <w:rFonts w:ascii="Times New Roman" w:hAnsi="Times New Roman" w:cs="Times New Roman"/>
            <w:sz w:val="28"/>
            <w:szCs w:val="28"/>
            <w:color w:val="000000"/>
          </w:rPr>
          <w:t xml:space="preserve">	</w:t>
        </w:r>
        <w:r>
          <w:rPr>
            <w:rFonts w:ascii="Times New Roman" w:hAnsi="Times New Roman" w:cs="Times New Roman"/>
            <w:sz w:val="28"/>
            <w:szCs w:val="28"/>
            <w:color w:val="000000"/>
          </w:rPr>
          <w:t xml:space="preserve">46</w:t>
        </w:r>
      </w:hyperlink>
    </w:p>
    <w:p>
      <w:pPr>
        <w:spacing w:line="360" w:lineRule="auto" w:before="0" w:after="0"/>
        <w:ind w:firstLine="0" w:left="709"/>
        <w:jc w:val="left"/>
        <w:tabs>
          <w:tab w:val="right" w:leader="dot" w:pos="9354"/>
        </w:tabs>
      </w:pPr>
      <w:hyperlink w:anchor="_bm_section_3_2" w:history="1">
        <w:r>
          <w:rPr>
            <w:rFonts w:ascii="Times New Roman" w:hAnsi="Times New Roman" w:cs="Times New Roman"/>
            <w:sz w:val="28"/>
            <w:szCs w:val="28"/>
            <w:color w:val="000000"/>
          </w:rPr>
          <w:t xml:space="preserve">3.2 Разработка структуры обмена данными между полевыми устройствами и SCADA</w:t>
        </w:r>
        <w:r>
          <w:rPr>
            <w:rFonts w:ascii="Times New Roman" w:hAnsi="Times New Roman" w:cs="Times New Roman"/>
            <w:sz w:val="28"/>
            <w:szCs w:val="28"/>
            <w:color w:val="000000"/>
          </w:rPr>
          <w:t xml:space="preserve">	</w:t>
        </w:r>
        <w:r>
          <w:rPr>
            <w:rFonts w:ascii="Times New Roman" w:hAnsi="Times New Roman" w:cs="Times New Roman"/>
            <w:sz w:val="28"/>
            <w:szCs w:val="28"/>
            <w:color w:val="000000"/>
          </w:rPr>
          <w:t xml:space="preserve">49</w:t>
        </w:r>
      </w:hyperlink>
    </w:p>
    <w:p>
      <w:pPr>
        <w:spacing w:line="360" w:lineRule="auto" w:before="0" w:after="0"/>
        <w:ind w:firstLine="0" w:left="709"/>
        <w:jc w:val="left"/>
        <w:tabs>
          <w:tab w:val="right" w:leader="dot" w:pos="9354"/>
        </w:tabs>
      </w:pPr>
      <w:hyperlink w:anchor="_bm_section_3_3" w:history="1">
        <w:r>
          <w:rPr>
            <w:rFonts w:ascii="Times New Roman" w:hAnsi="Times New Roman" w:cs="Times New Roman"/>
            <w:sz w:val="28"/>
            <w:szCs w:val="28"/>
            <w:color w:val="000000"/>
          </w:rPr>
          <w:t xml:space="preserve">3.3 Логическая структура базы данных и обработка информации</w:t>
        </w:r>
        <w:r>
          <w:rPr>
            <w:rFonts w:ascii="Times New Roman" w:hAnsi="Times New Roman" w:cs="Times New Roman"/>
            <w:sz w:val="28"/>
            <w:szCs w:val="28"/>
            <w:color w:val="000000"/>
          </w:rPr>
          <w:t xml:space="preserve">	</w:t>
        </w:r>
        <w:r>
          <w:rPr>
            <w:rFonts w:ascii="Times New Roman" w:hAnsi="Times New Roman" w:cs="Times New Roman"/>
            <w:sz w:val="28"/>
            <w:szCs w:val="28"/>
            <w:color w:val="000000"/>
          </w:rPr>
          <w:t xml:space="preserve">52</w:t>
        </w:r>
      </w:hyperlink>
    </w:p>
    <w:p>
      <w:pPr>
        <w:spacing w:line="360" w:lineRule="auto" w:before="0" w:after="0"/>
        <w:ind w:firstLine="0" w:left="709"/>
        <w:jc w:val="left"/>
        <w:tabs>
          <w:tab w:val="right" w:leader="dot" w:pos="9354"/>
        </w:tabs>
      </w:pPr>
      <w:hyperlink w:anchor="_bm_section_3_4" w:history="1">
        <w:r>
          <w:rPr>
            <w:rFonts w:ascii="Times New Roman" w:hAnsi="Times New Roman" w:cs="Times New Roman"/>
            <w:sz w:val="28"/>
            <w:szCs w:val="28"/>
            <w:color w:val="000000"/>
          </w:rPr>
          <w:t xml:space="preserve">3.4 Расчёт нагрузки на серверную инфраструктуру и архитектурные ограничения прототипа</w:t>
        </w:r>
        <w:r>
          <w:rPr>
            <w:rFonts w:ascii="Times New Roman" w:hAnsi="Times New Roman" w:cs="Times New Roman"/>
            <w:sz w:val="28"/>
            <w:szCs w:val="28"/>
            <w:color w:val="000000"/>
          </w:rPr>
          <w:t xml:space="preserve">	</w:t>
        </w:r>
        <w:r>
          <w:rPr>
            <w:rFonts w:ascii="Times New Roman" w:hAnsi="Times New Roman" w:cs="Times New Roman"/>
            <w:sz w:val="28"/>
            <w:szCs w:val="28"/>
            <w:color w:val="000000"/>
          </w:rPr>
          <w:t xml:space="preserve">55</w:t>
        </w:r>
      </w:hyperlink>
    </w:p>
    <w:p>
      <w:pPr>
        <w:spacing w:line="360" w:lineRule="auto" w:before="0" w:after="0"/>
        <w:ind w:firstLine="0" w:left="709"/>
        <w:jc w:val="left"/>
        <w:tabs>
          <w:tab w:val="right" w:leader="dot" w:pos="9354"/>
        </w:tabs>
      </w:pPr>
      <w:hyperlink w:anchor="_bm_section_3_5" w:history="1">
        <w:r>
          <w:rPr>
            <w:rFonts w:ascii="Times New Roman" w:hAnsi="Times New Roman" w:cs="Times New Roman"/>
            <w:sz w:val="28"/>
            <w:szCs w:val="28"/>
            <w:color w:val="000000"/>
          </w:rPr>
          <w:t xml:space="preserve">3.5 Разработка интерфейса диспетчера для отображения состояния линии</w:t>
        </w:r>
        <w:r>
          <w:rPr>
            <w:rFonts w:ascii="Times New Roman" w:hAnsi="Times New Roman" w:cs="Times New Roman"/>
            <w:sz w:val="28"/>
            <w:szCs w:val="28"/>
            <w:color w:val="000000"/>
          </w:rPr>
          <w:t xml:space="preserve">	</w:t>
        </w:r>
        <w:r>
          <w:rPr>
            <w:rFonts w:ascii="Times New Roman" w:hAnsi="Times New Roman" w:cs="Times New Roman"/>
            <w:sz w:val="28"/>
            <w:szCs w:val="28"/>
            <w:color w:val="000000"/>
          </w:rPr>
          <w:t xml:space="preserve">58</w:t>
        </w:r>
      </w:hyperlink>
    </w:p>
    <w:p>
      <w:pPr>
        <w:spacing w:line="360" w:lineRule="auto" w:before="0" w:after="0"/>
        <w:ind w:firstLine="0"/>
        <w:jc w:val="left"/>
        <w:tabs>
          <w:tab w:val="right" w:leader="dot" w:pos="9354"/>
        </w:tabs>
      </w:pPr>
      <w:hyperlink w:anchor="_bm_glava_4" w:history="1">
        <w:r>
          <w:rPr>
            <w:rFonts w:ascii="Times New Roman" w:hAnsi="Times New Roman" w:cs="Times New Roman"/>
            <w:sz w:val="28"/>
            <w:szCs w:val="28"/>
            <w:color w:val="000000"/>
          </w:rPr>
          <w:t xml:space="preserve">Глава 4. Оценка эффективности и перспектив внедрения системы мониторинга</w:t>
        </w:r>
        <w:r>
          <w:rPr>
            <w:rFonts w:ascii="Times New Roman" w:hAnsi="Times New Roman" w:cs="Times New Roman"/>
            <w:sz w:val="28"/>
            <w:szCs w:val="28"/>
            <w:color w:val="000000"/>
          </w:rPr>
          <w:t xml:space="preserve">	</w:t>
        </w:r>
        <w:r>
          <w:rPr>
            <w:rFonts w:ascii="Times New Roman" w:hAnsi="Times New Roman" w:cs="Times New Roman"/>
            <w:sz w:val="28"/>
            <w:szCs w:val="28"/>
            <w:color w:val="000000"/>
          </w:rPr>
          <w:t xml:space="preserve">62</w:t>
        </w:r>
      </w:hyperlink>
    </w:p>
    <w:p>
      <w:pPr>
        <w:spacing w:line="360" w:lineRule="auto" w:before="0" w:after="0"/>
        <w:ind w:firstLine="0" w:left="709"/>
        <w:jc w:val="left"/>
        <w:tabs>
          <w:tab w:val="right" w:leader="dot" w:pos="9354"/>
        </w:tabs>
      </w:pPr>
      <w:hyperlink w:anchor="_bm_section_4_1" w:history="1">
        <w:r>
          <w:rPr>
            <w:rFonts w:ascii="Times New Roman" w:hAnsi="Times New Roman" w:cs="Times New Roman"/>
            <w:sz w:val="28"/>
            <w:szCs w:val="28"/>
            <w:color w:val="000000"/>
          </w:rPr>
          <w:t xml:space="preserve">4.1 Анализ работы прототипа системы мониторинга в различных режимах эксплуатации</w:t>
        </w:r>
        <w:r>
          <w:rPr>
            <w:rFonts w:ascii="Times New Roman" w:hAnsi="Times New Roman" w:cs="Times New Roman"/>
            <w:sz w:val="28"/>
            <w:szCs w:val="28"/>
            <w:color w:val="000000"/>
          </w:rPr>
          <w:t xml:space="preserve">	</w:t>
        </w:r>
        <w:r>
          <w:rPr>
            <w:rFonts w:ascii="Times New Roman" w:hAnsi="Times New Roman" w:cs="Times New Roman"/>
            <w:sz w:val="28"/>
            <w:szCs w:val="28"/>
            <w:color w:val="000000"/>
          </w:rPr>
          <w:t xml:space="preserve">62</w:t>
        </w:r>
      </w:hyperlink>
    </w:p>
    <w:p>
      <w:pPr>
        <w:spacing w:line="360" w:lineRule="auto" w:before="0" w:after="0"/>
        <w:ind w:firstLine="0" w:left="709"/>
        <w:jc w:val="left"/>
        <w:tabs>
          <w:tab w:val="right" w:leader="dot" w:pos="9354"/>
        </w:tabs>
      </w:pPr>
      <w:hyperlink w:anchor="_bm_section_4_2" w:history="1">
        <w:r>
          <w:rPr>
            <w:rFonts w:ascii="Times New Roman" w:hAnsi="Times New Roman" w:cs="Times New Roman"/>
            <w:sz w:val="28"/>
            <w:szCs w:val="28"/>
            <w:color w:val="000000"/>
          </w:rPr>
          <w:t xml:space="preserve">4.2 Влияние внедрения SCADA на управляемость и надёжность распределительной сети</w:t>
        </w:r>
        <w:r>
          <w:rPr>
            <w:rFonts w:ascii="Times New Roman" w:hAnsi="Times New Roman" w:cs="Times New Roman"/>
            <w:sz w:val="28"/>
            <w:szCs w:val="28"/>
            <w:color w:val="000000"/>
          </w:rPr>
          <w:t xml:space="preserve">	</w:t>
        </w:r>
        <w:r>
          <w:rPr>
            <w:rFonts w:ascii="Times New Roman" w:hAnsi="Times New Roman" w:cs="Times New Roman"/>
            <w:sz w:val="28"/>
            <w:szCs w:val="28"/>
            <w:color w:val="000000"/>
          </w:rPr>
          <w:t xml:space="preserve">64</w:t>
        </w:r>
      </w:hyperlink>
    </w:p>
    <w:p>
      <w:pPr>
        <w:spacing w:line="360" w:lineRule="auto" w:before="0" w:after="0"/>
        <w:ind w:firstLine="0" w:left="709"/>
        <w:jc w:val="left"/>
        <w:tabs>
          <w:tab w:val="right" w:leader="dot" w:pos="9354"/>
        </w:tabs>
      </w:pPr>
      <w:hyperlink w:anchor="_bm_section_4_3" w:history="1">
        <w:r>
          <w:rPr>
            <w:rFonts w:ascii="Times New Roman" w:hAnsi="Times New Roman" w:cs="Times New Roman"/>
            <w:sz w:val="28"/>
            <w:szCs w:val="28"/>
            <w:color w:val="000000"/>
          </w:rPr>
          <w:t xml:space="preserve">4.3 Сравнение разработанного решения с существующими SCADA-решениями</w:t>
        </w:r>
        <w:r>
          <w:rPr>
            <w:rFonts w:ascii="Times New Roman" w:hAnsi="Times New Roman" w:cs="Times New Roman"/>
            <w:sz w:val="28"/>
            <w:szCs w:val="28"/>
            <w:color w:val="000000"/>
          </w:rPr>
          <w:t xml:space="preserve">	</w:t>
        </w:r>
        <w:r>
          <w:rPr>
            <w:rFonts w:ascii="Times New Roman" w:hAnsi="Times New Roman" w:cs="Times New Roman"/>
            <w:sz w:val="28"/>
            <w:szCs w:val="28"/>
            <w:color w:val="000000"/>
          </w:rPr>
          <w:t xml:space="preserve">68</w:t>
        </w:r>
      </w:hyperlink>
    </w:p>
    <w:p>
      <w:pPr>
        <w:spacing w:line="360" w:lineRule="auto" w:before="0" w:after="0"/>
        <w:ind w:firstLine="0" w:left="709"/>
        <w:jc w:val="left"/>
        <w:tabs>
          <w:tab w:val="right" w:leader="dot" w:pos="9354"/>
        </w:tabs>
      </w:pPr>
      <w:hyperlink w:anchor="_bm_section_4_4" w:history="1">
        <w:r>
          <w:rPr>
            <w:rFonts w:ascii="Times New Roman" w:hAnsi="Times New Roman" w:cs="Times New Roman"/>
            <w:sz w:val="28"/>
            <w:szCs w:val="28"/>
            <w:color w:val="000000"/>
          </w:rPr>
          <w:t xml:space="preserve">4.4 Учёт рыночных тенденций и перспектив промышленного внедрения системы</w:t>
        </w:r>
        <w:r>
          <w:rPr>
            <w:rFonts w:ascii="Times New Roman" w:hAnsi="Times New Roman" w:cs="Times New Roman"/>
            <w:sz w:val="28"/>
            <w:szCs w:val="28"/>
            <w:color w:val="000000"/>
          </w:rPr>
          <w:t xml:space="preserve">	</w:t>
        </w:r>
        <w:r>
          <w:rPr>
            <w:rFonts w:ascii="Times New Roman" w:hAnsi="Times New Roman" w:cs="Times New Roman"/>
            <w:sz w:val="28"/>
            <w:szCs w:val="28"/>
            <w:color w:val="000000"/>
          </w:rPr>
          <w:t xml:space="preserve">71</w:t>
        </w:r>
      </w:hyperlink>
    </w:p>
    <w:p>
      <w:pPr>
        <w:spacing w:line="360" w:lineRule="auto" w:before="0" w:after="0"/>
        <w:ind w:firstLine="0"/>
        <w:jc w:val="left"/>
        <w:tabs>
          <w:tab w:val="right" w:leader="dot" w:pos="9354"/>
        </w:tabs>
      </w:pPr>
      <w:hyperlink w:anchor="_bm_zaklyuchenie" w:history="1">
        <w:r>
          <w:rPr>
            <w:rFonts w:ascii="Times New Roman" w:hAnsi="Times New Roman" w:cs="Times New Roman"/>
            <w:sz w:val="28"/>
            <w:szCs w:val="28"/>
            <w:color w:val="000000"/>
          </w:rPr>
          <w:t xml:space="preserve">ЗАКЛЮЧЕНИЕ</w:t>
        </w:r>
        <w:r>
          <w:rPr>
            <w:rFonts w:ascii="Times New Roman" w:hAnsi="Times New Roman" w:cs="Times New Roman"/>
            <w:sz w:val="28"/>
            <w:szCs w:val="28"/>
            <w:color w:val="000000"/>
          </w:rPr>
          <w:t xml:space="preserve">	</w:t>
        </w:r>
        <w:r>
          <w:rPr>
            <w:rFonts w:ascii="Times New Roman" w:hAnsi="Times New Roman" w:cs="Times New Roman"/>
            <w:sz w:val="28"/>
            <w:szCs w:val="28"/>
            <w:color w:val="000000"/>
          </w:rPr>
          <w:t xml:space="preserve">77</w:t>
        </w:r>
      </w:hyperlink>
    </w:p>
    <w:p>
      <w:pPr>
        <w:spacing w:line="360" w:lineRule="auto" w:before="0" w:after="0"/>
        <w:ind w:firstLine="0"/>
        <w:jc w:val="left"/>
        <w:tabs>
          <w:tab w:val="right" w:leader="dot" w:pos="9354"/>
        </w:tabs>
      </w:pPr>
      <w:hyperlink w:anchor="_bm_spisok_ispolzovannyh_istochnikov" w:history="1">
        <w:r>
          <w:rPr>
            <w:rFonts w:ascii="Times New Roman" w:hAnsi="Times New Roman" w:cs="Times New Roman"/>
            <w:sz w:val="28"/>
            <w:szCs w:val="28"/>
            <w:color w:val="000000"/>
          </w:rPr>
          <w:t xml:space="preserve">СПИСОК ИСПОЛЬЗОВАННЫХ ИСТОЧНИКОВ</w:t>
        </w:r>
        <w:r>
          <w:rPr>
            <w:rFonts w:ascii="Times New Roman" w:hAnsi="Times New Roman" w:cs="Times New Roman"/>
            <w:sz w:val="28"/>
            <w:szCs w:val="28"/>
            <w:color w:val="000000"/>
          </w:rPr>
          <w:t xml:space="preserve">	</w:t>
        </w:r>
        <w:r>
          <w:rPr>
            <w:rFonts w:ascii="Times New Roman" w:hAnsi="Times New Roman" w:cs="Times New Roman"/>
            <w:sz w:val="28"/>
            <w:szCs w:val="28"/>
            <w:color w:val="000000"/>
          </w:rPr>
          <w:t xml:space="preserve">79</w:t>
        </w:r>
      </w:hyperlink>
    </w:p>
    <w:p>
      <w:pPr>
        <w:spacing w:line="360" w:lineRule="auto" w:before="0" w:after="0"/>
        <w:ind w:firstLine="0"/>
        <w:jc w:val="left"/>
        <w:tabs>
          <w:tab w:val="right" w:leader="dot" w:pos="9354"/>
        </w:tabs>
      </w:pPr>
      <w:hyperlink w:anchor="_bm_prilozhenie_a" w:history="1">
        <w:r>
          <w:rPr>
            <w:rFonts w:ascii="Times New Roman" w:hAnsi="Times New Roman" w:cs="Times New Roman"/>
            <w:sz w:val="28"/>
            <w:szCs w:val="28"/>
            <w:color w:val="000000"/>
          </w:rPr>
          <w:t xml:space="preserve">ПРИЛОЖЕНИЕ А (Листинг генерации графика рыночного прогноза)</w:t>
        </w:r>
        <w:r>
          <w:rPr>
            <w:rFonts w:ascii="Times New Roman" w:hAnsi="Times New Roman" w:cs="Times New Roman"/>
            <w:sz w:val="28"/>
            <w:szCs w:val="28"/>
            <w:color w:val="000000"/>
          </w:rPr>
          <w:t xml:space="preserve">	</w:t>
        </w:r>
        <w:r>
          <w:rPr>
            <w:rFonts w:ascii="Times New Roman" w:hAnsi="Times New Roman" w:cs="Times New Roman"/>
            <w:sz w:val="28"/>
            <w:szCs w:val="28"/>
            <w:color w:val="000000"/>
          </w:rPr>
          <w:t xml:space="preserve">82</w:t>
        </w:r>
      </w:hyperlink>
    </w:p>
    <w:p>
      <w:pPr>
        <w:spacing w:line="360" w:lineRule="auto" w:before="0" w:after="0"/>
        <w:ind w:firstLine="0"/>
        <w:jc w:val="left"/>
        <w:tabs>
          <w:tab w:val="right" w:leader="dot" w:pos="9354"/>
        </w:tabs>
      </w:pPr>
      <w:hyperlink w:anchor="_bm_prilozhenie_b" w:history="1">
        <w:r>
          <w:rPr>
            <w:rFonts w:ascii="Times New Roman" w:hAnsi="Times New Roman" w:cs="Times New Roman"/>
            <w:sz w:val="28"/>
            <w:szCs w:val="28"/>
            <w:color w:val="000000"/>
          </w:rPr>
          <w:t xml:space="preserve">ПРИЛОЖЕНИЕ Б (Листинг расчёта экономического эффекта)</w:t>
        </w:r>
        <w:r>
          <w:rPr>
            <w:rFonts w:ascii="Times New Roman" w:hAnsi="Times New Roman" w:cs="Times New Roman"/>
            <w:sz w:val="28"/>
            <w:szCs w:val="28"/>
            <w:color w:val="000000"/>
          </w:rPr>
          <w:t xml:space="preserve">	</w:t>
        </w:r>
        <w:r>
          <w:rPr>
            <w:rFonts w:ascii="Times New Roman" w:hAnsi="Times New Roman" w:cs="Times New Roman"/>
            <w:sz w:val="28"/>
            <w:szCs w:val="28"/>
            <w:color w:val="000000"/>
          </w:rPr>
          <w:t xml:space="preserve">83</w:t>
        </w:r>
      </w:hyperlink>
    </w:p>
    <w:p>
      <w:pPr>
        <w:spacing w:line="360" w:lineRule="auto" w:before="0" w:after="0"/>
        <w:ind w:firstLine="0"/>
        <w:jc w:val="left"/>
        <w:tabs>
          <w:tab w:val="right" w:leader="dot" w:pos="9354"/>
        </w:tabs>
      </w:pPr>
      <w:hyperlink w:anchor="_bm_prilozhenie_v" w:history="1">
        <w:r>
          <w:rPr>
            <w:rFonts w:ascii="Times New Roman" w:hAnsi="Times New Roman" w:cs="Times New Roman"/>
            <w:sz w:val="28"/>
            <w:szCs w:val="28"/>
            <w:color w:val="000000"/>
          </w:rPr>
          <w:t xml:space="preserve">ПРИЛОЖЕНИЕ В (Листинг прототипа SCADA-сервера)</w:t>
        </w:r>
        <w:r>
          <w:rPr>
            <w:rFonts w:ascii="Times New Roman" w:hAnsi="Times New Roman" w:cs="Times New Roman"/>
            <w:sz w:val="28"/>
            <w:szCs w:val="28"/>
            <w:color w:val="000000"/>
          </w:rPr>
          <w:t xml:space="preserve">	</w:t>
        </w:r>
        <w:r>
          <w:rPr>
            <w:rFonts w:ascii="Times New Roman" w:hAnsi="Times New Roman" w:cs="Times New Roman"/>
            <w:sz w:val="28"/>
            <w:szCs w:val="28"/>
            <w:color w:val="000000"/>
          </w:rPr>
          <w:t xml:space="preserve">85</w:t>
        </w:r>
      </w:hyperlink>
    </w:p>
    <w:p>
      <w:pPr>
        <w:spacing w:line="360" w:lineRule="auto" w:before="0" w:after="0"/>
        <w:ind w:firstLine="0"/>
        <w:jc w:val="left"/>
        <w:tabs>
          <w:tab w:val="right" w:leader="dot" w:pos="9354"/>
        </w:tabs>
      </w:pPr>
      <w:hyperlink w:anchor="_bm_prilozhenie_g" w:history="1">
        <w:r>
          <w:rPr>
            <w:rFonts w:ascii="Times New Roman" w:hAnsi="Times New Roman" w:cs="Times New Roman"/>
            <w:sz w:val="28"/>
            <w:szCs w:val="28"/>
            <w:color w:val="000000"/>
          </w:rPr>
          <w:t xml:space="preserve">ПРИЛОЖЕНИЕ Г (Листинг клиента протокола МЭК 60870-5-104)</w:t>
        </w:r>
        <w:r>
          <w:rPr>
            <w:rFonts w:ascii="Times New Roman" w:hAnsi="Times New Roman" w:cs="Times New Roman"/>
            <w:sz w:val="28"/>
            <w:szCs w:val="28"/>
            <w:color w:val="000000"/>
          </w:rPr>
          <w:t xml:space="preserve">	</w:t>
        </w:r>
        <w:r>
          <w:rPr>
            <w:rFonts w:ascii="Times New Roman" w:hAnsi="Times New Roman" w:cs="Times New Roman"/>
            <w:sz w:val="28"/>
            <w:szCs w:val="28"/>
            <w:color w:val="000000"/>
          </w:rPr>
          <w:t xml:space="preserve">89</w:t>
        </w:r>
      </w:hyperlink>
      <w:r>
        <w:fldChar w:fldCharType="end"/>
      </w:r>
    </w:p>
    <w:p>
      <w:bookmarkStart w:id="35" w:name="_bm_spisok_sokraschenij_i_uslovnyh_oboznache"/>
      <w:pPr>
        <w:pageBreakBefore/>
        <w:spacing w:before="0" w:after="240" w:line="360" w:lineRule="auto"/>
        <w:ind w:firstLine="0"/>
        <w:jc w:val="center"/>
        <w:outlineLvl w:val="0"/>
      </w:pPr>
      <w:r>
        <w:rPr>
          <w:rFonts w:ascii="Times New Roman" w:hAnsi="Times New Roman"/>
          <w:b/>
          <w:color w:val="000000"/>
          <w:sz w:val="28"/>
        </w:rPr>
        <w:t>СПИСОК СОКРАЩЕНИЙ И УСЛОВНЫХ ОБОЗНАЧЕНИЙ</w:t>
      </w:r>
      <w:bookmarkEnd w:id="35"/>
    </w:p>
    <w:p>
      <w:pPr>
        <w:spacing w:before="0" w:after="0" w:line="360" w:lineRule="auto"/>
        <w:ind w:firstLine="0"/>
        <w:jc w:val="both"/>
      </w:pPr>
      <w:r>
        <w:rPr>
          <w:rFonts w:ascii="Times New Roman" w:hAnsi="Times New Roman"/>
          <w:b w:val="0"/>
          <w:i w:val="0"/>
          <w:color w:val="000000"/>
          <w:sz w:val="28"/>
        </w:rPr>
        <w:t>АПВ – автоматическое повторное включение</w:t>
      </w:r>
    </w:p>
    <w:p>
      <w:pPr>
        <w:spacing w:before="0" w:after="0" w:line="360" w:lineRule="auto"/>
        <w:ind w:firstLine="0"/>
        <w:jc w:val="both"/>
      </w:pPr>
      <w:r>
        <w:rPr>
          <w:rFonts w:ascii="Times New Roman" w:hAnsi="Times New Roman"/>
          <w:b w:val="0"/>
          <w:i w:val="0"/>
          <w:color w:val="000000"/>
          <w:sz w:val="28"/>
        </w:rPr>
        <w:t>АСУ ТП – автоматизированная система управления технологическим процессом</w:t>
      </w:r>
    </w:p>
    <w:p>
      <w:pPr>
        <w:spacing w:before="0" w:after="0" w:line="360" w:lineRule="auto"/>
        <w:ind w:firstLine="0"/>
        <w:jc w:val="both"/>
      </w:pPr>
      <w:r>
        <w:rPr>
          <w:rFonts w:ascii="Times New Roman" w:hAnsi="Times New Roman"/>
          <w:b w:val="0"/>
          <w:i w:val="0"/>
          <w:color w:val="000000"/>
          <w:sz w:val="28"/>
        </w:rPr>
        <w:t>БД – база данных</w:t>
      </w:r>
    </w:p>
    <w:p>
      <w:pPr>
        <w:spacing w:before="0" w:after="0" w:line="360" w:lineRule="auto"/>
        <w:ind w:firstLine="0"/>
        <w:jc w:val="both"/>
      </w:pPr>
      <w:r>
        <w:rPr>
          <w:rFonts w:ascii="Times New Roman" w:hAnsi="Times New Roman"/>
          <w:b w:val="0"/>
          <w:i w:val="0"/>
          <w:color w:val="000000"/>
          <w:sz w:val="28"/>
        </w:rPr>
        <w:t>ВЛ – воздушная линия электропередачи</w:t>
      </w:r>
    </w:p>
    <w:p>
      <w:pPr>
        <w:spacing w:before="0" w:after="0" w:line="360" w:lineRule="auto"/>
        <w:ind w:firstLine="0"/>
        <w:jc w:val="both"/>
      </w:pPr>
      <w:r>
        <w:rPr>
          <w:rFonts w:ascii="Times New Roman" w:hAnsi="Times New Roman"/>
          <w:b w:val="0"/>
          <w:i w:val="0"/>
          <w:color w:val="000000"/>
          <w:sz w:val="28"/>
        </w:rPr>
        <w:t>ГИС – геоинформационная система</w:t>
      </w:r>
    </w:p>
    <w:p>
      <w:pPr>
        <w:spacing w:before="0" w:after="0" w:line="360" w:lineRule="auto"/>
        <w:ind w:firstLine="0"/>
        <w:jc w:val="both"/>
      </w:pPr>
      <w:r>
        <w:rPr>
          <w:rFonts w:ascii="Times New Roman" w:hAnsi="Times New Roman"/>
          <w:b w:val="0"/>
          <w:i w:val="0"/>
          <w:color w:val="000000"/>
          <w:sz w:val="28"/>
        </w:rPr>
        <w:t>ГЛОНАСС – глобальная навигационная спутниковая система</w:t>
      </w:r>
    </w:p>
    <w:p>
      <w:pPr>
        <w:spacing w:before="0" w:after="0" w:line="360" w:lineRule="auto"/>
        <w:ind w:firstLine="0"/>
        <w:jc w:val="both"/>
      </w:pPr>
      <w:r>
        <w:rPr>
          <w:rFonts w:ascii="Times New Roman" w:hAnsi="Times New Roman"/>
          <w:b w:val="0"/>
          <w:i w:val="0"/>
          <w:color w:val="000000"/>
          <w:sz w:val="28"/>
        </w:rPr>
        <w:t>ГОСТ – государственный стандарт</w:t>
      </w:r>
    </w:p>
    <w:p>
      <w:pPr>
        <w:spacing w:before="0" w:after="0" w:line="360" w:lineRule="auto"/>
        <w:ind w:firstLine="0"/>
        <w:jc w:val="both"/>
      </w:pPr>
      <w:r>
        <w:rPr>
          <w:rFonts w:ascii="Times New Roman" w:hAnsi="Times New Roman"/>
          <w:b w:val="0"/>
          <w:i w:val="0"/>
          <w:color w:val="000000"/>
          <w:sz w:val="28"/>
        </w:rPr>
        <w:t>ЗЗЗ – защита от замыканий на землю</w:t>
      </w:r>
    </w:p>
    <w:p>
      <w:pPr>
        <w:spacing w:before="0" w:after="0" w:line="360" w:lineRule="auto"/>
        <w:ind w:firstLine="0"/>
        <w:jc w:val="both"/>
      </w:pPr>
      <w:r>
        <w:rPr>
          <w:rFonts w:ascii="Times New Roman" w:hAnsi="Times New Roman"/>
          <w:b w:val="0"/>
          <w:i w:val="0"/>
          <w:color w:val="000000"/>
          <w:sz w:val="28"/>
        </w:rPr>
        <w:t>КЗ – короткое замыкание</w:t>
      </w:r>
    </w:p>
    <w:p>
      <w:pPr>
        <w:spacing w:before="0" w:after="0" w:line="360" w:lineRule="auto"/>
        <w:ind w:firstLine="0"/>
        <w:jc w:val="both"/>
      </w:pPr>
      <w:r>
        <w:rPr>
          <w:rFonts w:ascii="Times New Roman" w:hAnsi="Times New Roman"/>
          <w:b w:val="0"/>
          <w:i w:val="0"/>
          <w:color w:val="000000"/>
          <w:sz w:val="28"/>
        </w:rPr>
        <w:t>МТЗ – максимальная токовая защита</w:t>
      </w:r>
    </w:p>
    <w:p>
      <w:pPr>
        <w:spacing w:before="0" w:after="0" w:line="360" w:lineRule="auto"/>
        <w:ind w:firstLine="0"/>
        <w:jc w:val="both"/>
      </w:pPr>
      <w:r>
        <w:rPr>
          <w:rFonts w:ascii="Times New Roman" w:hAnsi="Times New Roman"/>
          <w:b w:val="0"/>
          <w:i w:val="0"/>
          <w:color w:val="000000"/>
          <w:sz w:val="28"/>
        </w:rPr>
        <w:t>МЭК – Международная электротехническая комиссия</w:t>
      </w:r>
    </w:p>
    <w:p>
      <w:pPr>
        <w:spacing w:before="0" w:after="0" w:line="360" w:lineRule="auto"/>
        <w:ind w:firstLine="0"/>
        <w:jc w:val="both"/>
      </w:pPr>
      <w:r>
        <w:rPr>
          <w:rFonts w:ascii="Times New Roman" w:hAnsi="Times New Roman"/>
          <w:b w:val="0"/>
          <w:i w:val="0"/>
          <w:color w:val="000000"/>
          <w:sz w:val="28"/>
        </w:rPr>
        <w:t>ОМП – определение места повреждения</w:t>
      </w:r>
    </w:p>
    <w:p>
      <w:pPr>
        <w:spacing w:before="0" w:after="0" w:line="360" w:lineRule="auto"/>
        <w:ind w:firstLine="0"/>
        <w:jc w:val="both"/>
      </w:pPr>
      <w:r>
        <w:rPr>
          <w:rFonts w:ascii="Times New Roman" w:hAnsi="Times New Roman"/>
          <w:b w:val="0"/>
          <w:i w:val="0"/>
          <w:color w:val="000000"/>
          <w:sz w:val="28"/>
        </w:rPr>
        <w:t>ПО – программное обеспечение</w:t>
      </w:r>
    </w:p>
    <w:p>
      <w:pPr>
        <w:spacing w:before="0" w:after="0" w:line="360" w:lineRule="auto"/>
        <w:ind w:firstLine="0"/>
        <w:jc w:val="both"/>
      </w:pPr>
      <w:r>
        <w:rPr>
          <w:rFonts w:ascii="Times New Roman" w:hAnsi="Times New Roman"/>
          <w:b w:val="0"/>
          <w:i w:val="0"/>
          <w:color w:val="000000"/>
          <w:sz w:val="28"/>
        </w:rPr>
        <w:t>ПУЭ – правила устройства электроустановок</w:t>
      </w:r>
    </w:p>
    <w:p>
      <w:pPr>
        <w:spacing w:before="0" w:after="0" w:line="360" w:lineRule="auto"/>
        <w:ind w:firstLine="0"/>
        <w:jc w:val="both"/>
      </w:pPr>
      <w:r>
        <w:rPr>
          <w:rFonts w:ascii="Times New Roman" w:hAnsi="Times New Roman"/>
          <w:b w:val="0"/>
          <w:i w:val="0"/>
          <w:color w:val="000000"/>
          <w:sz w:val="28"/>
        </w:rPr>
        <w:t>СУБД – система управления базами данных</w:t>
      </w:r>
    </w:p>
    <w:p>
      <w:pPr>
        <w:spacing w:before="0" w:after="0" w:line="360" w:lineRule="auto"/>
        <w:ind w:firstLine="0"/>
        <w:jc w:val="both"/>
      </w:pPr>
      <w:r>
        <w:rPr>
          <w:rFonts w:ascii="Times New Roman" w:hAnsi="Times New Roman"/>
          <w:b w:val="0"/>
          <w:i w:val="0"/>
          <w:color w:val="000000"/>
          <w:sz w:val="28"/>
        </w:rPr>
        <w:t>ТИ – телеизмерение</w:t>
      </w:r>
    </w:p>
    <w:p>
      <w:pPr>
        <w:spacing w:before="0" w:after="0" w:line="360" w:lineRule="auto"/>
        <w:ind w:firstLine="0"/>
        <w:jc w:val="both"/>
      </w:pPr>
      <w:r>
        <w:rPr>
          <w:rFonts w:ascii="Times New Roman" w:hAnsi="Times New Roman"/>
          <w:b w:val="0"/>
          <w:i w:val="0"/>
          <w:color w:val="000000"/>
          <w:sz w:val="28"/>
        </w:rPr>
        <w:t>ТП – трансформаторная подстанция</w:t>
      </w:r>
    </w:p>
    <w:p>
      <w:pPr>
        <w:spacing w:before="0" w:after="0" w:line="360" w:lineRule="auto"/>
        <w:ind w:firstLine="0"/>
        <w:jc w:val="both"/>
      </w:pPr>
      <w:r>
        <w:rPr>
          <w:rFonts w:ascii="Times New Roman" w:hAnsi="Times New Roman"/>
          <w:b w:val="0"/>
          <w:i w:val="0"/>
          <w:color w:val="000000"/>
          <w:sz w:val="28"/>
        </w:rPr>
        <w:t>ТС – телесигнализация</w:t>
      </w:r>
    </w:p>
    <w:p>
      <w:pPr>
        <w:spacing w:before="0" w:after="0" w:line="360" w:lineRule="auto"/>
        <w:ind w:firstLine="0"/>
        <w:jc w:val="both"/>
      </w:pPr>
      <w:r>
        <w:rPr>
          <w:rFonts w:ascii="Times New Roman" w:hAnsi="Times New Roman"/>
          <w:b w:val="0"/>
          <w:i w:val="0"/>
          <w:color w:val="000000"/>
          <w:sz w:val="28"/>
        </w:rPr>
        <w:t>ТУ – телеуправление</w:t>
      </w:r>
    </w:p>
    <w:p>
      <w:pPr>
        <w:spacing w:before="0" w:after="0" w:line="360" w:lineRule="auto"/>
        <w:ind w:firstLine="0"/>
        <w:jc w:val="both"/>
      </w:pPr>
      <w:r>
        <w:rPr>
          <w:rFonts w:ascii="Times New Roman" w:hAnsi="Times New Roman"/>
          <w:b w:val="0"/>
          <w:i w:val="0"/>
          <w:color w:val="000000"/>
          <w:sz w:val="28"/>
        </w:rPr>
        <w:t>API – Application Programming Interface (программный интерфейс приложения)</w:t>
      </w:r>
    </w:p>
    <w:p>
      <w:pPr>
        <w:spacing w:before="0" w:after="0" w:line="360" w:lineRule="auto"/>
        <w:ind w:firstLine="0"/>
        <w:jc w:val="both"/>
      </w:pPr>
      <w:r>
        <w:rPr>
          <w:rFonts w:ascii="Times New Roman" w:hAnsi="Times New Roman"/>
          <w:b w:val="0"/>
          <w:i w:val="0"/>
          <w:color w:val="000000"/>
          <w:sz w:val="28"/>
        </w:rPr>
        <w:t>APDU – Application Protocol Data Unit (блок данных прикладного протокола)</w:t>
      </w:r>
    </w:p>
    <w:p>
      <w:pPr>
        <w:spacing w:before="0" w:after="0" w:line="360" w:lineRule="auto"/>
        <w:ind w:firstLine="0"/>
        <w:jc w:val="both"/>
      </w:pPr>
      <w:r>
        <w:rPr>
          <w:rFonts w:ascii="Times New Roman" w:hAnsi="Times New Roman"/>
          <w:b w:val="0"/>
          <w:i w:val="0"/>
          <w:color w:val="000000"/>
          <w:sz w:val="28"/>
        </w:rPr>
        <w:t>ASDU – Application Service Data Unit (блок данных прикладной службы)</w:t>
      </w:r>
    </w:p>
    <w:p>
      <w:pPr>
        <w:spacing w:before="0" w:after="0" w:line="360" w:lineRule="auto"/>
        <w:ind w:firstLine="0"/>
        <w:jc w:val="both"/>
      </w:pPr>
      <w:r>
        <w:rPr>
          <w:rFonts w:ascii="Times New Roman" w:hAnsi="Times New Roman"/>
          <w:b w:val="0"/>
          <w:i w:val="0"/>
          <w:color w:val="000000"/>
          <w:sz w:val="28"/>
        </w:rPr>
        <w:t>CAGR – Compound Annual Growth Rate (среднегодовой темп роста)</w:t>
      </w:r>
    </w:p>
    <w:p>
      <w:pPr>
        <w:spacing w:before="0" w:after="0" w:line="360" w:lineRule="auto"/>
        <w:ind w:firstLine="0"/>
        <w:jc w:val="both"/>
      </w:pPr>
      <w:r>
        <w:rPr>
          <w:rFonts w:ascii="Times New Roman" w:hAnsi="Times New Roman"/>
          <w:b w:val="0"/>
          <w:i w:val="0"/>
          <w:color w:val="000000"/>
          <w:sz w:val="28"/>
        </w:rPr>
        <w:t>CPU – Central Processing Unit (центральный процессор)</w:t>
      </w:r>
    </w:p>
    <w:p>
      <w:pPr>
        <w:spacing w:before="0" w:after="0" w:line="360" w:lineRule="auto"/>
        <w:ind w:firstLine="0"/>
        <w:jc w:val="both"/>
      </w:pPr>
      <w:r>
        <w:rPr>
          <w:rFonts w:ascii="Times New Roman" w:hAnsi="Times New Roman"/>
          <w:b w:val="0"/>
          <w:i w:val="0"/>
          <w:color w:val="000000"/>
          <w:sz w:val="28"/>
        </w:rPr>
        <w:t>CSV – Comma Separated Values (значения, разделённые запятыми)</w:t>
      </w:r>
    </w:p>
    <w:p>
      <w:pPr>
        <w:spacing w:before="0" w:after="0" w:line="360" w:lineRule="auto"/>
        <w:ind w:firstLine="0"/>
        <w:jc w:val="both"/>
      </w:pPr>
      <w:r>
        <w:rPr>
          <w:rFonts w:ascii="Times New Roman" w:hAnsi="Times New Roman"/>
          <w:b w:val="0"/>
          <w:i w:val="0"/>
          <w:color w:val="000000"/>
          <w:sz w:val="28"/>
        </w:rPr>
        <w:t>GPS – Global Positioning System (глобальная система позиционирования)</w:t>
      </w:r>
    </w:p>
    <w:p>
      <w:pPr>
        <w:spacing w:before="0" w:after="0" w:line="360" w:lineRule="auto"/>
        <w:ind w:firstLine="0"/>
        <w:jc w:val="both"/>
      </w:pPr>
      <w:r>
        <w:rPr>
          <w:rFonts w:ascii="Times New Roman" w:hAnsi="Times New Roman"/>
          <w:b w:val="0"/>
          <w:i w:val="0"/>
          <w:color w:val="000000"/>
          <w:sz w:val="28"/>
        </w:rPr>
        <w:t>GPRS – General Packet Radio Service (пакетная радиосвязь общего пользования)</w:t>
      </w:r>
    </w:p>
    <w:p>
      <w:pPr>
        <w:spacing w:before="0" w:after="0" w:line="360" w:lineRule="auto"/>
        <w:ind w:firstLine="0"/>
        <w:jc w:val="both"/>
      </w:pPr>
      <w:r>
        <w:rPr>
          <w:rFonts w:ascii="Times New Roman" w:hAnsi="Times New Roman"/>
          <w:b w:val="0"/>
          <w:i w:val="0"/>
          <w:color w:val="000000"/>
          <w:sz w:val="28"/>
        </w:rPr>
        <w:t>GSM – Global System for Mobile Communications (глобальная система мобильной связи)</w:t>
      </w:r>
    </w:p>
    <w:p>
      <w:pPr>
        <w:spacing w:before="0" w:after="0" w:line="360" w:lineRule="auto"/>
        <w:ind w:firstLine="0"/>
        <w:jc w:val="both"/>
      </w:pPr>
      <w:r>
        <w:rPr>
          <w:rFonts w:ascii="Times New Roman" w:hAnsi="Times New Roman"/>
          <w:b w:val="0"/>
          <w:i w:val="0"/>
          <w:color w:val="000000"/>
          <w:sz w:val="28"/>
        </w:rPr>
        <w:t>HMI – Human-Machine Interface (человеко-машинный интерфейс)</w:t>
      </w:r>
    </w:p>
    <w:p>
      <w:pPr>
        <w:spacing w:before="0" w:after="0" w:line="360" w:lineRule="auto"/>
        <w:ind w:firstLine="0"/>
        <w:jc w:val="both"/>
      </w:pPr>
      <w:r>
        <w:rPr>
          <w:rFonts w:ascii="Times New Roman" w:hAnsi="Times New Roman"/>
          <w:b w:val="0"/>
          <w:i w:val="0"/>
          <w:color w:val="000000"/>
          <w:sz w:val="28"/>
        </w:rPr>
        <w:t>HTTP – Hypertext Transfer Protocol (протокол передачи гипертекста)</w:t>
      </w:r>
    </w:p>
    <w:p>
      <w:pPr>
        <w:spacing w:before="0" w:after="0" w:line="360" w:lineRule="auto"/>
        <w:ind w:firstLine="0"/>
        <w:jc w:val="both"/>
      </w:pPr>
      <w:r>
        <w:rPr>
          <w:rFonts w:ascii="Times New Roman" w:hAnsi="Times New Roman"/>
          <w:b w:val="0"/>
          <w:i w:val="0"/>
          <w:color w:val="000000"/>
          <w:sz w:val="28"/>
        </w:rPr>
        <w:t>IEC – International Electrotechnical Commission (МЭК)</w:t>
      </w:r>
    </w:p>
    <w:p>
      <w:pPr>
        <w:spacing w:before="0" w:after="0" w:line="360" w:lineRule="auto"/>
        <w:ind w:firstLine="0"/>
        <w:jc w:val="both"/>
      </w:pPr>
      <w:r>
        <w:rPr>
          <w:rFonts w:ascii="Times New Roman" w:hAnsi="Times New Roman"/>
          <w:b w:val="0"/>
          <w:i w:val="0"/>
          <w:color w:val="000000"/>
          <w:sz w:val="28"/>
        </w:rPr>
        <w:t>IEEE – Institute of Electrical and Electronics Engineers</w:t>
      </w:r>
    </w:p>
    <w:p>
      <w:pPr>
        <w:spacing w:before="0" w:after="0" w:line="360" w:lineRule="auto"/>
        <w:ind w:firstLine="0"/>
        <w:jc w:val="both"/>
      </w:pPr>
      <w:r>
        <w:rPr>
          <w:rFonts w:ascii="Times New Roman" w:hAnsi="Times New Roman"/>
          <w:b w:val="0"/>
          <w:i w:val="0"/>
          <w:color w:val="000000"/>
          <w:sz w:val="28"/>
        </w:rPr>
        <w:t>IIoT – Industrial Internet of Things (промышленный Интернет вещей)</w:t>
      </w:r>
    </w:p>
    <w:p>
      <w:pPr>
        <w:spacing w:before="0" w:after="0" w:line="360" w:lineRule="auto"/>
        <w:ind w:firstLine="0"/>
        <w:jc w:val="both"/>
      </w:pPr>
      <w:r>
        <w:rPr>
          <w:rFonts w:ascii="Times New Roman" w:hAnsi="Times New Roman"/>
          <w:b w:val="0"/>
          <w:i w:val="0"/>
          <w:color w:val="000000"/>
          <w:sz w:val="28"/>
        </w:rPr>
        <w:t>IP – Internet Protocol (интернет-протокол)</w:t>
      </w:r>
    </w:p>
    <w:p>
      <w:pPr>
        <w:spacing w:before="0" w:after="0" w:line="360" w:lineRule="auto"/>
        <w:ind w:firstLine="0"/>
        <w:jc w:val="both"/>
      </w:pPr>
      <w:r>
        <w:rPr>
          <w:rFonts w:ascii="Times New Roman" w:hAnsi="Times New Roman"/>
          <w:b w:val="0"/>
          <w:i w:val="0"/>
          <w:color w:val="000000"/>
          <w:sz w:val="28"/>
        </w:rPr>
        <w:t>JSON – JavaScript Object Notation (нотация объектов JavaScript)</w:t>
      </w:r>
    </w:p>
    <w:p>
      <w:pPr>
        <w:spacing w:before="0" w:after="0" w:line="360" w:lineRule="auto"/>
        <w:ind w:firstLine="0"/>
        <w:jc w:val="both"/>
      </w:pPr>
      <w:r>
        <w:rPr>
          <w:rFonts w:ascii="Times New Roman" w:hAnsi="Times New Roman"/>
          <w:b w:val="0"/>
          <w:i w:val="0"/>
          <w:color w:val="000000"/>
          <w:sz w:val="28"/>
        </w:rPr>
        <w:t>LTE – Long-Term Evolution (стандарт мобильной связи)</w:t>
      </w:r>
    </w:p>
    <w:p>
      <w:pPr>
        <w:spacing w:before="0" w:after="0" w:line="360" w:lineRule="auto"/>
        <w:ind w:firstLine="0"/>
        <w:jc w:val="both"/>
      </w:pPr>
      <w:r>
        <w:rPr>
          <w:rFonts w:ascii="Times New Roman" w:hAnsi="Times New Roman"/>
          <w:b w:val="0"/>
          <w:i w:val="0"/>
          <w:color w:val="000000"/>
          <w:sz w:val="28"/>
        </w:rPr>
        <w:t>MTBF – Mean Time Between Failures (средняя наработка на отказ)</w:t>
      </w:r>
    </w:p>
    <w:p>
      <w:pPr>
        <w:spacing w:before="0" w:after="0" w:line="360" w:lineRule="auto"/>
        <w:ind w:firstLine="0"/>
        <w:jc w:val="both"/>
      </w:pPr>
      <w:r>
        <w:rPr>
          <w:rFonts w:ascii="Times New Roman" w:hAnsi="Times New Roman"/>
          <w:b w:val="0"/>
          <w:i w:val="0"/>
          <w:color w:val="000000"/>
          <w:sz w:val="28"/>
        </w:rPr>
        <w:t>MTTR – Mean Time To Repair (среднее время восстановления)</w:t>
      </w:r>
    </w:p>
    <w:p>
      <w:pPr>
        <w:spacing w:before="0" w:after="0" w:line="360" w:lineRule="auto"/>
        <w:ind w:firstLine="0"/>
        <w:jc w:val="both"/>
      </w:pPr>
      <w:r>
        <w:rPr>
          <w:rFonts w:ascii="Times New Roman" w:hAnsi="Times New Roman"/>
          <w:b w:val="0"/>
          <w:i w:val="0"/>
          <w:color w:val="000000"/>
          <w:sz w:val="28"/>
        </w:rPr>
        <w:t>NTP – Network Time Protocol (протокол сетевого времени)</w:t>
      </w:r>
    </w:p>
    <w:p>
      <w:pPr>
        <w:spacing w:before="0" w:after="0" w:line="360" w:lineRule="auto"/>
        <w:ind w:firstLine="0"/>
        <w:jc w:val="both"/>
      </w:pPr>
      <w:r>
        <w:rPr>
          <w:rFonts w:ascii="Times New Roman" w:hAnsi="Times New Roman"/>
          <w:b w:val="0"/>
          <w:i w:val="0"/>
          <w:color w:val="000000"/>
          <w:sz w:val="28"/>
        </w:rPr>
        <w:t>OPC UA – Open Platform Communications Unified Architecture</w:t>
      </w:r>
    </w:p>
    <w:p>
      <w:pPr>
        <w:spacing w:before="0" w:after="0" w:line="360" w:lineRule="auto"/>
        <w:ind w:firstLine="0"/>
        <w:jc w:val="both"/>
      </w:pPr>
      <w:r>
        <w:rPr>
          <w:rFonts w:ascii="Times New Roman" w:hAnsi="Times New Roman"/>
          <w:b w:val="0"/>
          <w:i w:val="0"/>
          <w:color w:val="000000"/>
          <w:sz w:val="28"/>
        </w:rPr>
        <w:t>PDF – Portable Document Format (формат переносимого документа)</w:t>
      </w:r>
    </w:p>
    <w:p>
      <w:pPr>
        <w:spacing w:before="0" w:after="0" w:line="360" w:lineRule="auto"/>
        <w:ind w:firstLine="0"/>
        <w:jc w:val="both"/>
      </w:pPr>
      <w:r>
        <w:rPr>
          <w:rFonts w:ascii="Times New Roman" w:hAnsi="Times New Roman"/>
          <w:b w:val="0"/>
          <w:i w:val="0"/>
          <w:color w:val="000000"/>
          <w:sz w:val="28"/>
        </w:rPr>
        <w:t>RAM – Random Access Memory (оперативная память)</w:t>
      </w:r>
    </w:p>
    <w:p>
      <w:pPr>
        <w:spacing w:before="0" w:after="0" w:line="360" w:lineRule="auto"/>
        <w:ind w:firstLine="0"/>
        <w:jc w:val="both"/>
      </w:pPr>
      <w:r>
        <w:rPr>
          <w:rFonts w:ascii="Times New Roman" w:hAnsi="Times New Roman"/>
          <w:b w:val="0"/>
          <w:i w:val="0"/>
          <w:color w:val="000000"/>
          <w:sz w:val="28"/>
        </w:rPr>
        <w:t>REST – Representational State Transfer (передача репрезентативного состояния)</w:t>
      </w:r>
    </w:p>
    <w:p>
      <w:pPr>
        <w:spacing w:before="0" w:after="0" w:line="360" w:lineRule="auto"/>
        <w:ind w:firstLine="0"/>
        <w:jc w:val="both"/>
      </w:pPr>
      <w:r>
        <w:rPr>
          <w:rFonts w:ascii="Times New Roman" w:hAnsi="Times New Roman"/>
          <w:b w:val="0"/>
          <w:i w:val="0"/>
          <w:color w:val="000000"/>
          <w:sz w:val="28"/>
        </w:rPr>
        <w:t>SAIDI – System Average Interruption Duration Index (средняя продолжительность перерывов)</w:t>
      </w:r>
    </w:p>
    <w:p>
      <w:pPr>
        <w:spacing w:before="0" w:after="0" w:line="360" w:lineRule="auto"/>
        <w:ind w:firstLine="0"/>
        <w:jc w:val="both"/>
      </w:pPr>
      <w:r>
        <w:rPr>
          <w:rFonts w:ascii="Times New Roman" w:hAnsi="Times New Roman"/>
          <w:b w:val="0"/>
          <w:i w:val="0"/>
          <w:color w:val="000000"/>
          <w:sz w:val="28"/>
        </w:rPr>
        <w:t>SAIFI – System Average Interruption Frequency Index (средняя частота перерывов)</w:t>
      </w:r>
    </w:p>
    <w:p>
      <w:pPr>
        <w:spacing w:before="0" w:after="0" w:line="360" w:lineRule="auto"/>
        <w:ind w:firstLine="0"/>
        <w:jc w:val="both"/>
      </w:pPr>
      <w:r>
        <w:rPr>
          <w:rFonts w:ascii="Times New Roman" w:hAnsi="Times New Roman"/>
          <w:b w:val="0"/>
          <w:i w:val="0"/>
          <w:color w:val="000000"/>
          <w:sz w:val="28"/>
        </w:rPr>
        <w:t>SCADA – Supervisory Control and Data Acquisition (диспетчерское управление и сбор данных)</w:t>
      </w:r>
    </w:p>
    <w:p>
      <w:pPr>
        <w:spacing w:before="0" w:after="0" w:line="360" w:lineRule="auto"/>
        <w:ind w:firstLine="0"/>
        <w:jc w:val="both"/>
      </w:pPr>
      <w:r>
        <w:rPr>
          <w:rFonts w:ascii="Times New Roman" w:hAnsi="Times New Roman"/>
          <w:b w:val="0"/>
          <w:i w:val="0"/>
          <w:color w:val="000000"/>
          <w:sz w:val="28"/>
        </w:rPr>
        <w:t>SPA – Single Page Application (одностраничное веб-приложение)</w:t>
      </w:r>
    </w:p>
    <w:p>
      <w:pPr>
        <w:spacing w:before="0" w:after="0" w:line="360" w:lineRule="auto"/>
        <w:ind w:firstLine="0"/>
        <w:jc w:val="both"/>
      </w:pPr>
      <w:r>
        <w:rPr>
          <w:rFonts w:ascii="Times New Roman" w:hAnsi="Times New Roman"/>
          <w:b w:val="0"/>
          <w:i w:val="0"/>
          <w:color w:val="000000"/>
          <w:sz w:val="28"/>
        </w:rPr>
        <w:t>SQL – Structured Query Language (язык структурированных запросов)</w:t>
      </w:r>
    </w:p>
    <w:p>
      <w:pPr>
        <w:spacing w:before="0" w:after="0" w:line="360" w:lineRule="auto"/>
        <w:ind w:firstLine="0"/>
        <w:jc w:val="both"/>
      </w:pPr>
      <w:r>
        <w:rPr>
          <w:rFonts w:ascii="Times New Roman" w:hAnsi="Times New Roman"/>
          <w:b w:val="0"/>
          <w:i w:val="0"/>
          <w:color w:val="000000"/>
          <w:sz w:val="28"/>
        </w:rPr>
        <w:t>TCP – Transmission Control Protocol (протокол управления передачей)</w:t>
      </w:r>
    </w:p>
    <w:p>
      <w:pPr>
        <w:spacing w:before="0" w:after="0" w:line="360" w:lineRule="auto"/>
        <w:ind w:firstLine="0"/>
        <w:jc w:val="both"/>
      </w:pPr>
      <w:r>
        <w:rPr>
          <w:rFonts w:ascii="Times New Roman" w:hAnsi="Times New Roman"/>
          <w:b w:val="0"/>
          <w:i w:val="0"/>
          <w:color w:val="000000"/>
          <w:sz w:val="28"/>
        </w:rPr>
        <w:t>VPN – Virtual Private Network (виртуальная частная сеть)</w:t>
      </w:r>
    </w:p>
    <w:p>
      <w:pPr>
        <w:spacing w:before="0" w:after="0" w:line="360" w:lineRule="auto"/>
        <w:ind w:firstLine="0"/>
        <w:jc w:val="both"/>
      </w:pPr>
      <w:r>
        <w:rPr>
          <w:rFonts w:ascii="Times New Roman" w:hAnsi="Times New Roman"/>
          <w:b w:val="0"/>
          <w:i w:val="0"/>
          <w:color w:val="000000"/>
          <w:sz w:val="28"/>
        </w:rPr>
        <w:t>WebSocket – протокол двунаправленной связи поверх TCP</w:t>
      </w:r>
    </w:p>
    <w:p>
      <w:bookmarkStart w:id="36" w:name="_bm_vvedenie"/>
      <w:pPr>
        <w:pageBreakBefore/>
        <w:spacing w:before="0" w:after="240" w:line="360" w:lineRule="auto"/>
        <w:ind w:firstLine="0"/>
        <w:jc w:val="center"/>
        <w:outlineLvl w:val="0"/>
      </w:pPr>
      <w:r>
        <w:rPr>
          <w:rFonts w:ascii="Times New Roman" w:hAnsi="Times New Roman"/>
          <w:b/>
          <w:color w:val="000000"/>
          <w:sz w:val="28"/>
        </w:rPr>
        <w:t>ВВЕДЕНИЕ</w:t>
      </w:r>
      <w:bookmarkEnd w:id="36"/>
    </w:p>
    <w:p>
      <w:pPr>
        <w:spacing w:before="0" w:after="0" w:line="360" w:lineRule="auto"/>
        <w:ind w:firstLine="709"/>
        <w:jc w:val="both"/>
      </w:pPr>
      <w:r>
        <w:rPr>
          <w:rFonts w:ascii="Times New Roman" w:hAnsi="Times New Roman"/>
          <w:b w:val="0"/>
          <w:i w:val="0"/>
          <w:color w:val="000000"/>
          <w:sz w:val="28"/>
        </w:rPr>
        <w:t>Современная электроэнергетика переживает период глубокой трансформации, обусловленной необходимостью повышения эффективности, надёжности и управляемости электрических сетей. Концепция Smart Grid, или интеллектуальных электрических сетей, предполагает масштабное внедрение цифровых технологий на всех уровнях энергосистемы — от генерации до потребления. Ключевым элементом этой трансформации является создание систем автоматизированного мониторинга и управления, позволяющих в режиме реального времени контролировать параметры электрической сети и оперативно реагировать на возникающие нештатные ситуации.</w:t>
      </w:r>
    </w:p>
    <w:p>
      <w:pPr>
        <w:spacing w:before="0" w:after="0" w:line="360" w:lineRule="auto"/>
        <w:ind w:firstLine="709"/>
        <w:jc w:val="both"/>
      </w:pPr>
      <w:r>
        <w:rPr>
          <w:rFonts w:ascii="Times New Roman" w:hAnsi="Times New Roman"/>
          <w:b w:val="0"/>
          <w:i w:val="0"/>
          <w:color w:val="000000"/>
          <w:sz w:val="28"/>
        </w:rPr>
        <w:t>Распределительные электрические сети напряжением 6–10 кВ являются наиболее протяжённым и в то же время наименее автоматизированным звеном энергосистемы. По данным ПАО «Россети», на долю распределительных сетей приходится более 70% от общей протяжённости электрических сетей в Российской Федерации, при этом уровень их цифровизации не превышает 15–20%. Именно в распределительных сетях среднего напряжения фиксируется наибольшее количество технологических нарушений: по статистике, более 60% аварийных отключений потребителей происходит на воздушных линиях 6–10 кВ.</w:t>
      </w:r>
    </w:p>
    <w:p>
      <w:pPr>
        <w:spacing w:before="0" w:after="0" w:line="360" w:lineRule="auto"/>
        <w:ind w:firstLine="709"/>
        <w:jc w:val="both"/>
      </w:pPr>
      <w:r>
        <w:rPr>
          <w:rFonts w:ascii="Times New Roman" w:hAnsi="Times New Roman"/>
          <w:b w:val="0"/>
          <w:i w:val="0"/>
          <w:color w:val="000000"/>
          <w:sz w:val="28"/>
        </w:rPr>
        <w:t>Государственная программа «Цифровая экономика Российской Федерации» и стратегия цифровой трансформации электросетевого комплекса, принятая ПАО «Россети», предусматривают масштабное внедрение систем телемеханики и автоматизации на распределительных сетях. Ключевым направлением является установка интеллектуальных коммутационных аппаратов — реклоузеров, оснащённых микропроцессорными блоками релейной защиты и автоматики, а также средствами телекоммуникации для интеграции в SCADA-системы диспетчерских центров.</w:t>
      </w:r>
    </w:p>
    <w:p>
      <w:pPr>
        <w:spacing w:before="0" w:after="0" w:line="360" w:lineRule="auto"/>
        <w:ind w:firstLine="709"/>
        <w:jc w:val="both"/>
      </w:pPr>
      <w:r>
        <w:rPr>
          <w:rFonts w:ascii="Times New Roman" w:hAnsi="Times New Roman"/>
          <w:b w:val="0"/>
          <w:i w:val="0"/>
          <w:color w:val="000000"/>
          <w:sz w:val="28"/>
        </w:rPr>
        <w:t>Мировой рынок технологий Smart Grid демонстрирует устойчивый рост. По оценкам аналитического агентства MarketsandMarkets, глобальный рынок Smart Grid увеличится с 43,1 млрд долларов в 2022 году до 103,4 млрд долларов к 2027 году при среднегодовом темпе роста (CAGR) 19,1%. В России рынок автоматизации электросетей также показывает положительную динамику, однако его развитие сдерживается рядом факторов, среди которых — зависимость от импортного программного обеспечения и оборудования, что особенно актуально в условиях современной геополитической ситуации.</w:t>
      </w:r>
    </w:p>
    <w:p>
      <w:pPr>
        <w:spacing w:before="0" w:after="0" w:line="360" w:lineRule="auto"/>
        <w:ind w:firstLine="709"/>
        <w:jc w:val="both"/>
      </w:pPr>
      <w:r>
        <w:rPr>
          <w:rFonts w:ascii="Times New Roman" w:hAnsi="Times New Roman"/>
          <w:b w:val="0"/>
          <w:i w:val="0"/>
          <w:color w:val="000000"/>
          <w:sz w:val="28"/>
        </w:rPr>
        <w:t>В контексте политики импортозамещения особую актуальность приобретает разработка отечественных программных решений для диспетчерского управления электрическими сетями. Существующие зарубежные SCADA-системы, такие как Siemens WinCC, ABB MicroSCADA и Schneider Electric ClearSCADA, обладают широкими функциональными возможностями, однако их использование сопряжено с рисками, связанными с ограничением технической поддержки, невозможностью получения обновлений и высокой стоимостью лицензий. Отечественные аналоги, такие как MasterSCADA компании «ИнСАТ» и платформа «ЭНТЕК» компании «ТомскСофт», активно развиваются, однако имеют определённые ограничения в части функциональности и масштабируемости.</w:t>
      </w:r>
    </w:p>
    <w:p>
      <w:pPr>
        <w:spacing w:before="0" w:after="0" w:line="360" w:lineRule="auto"/>
        <w:ind w:firstLine="709"/>
        <w:jc w:val="both"/>
      </w:pPr>
      <w:r>
        <w:rPr>
          <w:rFonts w:ascii="Times New Roman" w:hAnsi="Times New Roman"/>
          <w:b w:val="0"/>
          <w:i w:val="0"/>
          <w:color w:val="000000"/>
          <w:sz w:val="28"/>
        </w:rPr>
        <w:t>Вопросам автоматизации и мониторинга электрических сетей посвящены работы отечественных и зарубежных учёных. Теоретические основы построения SCADA-систем для энергетики рассмотрены в трудах А.В. Мелёхина, В.Г. Китушина, Ю.Н. Кучерова. Проблемы телемеханизации распределительных сетей исследованы в работах И.И. Левченко, Е.Н. Засыпкина, А.Г. Фишова. Вопросы применения протоколов телемеханики, включая МЭК 60870-5-104, детально рассмотрены в работах С.А. Ерошенко, А.И. Таджибаева. Зарубежные исследования в области Smart Grid представлены трудами X. Fang, S. Misra, G. Xue, D. Yang, а также в стандартах IEEE и IEC.</w:t>
      </w:r>
    </w:p>
    <w:p>
      <w:pPr>
        <w:spacing w:before="0" w:after="0" w:line="360" w:lineRule="auto"/>
        <w:ind w:firstLine="709"/>
        <w:jc w:val="both"/>
      </w:pPr>
      <w:r>
        <w:rPr>
          <w:rFonts w:ascii="Times New Roman" w:hAnsi="Times New Roman"/>
          <w:b w:val="0"/>
          <w:i w:val="0"/>
          <w:color w:val="000000"/>
          <w:sz w:val="28"/>
        </w:rPr>
        <w:t>Тем не менее, вопросы практической реализации систем мониторинга для конкретных конфигураций распределительных сетей 6–10 кВ с учётом специфики отечественной элементной базы и нормативных требований остаются недостаточно проработанными. Существующие исследования преимущественно носят теоретический характер и не содержат конкретных решений, пригодных для непосредственного внедрения.</w:t>
      </w:r>
    </w:p>
    <w:p>
      <w:pPr>
        <w:spacing w:before="0" w:after="0" w:line="360" w:lineRule="auto"/>
        <w:ind w:firstLine="709"/>
        <w:jc w:val="both"/>
      </w:pPr>
      <w:r>
        <w:rPr>
          <w:rFonts w:ascii="Times New Roman" w:hAnsi="Times New Roman"/>
          <w:b w:val="0"/>
          <w:i w:val="0"/>
          <w:color w:val="000000"/>
          <w:sz w:val="28"/>
        </w:rPr>
        <w:t>Объектом исследования является автоматизированный участок воздушной линии электропередачи напряжением 6–10 кВ, оснащённый реклоузерами и интегрированный в SCADA-систему диспетчерского центра.</w:t>
      </w:r>
    </w:p>
    <w:p>
      <w:pPr>
        <w:spacing w:before="0" w:after="0" w:line="360" w:lineRule="auto"/>
        <w:ind w:firstLine="709"/>
        <w:jc w:val="both"/>
      </w:pPr>
      <w:r>
        <w:rPr>
          <w:rFonts w:ascii="Times New Roman" w:hAnsi="Times New Roman"/>
          <w:b w:val="0"/>
          <w:i w:val="0"/>
          <w:color w:val="000000"/>
          <w:sz w:val="28"/>
        </w:rPr>
        <w:t>Предметом исследования являются методы и средства мониторинга параметров воздушной линии 6–10 кВ, архитектура системы сбора и обработки телеметрических данных, а также протоколы информационного обмена между полевыми устройствами и диспетчерским центром.</w:t>
      </w:r>
    </w:p>
    <w:p>
      <w:pPr>
        <w:spacing w:before="0" w:after="0" w:line="360" w:lineRule="auto"/>
        <w:ind w:firstLine="709"/>
        <w:jc w:val="both"/>
      </w:pPr>
      <w:r>
        <w:rPr>
          <w:rFonts w:ascii="Times New Roman" w:hAnsi="Times New Roman"/>
          <w:b w:val="0"/>
          <w:i w:val="0"/>
          <w:color w:val="000000"/>
          <w:sz w:val="28"/>
        </w:rPr>
        <w:t>Целью работы является разработка и исследование прототипа системы мониторинга автоматизированного участка воздушной линии 6–10 кВ для интеграции в SCADA-систему с учётом требований к надёжности, быстродействию и перспектив практического внедрения.</w:t>
      </w:r>
    </w:p>
    <w:p>
      <w:pPr>
        <w:spacing w:before="0" w:after="0" w:line="360" w:lineRule="auto"/>
        <w:ind w:firstLine="709"/>
        <w:jc w:val="both"/>
      </w:pPr>
      <w:r>
        <w:rPr>
          <w:rFonts w:ascii="Times New Roman" w:hAnsi="Times New Roman"/>
          <w:b w:val="0"/>
          <w:i w:val="0"/>
          <w:color w:val="000000"/>
          <w:sz w:val="28"/>
        </w:rPr>
        <w:t>Для достижения поставленной цели сформулированы следующие задачи:</w:t>
      </w:r>
    </w:p>
    <w:p>
      <w:pPr>
        <w:spacing w:before="0" w:after="0" w:line="360" w:lineRule="auto"/>
        <w:ind w:firstLine="709"/>
        <w:jc w:val="both"/>
      </w:pPr>
      <w:r>
        <w:rPr>
          <w:rFonts w:ascii="Times New Roman" w:hAnsi="Times New Roman"/>
          <w:color w:val="000000"/>
          <w:sz w:val="28"/>
        </w:rPr>
        <w:t>– провести анализ существующих SCADA-систем, применяемых в распределительных электрических сетях, и выявить их особенности при использовании на воздушных линиях 6–10 кВ;</w:t>
      </w:r>
    </w:p>
    <w:p>
      <w:pPr>
        <w:spacing w:before="0" w:after="0" w:line="360" w:lineRule="auto"/>
        <w:ind w:firstLine="709"/>
        <w:jc w:val="both"/>
      </w:pPr>
      <w:r>
        <w:rPr>
          <w:rFonts w:ascii="Times New Roman" w:hAnsi="Times New Roman"/>
          <w:color w:val="000000"/>
          <w:sz w:val="28"/>
        </w:rPr>
        <w:t>– сформулировать требования к системе мониторинга автоматизированного участка воздушной линии с учётом нормативной документации и отраслевых стандартов;</w:t>
      </w:r>
    </w:p>
    <w:p>
      <w:pPr>
        <w:spacing w:before="0" w:after="0" w:line="360" w:lineRule="auto"/>
        <w:ind w:firstLine="709"/>
        <w:jc w:val="both"/>
      </w:pPr>
      <w:r>
        <w:rPr>
          <w:rFonts w:ascii="Times New Roman" w:hAnsi="Times New Roman"/>
          <w:color w:val="000000"/>
          <w:sz w:val="28"/>
        </w:rPr>
        <w:t>– разработать архитектуру системы мониторинга, включающую полевой, коммуникационный и диспетчерский уровни;</w:t>
      </w:r>
    </w:p>
    <w:p>
      <w:pPr>
        <w:spacing w:before="0" w:after="0" w:line="360" w:lineRule="auto"/>
        <w:ind w:firstLine="709"/>
        <w:jc w:val="both"/>
      </w:pPr>
      <w:r>
        <w:rPr>
          <w:rFonts w:ascii="Times New Roman" w:hAnsi="Times New Roman"/>
          <w:color w:val="000000"/>
          <w:sz w:val="28"/>
        </w:rPr>
        <w:t>– реализовать программный прототип системы с использованием протокола МЭК 60870-5-104 и провести его тестирование;</w:t>
      </w:r>
    </w:p>
    <w:p>
      <w:pPr>
        <w:spacing w:before="0" w:after="0" w:line="360" w:lineRule="auto"/>
        <w:ind w:firstLine="709"/>
        <w:jc w:val="both"/>
      </w:pPr>
      <w:r>
        <w:rPr>
          <w:rFonts w:ascii="Times New Roman" w:hAnsi="Times New Roman"/>
          <w:color w:val="000000"/>
          <w:sz w:val="28"/>
        </w:rPr>
        <w:t>– выполнить оценку эффективности разработанного решения и провести сравнительный анализ с существующими коммерческими SCADA-системами;</w:t>
      </w:r>
    </w:p>
    <w:p>
      <w:pPr>
        <w:spacing w:before="0" w:after="0" w:line="360" w:lineRule="auto"/>
        <w:ind w:firstLine="709"/>
        <w:jc w:val="both"/>
      </w:pPr>
      <w:r>
        <w:rPr>
          <w:rFonts w:ascii="Times New Roman" w:hAnsi="Times New Roman"/>
          <w:color w:val="000000"/>
          <w:sz w:val="28"/>
        </w:rPr>
        <w:t>– проанализировать рыночные тенденции и перспективы внедрения разработанного решения с учётом курса на импортозамещение.</w:t>
      </w:r>
    </w:p>
    <w:p>
      <w:pPr>
        <w:spacing w:before="0" w:after="0" w:line="360" w:lineRule="auto"/>
        <w:ind w:firstLine="709"/>
        <w:jc w:val="both"/>
      </w:pPr>
      <w:r>
        <w:rPr>
          <w:rFonts w:ascii="Times New Roman" w:hAnsi="Times New Roman"/>
          <w:b w:val="0"/>
          <w:i w:val="0"/>
          <w:color w:val="000000"/>
          <w:sz w:val="28"/>
        </w:rPr>
        <w:t>Научная новизна работы заключается в следующем: предложена оригинальная архитектура системы мониторинга, адаптированная для типовых конфигураций воздушных линий 6–10 кВ российских распределительных сетей; разработана методика оценки эффективности внедрения SCADA-систем на основе показателей надёжности электроснабжения (SAIDI, SAIFI); выполнен сравнительный анализ отечественных и зарубежных SCADA-платформ применительно к задачам автоматизации распределительных сетей среднего напряжения.</w:t>
      </w:r>
    </w:p>
    <w:p>
      <w:pPr>
        <w:spacing w:before="0" w:after="0" w:line="360" w:lineRule="auto"/>
        <w:ind w:firstLine="709"/>
        <w:jc w:val="both"/>
      </w:pPr>
      <w:r>
        <w:rPr>
          <w:rFonts w:ascii="Times New Roman" w:hAnsi="Times New Roman"/>
          <w:b w:val="0"/>
          <w:i w:val="0"/>
          <w:color w:val="000000"/>
          <w:sz w:val="28"/>
        </w:rPr>
        <w:t>В работе использованы методы системного анализа, объектно-ориентированного проектирования, имитационного моделирования, а также методы статистического анализа для обработки данных о технологических нарушениях в распределительных сетях. При разработке программного прототипа применены принципы модульной архитектуры и микросервисного проектирования.</w:t>
      </w:r>
    </w:p>
    <w:p>
      <w:pPr>
        <w:spacing w:before="0" w:after="0" w:line="360" w:lineRule="auto"/>
        <w:ind w:firstLine="709"/>
        <w:jc w:val="both"/>
      </w:pPr>
      <w:r>
        <w:rPr>
          <w:rFonts w:ascii="Times New Roman" w:hAnsi="Times New Roman"/>
          <w:b w:val="0"/>
          <w:i w:val="0"/>
          <w:color w:val="000000"/>
          <w:sz w:val="28"/>
        </w:rPr>
        <w:t>На защиту выносятся следующие положения:</w:t>
      </w:r>
    </w:p>
    <w:p>
      <w:pPr>
        <w:spacing w:before="0" w:after="0" w:line="360" w:lineRule="auto"/>
        <w:ind w:firstLine="709"/>
        <w:jc w:val="both"/>
      </w:pPr>
      <w:r>
        <w:rPr>
          <w:rFonts w:ascii="Times New Roman" w:hAnsi="Times New Roman"/>
          <w:color w:val="000000"/>
          <w:sz w:val="28"/>
        </w:rPr>
        <w:t>– трёхуровневая архитектура системы мониторинга автоматизированного участка ВЛ 6–10 кВ, обеспечивающая интеграцию полевого оборудования с диспетчерским центром;</w:t>
      </w:r>
    </w:p>
    <w:p>
      <w:pPr>
        <w:spacing w:before="0" w:after="0" w:line="360" w:lineRule="auto"/>
        <w:ind w:firstLine="709"/>
        <w:jc w:val="both"/>
      </w:pPr>
      <w:r>
        <w:rPr>
          <w:rFonts w:ascii="Times New Roman" w:hAnsi="Times New Roman"/>
          <w:color w:val="000000"/>
          <w:sz w:val="28"/>
        </w:rPr>
        <w:t>– программный прототип SCADA-системы, реализующий сбор, хранение и визуализацию телеметрических данных по протоколу МЭК 60870-5-104;</w:t>
      </w:r>
    </w:p>
    <w:p>
      <w:pPr>
        <w:spacing w:before="0" w:after="0" w:line="360" w:lineRule="auto"/>
        <w:ind w:firstLine="709"/>
        <w:jc w:val="both"/>
      </w:pPr>
      <w:r>
        <w:rPr>
          <w:rFonts w:ascii="Times New Roman" w:hAnsi="Times New Roman"/>
          <w:color w:val="000000"/>
          <w:sz w:val="28"/>
        </w:rPr>
        <w:t>– результаты сравнительного анализа разработанного прототипа с коммерческими SCADA-системами и оценка экономической эффективности внедрения.</w:t>
      </w:r>
    </w:p>
    <w:p>
      <w:pPr>
        <w:spacing w:before="0" w:after="0" w:line="360" w:lineRule="auto"/>
        <w:ind w:firstLine="709"/>
        <w:jc w:val="both"/>
      </w:pPr>
      <w:r>
        <w:rPr>
          <w:rFonts w:ascii="Times New Roman" w:hAnsi="Times New Roman"/>
          <w:b w:val="0"/>
          <w:i w:val="0"/>
          <w:color w:val="000000"/>
          <w:sz w:val="28"/>
        </w:rPr>
        <w:t>Практическая значимость работы определяется возможностью использования разработанного прототипа в качестве основы для создания промышленной SCADA-системы для мониторинга распределительных сетей 6–10 кВ. Результаты исследования могут быть использованы проектными организациями при разработке проектов автоматизации электрических сетей, а также электросетевыми компаниями при выборе и внедрении систем диспетчерского управления.</w:t>
      </w:r>
    </w:p>
    <w:p>
      <w:pPr>
        <w:spacing w:before="0" w:after="0" w:line="360" w:lineRule="auto"/>
        <w:ind w:firstLine="709"/>
        <w:jc w:val="both"/>
      </w:pPr>
      <w:r>
        <w:rPr>
          <w:rFonts w:ascii="Times New Roman" w:hAnsi="Times New Roman"/>
          <w:b w:val="0"/>
          <w:i w:val="0"/>
          <w:color w:val="000000"/>
          <w:sz w:val="28"/>
        </w:rPr>
        <w:t>Работа состоит из введения, четырёх глав, заключения, списка использованных источников и приложений. В первой главе проведён анализ SCADA-систем в распределительных электрических сетях. Во второй главе разработана архитектура системы мониторинга. В третьей главе описана разработка прототипа SCADA-системы. В четвёртой главе проведена оценка эффективности и рассмотрены перспективы внедрения.</w:t>
      </w:r>
    </w:p>
    <w:p>
      <w:pPr>
        <w:spacing w:before="0" w:after="0" w:line="360" w:lineRule="auto"/>
        <w:ind w:firstLine="709"/>
        <w:jc w:val="both"/>
      </w:pPr>
      <w:r>
        <w:rPr>
          <w:rFonts w:ascii="Times New Roman" w:hAnsi="Times New Roman"/>
          <w:b w:val="0"/>
          <w:i w:val="0"/>
          <w:color w:val="000000"/>
          <w:sz w:val="28"/>
        </w:rPr>
        <w:t>Актуальность данного исследования подтверждается также тем, что в условиях глобального энергетического перехода значительно возрастает роль распределённой генерации и возобновляемых источников энергии, интеграция которых в существующие распределительные сети требует принципиально нового уровня автоматизации и мониторинга. Распределённые энергоресурсы (солнечные электростанции, ветрогенераторы, накопители энергии) создают двунаправленные потоки мощности в распределительной сети, что существенно усложняет задачи управления и защиты. SCADA-системы нового поколения должны обеспечивать не только мониторинг состояния сети, но и адаптивное управление режимами работы с учётом переменного характера генерации.</w:t>
      </w:r>
    </w:p>
    <w:p>
      <w:pPr>
        <w:spacing w:before="0" w:after="0" w:line="360" w:lineRule="auto"/>
        <w:ind w:firstLine="709"/>
        <w:jc w:val="both"/>
      </w:pPr>
      <w:r>
        <w:rPr>
          <w:rFonts w:ascii="Times New Roman" w:hAnsi="Times New Roman"/>
          <w:b w:val="0"/>
          <w:i w:val="0"/>
          <w:color w:val="000000"/>
          <w:sz w:val="28"/>
        </w:rPr>
        <w:t>Следует также отметить, что проблема старения электросетевой инфраструктуры в Российской Федерации носит системный характер. По данным Министерства энергетики, износ распределительных сетей 6–10 кВ составляет в среднем 65–70%, а в отдельных регионах достигает 80%. В этих условиях системы мониторинга и диагностики приобретают особое значение, позволяя выявлять предаварийные состояния оборудования и планировать ремонтные работы на основе фактического технического состояния, а не по нормативным срокам.</w:t>
      </w:r>
    </w:p>
    <w:p>
      <w:pPr>
        <w:spacing w:before="0" w:after="0" w:line="360" w:lineRule="auto"/>
        <w:ind w:firstLine="709"/>
        <w:jc w:val="both"/>
      </w:pPr>
      <w:r>
        <w:rPr>
          <w:rFonts w:ascii="Times New Roman" w:hAnsi="Times New Roman"/>
          <w:b w:val="0"/>
          <w:i w:val="0"/>
          <w:color w:val="000000"/>
          <w:sz w:val="28"/>
        </w:rPr>
        <w:t>Методологической основой исследования являются принципы системного подхода к проектированию информационно-управляющих систем, методы объектно-ориентированного анализа и проектирования, теория надёжности технических систем, а также отечественные и международные стандарты в области автоматизации электроэнергетических объектов. В работе использованы методы сравнительного анализа, имитационного моделирования и экспертных оценок.</w:t>
      </w:r>
    </w:p>
    <w:p>
      <w:pPr>
        <w:spacing w:before="0" w:after="0" w:line="360" w:lineRule="auto"/>
        <w:ind w:firstLine="709"/>
        <w:jc w:val="both"/>
      </w:pPr>
      <w:r>
        <w:rPr>
          <w:rFonts w:ascii="Times New Roman" w:hAnsi="Times New Roman"/>
          <w:b w:val="0"/>
          <w:i w:val="0"/>
          <w:color w:val="000000"/>
          <w:sz w:val="28"/>
        </w:rPr>
        <w:t>Апробация результатов работы проведена в рамках учебно-исследовательской деятельности на кафедре информационных систем и технологий. Основные результаты и положения работы были представлены на внутриуниверситетском семинаре и получили положительные отзывы от специалистов в области автоматизации электроэнергетических объектов.</w:t>
      </w:r>
    </w:p>
    <w:p>
      <w:pPr>
        <w:spacing w:before="0" w:after="0" w:line="360" w:lineRule="auto"/>
        <w:ind w:firstLine="709"/>
        <w:jc w:val="both"/>
      </w:pPr>
      <w:r>
        <w:rPr>
          <w:rFonts w:ascii="Times New Roman" w:hAnsi="Times New Roman"/>
          <w:b w:val="0"/>
          <w:i w:val="0"/>
          <w:color w:val="000000"/>
          <w:sz w:val="28"/>
        </w:rPr>
        <w:t>Структура работы определена логикой исследования и состоит из введения, четырёх глав, заключения, списка использованных источников, включающего 30 наименований, и четырёх приложений. Общий объём работы составляет 75 страниц машинописного текста, включая 10 таблиц и 4 приложения с листингами программного кода.</w:t>
      </w:r>
    </w:p>
    <w:p>
      <w:pPr>
        <w:spacing w:before="0" w:after="0" w:line="360" w:lineRule="auto"/>
        <w:ind w:firstLine="709"/>
        <w:jc w:val="both"/>
      </w:pPr>
      <w:r>
        <w:rPr>
          <w:rFonts w:ascii="Times New Roman" w:hAnsi="Times New Roman"/>
          <w:b w:val="0"/>
          <w:i w:val="0"/>
          <w:color w:val="000000"/>
          <w:sz w:val="28"/>
        </w:rPr>
        <w:t>В первой главе «SCADA-системы в распределительных электрических сетях» проведён обзор и классификация существующих систем диспетчерского управления, рассмотрены их основные функции и области применения. Выполнен сравнительный анализ ведущих отечественных и зарубежных SCADA-платформ. Исследованы особенности применения SCADA-систем на воздушных линиях среднего напряжения и сформулированы требования к системам мониторинга на основе действующей нормативной базы.</w:t>
      </w:r>
    </w:p>
    <w:p>
      <w:pPr>
        <w:spacing w:before="0" w:after="0" w:line="360" w:lineRule="auto"/>
        <w:ind w:firstLine="709"/>
        <w:jc w:val="both"/>
      </w:pPr>
      <w:r>
        <w:rPr>
          <w:rFonts w:ascii="Times New Roman" w:hAnsi="Times New Roman"/>
          <w:b w:val="0"/>
          <w:i w:val="0"/>
          <w:color w:val="000000"/>
          <w:sz w:val="28"/>
        </w:rPr>
        <w:t>Во второй главе «Архитектура системы мониторинга автоматизированного участка воздушной линии» описана общая структура типового автоматизированного участка ВЛ 6–10 кВ, определены источники данных и измеряемые параметры, проведён анализ каналов связи. Разработана трёхуровневая архитектура системы мониторинга и определены требования к надёжности и отказоустойчивости.</w:t>
      </w:r>
    </w:p>
    <w:p>
      <w:pPr>
        <w:spacing w:before="0" w:after="0" w:line="360" w:lineRule="auto"/>
        <w:ind w:firstLine="709"/>
        <w:jc w:val="both"/>
      </w:pPr>
      <w:r>
        <w:rPr>
          <w:rFonts w:ascii="Times New Roman" w:hAnsi="Times New Roman"/>
          <w:b w:val="0"/>
          <w:i w:val="0"/>
          <w:color w:val="000000"/>
          <w:sz w:val="28"/>
        </w:rPr>
        <w:t>В третьей главе «Разработка прототипа SCADA-системы» представлены функциональные требования к прототипу, описана реализация обмена данными по протоколу МЭК 60870-5-104, спроектирована логическая структура базы данных и разработан интерфейс диспетчера.</w:t>
      </w:r>
    </w:p>
    <w:p>
      <w:pPr>
        <w:spacing w:before="0" w:after="0" w:line="360" w:lineRule="auto"/>
        <w:ind w:firstLine="709"/>
        <w:jc w:val="both"/>
      </w:pPr>
      <w:r>
        <w:rPr>
          <w:rFonts w:ascii="Times New Roman" w:hAnsi="Times New Roman"/>
          <w:b w:val="0"/>
          <w:i w:val="0"/>
          <w:color w:val="000000"/>
          <w:sz w:val="28"/>
        </w:rPr>
        <w:t>В четвёртой главе «Оценка эффективности и перспективы внедрения» проведено тестирование прототипа в различных режимах эксплуатации, выполнена оценка влияния на показатели надёжности электроснабжения, проведён сравнительный анализ с коммерческими решениями и оценены перспективы коммерциализации.</w:t>
      </w:r>
    </w:p>
    <w:p>
      <w:pPr>
        <w:spacing w:before="0" w:after="0" w:line="360" w:lineRule="auto"/>
        <w:ind w:firstLine="709"/>
        <w:jc w:val="both"/>
      </w:pPr>
      <w:r>
        <w:rPr>
          <w:rFonts w:ascii="Times New Roman" w:hAnsi="Times New Roman"/>
          <w:b w:val="0"/>
          <w:i w:val="0"/>
          <w:color w:val="000000"/>
          <w:sz w:val="28"/>
        </w:rPr>
        <w:t>Следует подчеркнуть, что в условиях нарастающей цифровизации энергетической отрасли Российской Федерации задача создания отечественных систем мониторинга приобретает стратегическое значение. Согласно данным Министерства энергетики РФ, на конец 2024 года уровень автоматизации распределительных сетей 6–10 кВ составляет не более 15–20 процентов, что существенно ниже аналогичных показателей в странах Европейского союза (60–70 процентов) и Северной Америки (50–60 процентов). Данное отставание обусловлено комплексом факторов: высокой стоимостью импортного оборудования и программного обеспечения, отсутствием достаточного количества квалифицированных специалистов в области промышленной автоматизации, а также слабой адаптацией существующих решений к специфическим условиям эксплуатации российских электрических сетей.</w:t>
      </w:r>
    </w:p>
    <w:p>
      <w:pPr>
        <w:spacing w:before="0" w:after="0" w:line="360" w:lineRule="auto"/>
        <w:ind w:firstLine="709"/>
        <w:jc w:val="both"/>
      </w:pPr>
      <w:r>
        <w:rPr>
          <w:rFonts w:ascii="Times New Roman" w:hAnsi="Times New Roman"/>
          <w:b w:val="0"/>
          <w:i w:val="0"/>
          <w:color w:val="000000"/>
          <w:sz w:val="28"/>
        </w:rPr>
        <w:t>Актуальность разработки отечественных SCADA-систем дополнительно подтверждается государственной политикой в области информационной безопасности критической инфраструктуры. Федеральный закон № 187-ФЗ от 26 июля 2017 года устанавливает требования к обеспечению безопасности значимых объектов критической информационной инфраструктуры, к которым относятся и системы электроснабжения. Использование зарубежного программного обеспечения для управления объектами электроэнергетики создаёт потенциальные риски, связанные с возможностью внешнего воздействия на критически важные системы. В этой связи разработка прототипа SCADA-системы на основе открытых технологий и отечественной элементной базы представляет не только научный, но и практический интерес с точки зрения обеспечения технологической независимости.</w:t>
      </w:r>
    </w:p>
    <w:p>
      <w:pPr>
        <w:spacing w:before="0" w:after="0" w:line="360" w:lineRule="auto"/>
        <w:ind w:firstLine="709"/>
        <w:jc w:val="both"/>
      </w:pPr>
      <w:r>
        <w:rPr>
          <w:rFonts w:ascii="Times New Roman" w:hAnsi="Times New Roman"/>
          <w:b w:val="0"/>
          <w:i w:val="0"/>
          <w:color w:val="000000"/>
          <w:sz w:val="28"/>
        </w:rPr>
        <w:t>Методологическую основу исследования составляют системный подход к проектированию распределённых систем управления, методы сравнительного анализа технических решений, а также принципы модульного проектирования программного обеспечения. При разработке архитектуры системы мониторинга использовались модели надёжности, основанные на теории вероятностей и математической статистике, что позволило обосновать выбор конфигурации системы с учётом требований к непрерывности функционирования. Для оценки экономической эффективности применён метод анализа затрат и выгод с учётом жизненного цикла системы.</w:t>
      </w:r>
    </w:p>
    <w:p>
      <w:bookmarkStart w:id="37" w:name="_bm_glava_1"/>
      <w:pPr>
        <w:pageBreakBefore/>
        <w:spacing w:before="0" w:after="240" w:line="360" w:lineRule="auto"/>
        <w:ind w:firstLine="709"/>
        <w:jc w:val="both"/>
        <w:outlineLvl w:val="0"/>
      </w:pPr>
      <w:r>
        <w:rPr>
          <w:rFonts w:ascii="Times New Roman" w:hAnsi="Times New Roman"/>
          <w:b/>
          <w:color w:val="000000"/>
          <w:sz w:val="28"/>
        </w:rPr>
        <w:t>Глава 1. SCADA-системы в распределительных электрических сетях</w:t>
      </w:r>
      <w:bookmarkEnd w:id="37"/>
    </w:p>
    <w:p>
      <w:bookmarkStart w:id="38" w:name="_bm_section_1_1"/>
      <w:pPr>
        <w:spacing w:before="240" w:after="120" w:line="360" w:lineRule="auto"/>
        <w:ind w:firstLine="709"/>
        <w:jc w:val="both"/>
        <w:outlineLvl w:val="1"/>
      </w:pPr>
      <w:r>
        <w:rPr>
          <w:rFonts w:ascii="Times New Roman" w:hAnsi="Times New Roman"/>
          <w:b/>
          <w:color w:val="000000"/>
          <w:sz w:val="28"/>
        </w:rPr>
        <w:t>1.1 Назначение и основные функции SCADA-систем</w:t>
      </w:r>
      <w:bookmarkEnd w:id="38"/>
    </w:p>
    <w:p>
      <w:pPr>
        <w:spacing w:before="0" w:after="0" w:line="360" w:lineRule="auto"/>
        <w:ind w:firstLine="709"/>
        <w:jc w:val="both"/>
      </w:pPr>
      <w:r>
        <w:rPr>
          <w:rFonts w:ascii="Times New Roman" w:hAnsi="Times New Roman"/>
          <w:b w:val="0"/>
          <w:i w:val="0"/>
          <w:color w:val="000000"/>
          <w:sz w:val="28"/>
        </w:rPr>
        <w:t>Системы диспетчерского управления и сбора данных (SCADA — Supervisory Control and Data Acquisition) представляют собой программно-аппаратные комплексы, предназначенные для автоматизированного мониторинга и управления технологическими процессами в режиме реального времени. В электроэнергетике SCADA-системы выполняют ключевую роль, обеспечивая централизованный контроль состояния электрической сети, управление коммутационными аппаратами и оперативное реагирование на аварийные ситуации [1].</w:t>
      </w:r>
    </w:p>
    <w:p>
      <w:pPr>
        <w:spacing w:before="0" w:after="0" w:line="360" w:lineRule="auto"/>
        <w:ind w:firstLine="709"/>
        <w:jc w:val="both"/>
      </w:pPr>
      <w:r>
        <w:rPr>
          <w:rFonts w:ascii="Times New Roman" w:hAnsi="Times New Roman"/>
          <w:b w:val="0"/>
          <w:i w:val="0"/>
          <w:color w:val="000000"/>
          <w:sz w:val="28"/>
        </w:rPr>
        <w:t>История развития систем телемеханики и диспетчерского управления в электроэнергетике насчитывает более семидесяти лет. Первые системы телемеханики, появившиеся в 1950–1960-х годах, обеспечивали лишь базовые функции телесигнализации и телеизмерений с использованием аналоговых каналов связи. Переход на цифровые технологии в 1980–1990-х годах привёл к появлению первых SCADA-систем, работающих на базе персональных компьютеров и локальных вычислительных сетей. Современные SCADA-системы представляют собой распределённые программные платформы с веб-интерфейсами, поддержкой множества протоколов телемеханики и возможностями интеграции с корпоративными информационными системами [2].</w:t>
      </w:r>
    </w:p>
    <w:p>
      <w:pPr>
        <w:spacing w:before="0" w:after="0" w:line="360" w:lineRule="auto"/>
        <w:ind w:firstLine="709"/>
        <w:jc w:val="both"/>
      </w:pPr>
      <w:r>
        <w:rPr>
          <w:rFonts w:ascii="Times New Roman" w:hAnsi="Times New Roman"/>
          <w:b w:val="0"/>
          <w:i w:val="0"/>
          <w:color w:val="000000"/>
          <w:sz w:val="28"/>
        </w:rPr>
        <w:t>Основными функциями SCADA-систем в электроэнергетике являются:</w:t>
      </w:r>
    </w:p>
    <w:p>
      <w:pPr>
        <w:spacing w:before="0" w:after="0" w:line="360" w:lineRule="auto"/>
        <w:ind w:firstLine="709"/>
        <w:jc w:val="both"/>
      </w:pPr>
      <w:r>
        <w:rPr>
          <w:rFonts w:ascii="Times New Roman" w:hAnsi="Times New Roman"/>
          <w:b w:val="0"/>
          <w:i w:val="0"/>
          <w:color w:val="000000"/>
          <w:sz w:val="28"/>
        </w:rPr>
        <w:t xml:space="preserve">Телеизмерения (ТИ) — </w:t>
      </w:r>
      <w:r>
        <w:rPr>
          <w:rFonts w:ascii="Times New Roman" w:hAnsi="Times New Roman"/>
          <w:b w:val="0"/>
          <w:i w:val="0"/>
          <w:color w:val="000000"/>
          <w:sz w:val="28"/>
        </w:rPr>
        <w:t>непрерывный сбор аналоговых параметров электрической сети, таких как напряжение, ток, активная и реактивная мощность, частота, температура оборудования. Данные телеизмерений передаются с заданной периодичностью (как правило, от 1 до 10 секунд) и используются для оценки текущего режима работы сети;</w:t>
      </w:r>
    </w:p>
    <w:p>
      <w:pPr>
        <w:spacing w:before="0" w:after="0" w:line="360" w:lineRule="auto"/>
        <w:ind w:firstLine="709"/>
        <w:jc w:val="both"/>
      </w:pPr>
      <w:r>
        <w:rPr>
          <w:rFonts w:ascii="Times New Roman" w:hAnsi="Times New Roman"/>
          <w:b w:val="0"/>
          <w:i w:val="0"/>
          <w:color w:val="000000"/>
          <w:sz w:val="28"/>
        </w:rPr>
        <w:t xml:space="preserve">Телесигнализация (ТС) — </w:t>
      </w:r>
      <w:r>
        <w:rPr>
          <w:rFonts w:ascii="Times New Roman" w:hAnsi="Times New Roman"/>
          <w:b w:val="0"/>
          <w:i w:val="0"/>
          <w:color w:val="000000"/>
          <w:sz w:val="28"/>
        </w:rPr>
        <w:t>передача дискретных сигналов о состоянии оборудования: положение коммутационных аппаратов (включён/отключён), срабатывание защитных устройств, состояние аварийной и предупредительной сигнализации. Телесигнализация передаётся по событию, то есть при изменении состояния контролируемого параметра;</w:t>
      </w:r>
    </w:p>
    <w:p>
      <w:pPr>
        <w:spacing w:before="0" w:after="0" w:line="360" w:lineRule="auto"/>
        <w:ind w:firstLine="709"/>
        <w:jc w:val="both"/>
      </w:pPr>
      <w:r>
        <w:rPr>
          <w:rFonts w:ascii="Times New Roman" w:hAnsi="Times New Roman"/>
          <w:b w:val="0"/>
          <w:i w:val="0"/>
          <w:color w:val="000000"/>
          <w:sz w:val="28"/>
        </w:rPr>
        <w:t xml:space="preserve">Телеуправление (ТУ) — </w:t>
      </w:r>
      <w:r>
        <w:rPr>
          <w:rFonts w:ascii="Times New Roman" w:hAnsi="Times New Roman"/>
          <w:b w:val="0"/>
          <w:i w:val="0"/>
          <w:color w:val="000000"/>
          <w:sz w:val="28"/>
        </w:rPr>
        <w:t>дистанционное управление коммутационными аппаратами из диспетчерского центра, включая включение и отключение выключателей, переключение секций шин, управление устройствами регулирования напряжения. Команды телеуправления выполняются с обязательной проверкой (квитированием) для предотвращения ложных срабатываний;</w:t>
      </w:r>
    </w:p>
    <w:p>
      <w:pPr>
        <w:spacing w:before="0" w:after="0" w:line="360" w:lineRule="auto"/>
        <w:ind w:firstLine="709"/>
        <w:jc w:val="both"/>
      </w:pPr>
      <w:r>
        <w:rPr>
          <w:rFonts w:ascii="Times New Roman" w:hAnsi="Times New Roman"/>
          <w:b w:val="0"/>
          <w:i w:val="0"/>
          <w:color w:val="000000"/>
          <w:sz w:val="28"/>
        </w:rPr>
        <w:t xml:space="preserve">Регистрация событий — </w:t>
      </w:r>
      <w:r>
        <w:rPr>
          <w:rFonts w:ascii="Times New Roman" w:hAnsi="Times New Roman"/>
          <w:b w:val="0"/>
          <w:i w:val="0"/>
          <w:color w:val="000000"/>
          <w:sz w:val="28"/>
        </w:rPr>
        <w:t>автоматическая фиксация всех изменений состояния оборудования, действий оперативного персонала и срабатываний защитных устройств с привязкой к точному времени. Журнал событий используется для анализа причин аварий и оценки действий персонала;</w:t>
      </w:r>
    </w:p>
    <w:p>
      <w:pPr>
        <w:spacing w:before="0" w:after="0" w:line="360" w:lineRule="auto"/>
        <w:ind w:firstLine="709"/>
        <w:jc w:val="both"/>
      </w:pPr>
      <w:r>
        <w:rPr>
          <w:rFonts w:ascii="Times New Roman" w:hAnsi="Times New Roman"/>
          <w:b w:val="0"/>
          <w:i w:val="0"/>
          <w:color w:val="000000"/>
          <w:sz w:val="28"/>
        </w:rPr>
        <w:t xml:space="preserve">Архивирование данных — </w:t>
      </w:r>
      <w:r>
        <w:rPr>
          <w:rFonts w:ascii="Times New Roman" w:hAnsi="Times New Roman"/>
          <w:b w:val="0"/>
          <w:i w:val="0"/>
          <w:color w:val="000000"/>
          <w:sz w:val="28"/>
        </w:rPr>
        <w:t>долговременное хранение измеренных параметров и событий для последующего анализа, построения графиков и отчётов. Типичная глубина архива составляет от одного до пяти лет;</w:t>
      </w:r>
    </w:p>
    <w:p>
      <w:pPr>
        <w:spacing w:before="0" w:after="0" w:line="360" w:lineRule="auto"/>
        <w:ind w:firstLine="709"/>
        <w:jc w:val="both"/>
      </w:pPr>
      <w:r>
        <w:rPr>
          <w:rFonts w:ascii="Times New Roman" w:hAnsi="Times New Roman"/>
          <w:b w:val="0"/>
          <w:i w:val="0"/>
          <w:color w:val="000000"/>
          <w:sz w:val="28"/>
        </w:rPr>
        <w:t xml:space="preserve">Визуализация — </w:t>
      </w:r>
      <w:r>
        <w:rPr>
          <w:rFonts w:ascii="Times New Roman" w:hAnsi="Times New Roman"/>
          <w:b w:val="0"/>
          <w:i w:val="0"/>
          <w:color w:val="000000"/>
          <w:sz w:val="28"/>
        </w:rPr>
        <w:t>отображение мнемосхем электрической сети с анимацией состояния оборудования, числовыми значениями параметров и цветовой индикацией режимов работы. Мнемосхемы строятся иерархически: от обзорной схемы всей контролируемой территории до детальных схем отдельных подстанций и присоединений;</w:t>
      </w:r>
    </w:p>
    <w:p>
      <w:pPr>
        <w:spacing w:before="0" w:after="0" w:line="360" w:lineRule="auto"/>
        <w:ind w:firstLine="709"/>
        <w:jc w:val="both"/>
      </w:pPr>
      <w:r>
        <w:rPr>
          <w:rFonts w:ascii="Times New Roman" w:hAnsi="Times New Roman"/>
          <w:b w:val="0"/>
          <w:i w:val="0"/>
          <w:color w:val="000000"/>
          <w:sz w:val="28"/>
        </w:rPr>
        <w:t xml:space="preserve">Аварийная сигнализация (алармы) — </w:t>
      </w:r>
      <w:r>
        <w:rPr>
          <w:rFonts w:ascii="Times New Roman" w:hAnsi="Times New Roman"/>
          <w:b w:val="0"/>
          <w:i w:val="0"/>
          <w:color w:val="000000"/>
          <w:sz w:val="28"/>
        </w:rPr>
        <w:t>автоматическое формирование предупреждающих и аварийных сигналов при выходе контролируемых параметров за установленные пределы (уставки). Система алармов обеспечивает оперативное информирование диспетчера о нештатных ситуациях с возможностью приоритезации и квитирования сообщений.</w:t>
      </w:r>
    </w:p>
    <w:p>
      <w:pPr>
        <w:spacing w:before="0" w:after="0" w:line="360" w:lineRule="auto"/>
        <w:ind w:firstLine="709"/>
        <w:jc w:val="both"/>
      </w:pPr>
      <w:r>
        <w:rPr>
          <w:rFonts w:ascii="Times New Roman" w:hAnsi="Times New Roman"/>
          <w:b w:val="0"/>
          <w:i w:val="0"/>
          <w:color w:val="000000"/>
          <w:sz w:val="28"/>
        </w:rPr>
        <w:t>Помимо перечисленных базовых функций, современные SCADA-системы реализуют ряд дополнительных возможностей: автоматическое определение места повреждения на линии (ОМП), расчёт потерь электроэнергии, контроль качества электроэнергии по показателям ГОСТ 32144-2013, интеграцию с геоинформационными системами (ГИС) для отображения объектов на карте местности, а также поддержку удалённого доступа через веб-интерфейс для мобильных бригад [3].</w:t>
      </w:r>
    </w:p>
    <w:p>
      <w:pPr>
        <w:spacing w:before="0" w:after="0" w:line="360" w:lineRule="auto"/>
        <w:ind w:firstLine="709"/>
        <w:jc w:val="both"/>
      </w:pPr>
      <w:r>
        <w:rPr>
          <w:rFonts w:ascii="Times New Roman" w:hAnsi="Times New Roman"/>
          <w:b w:val="0"/>
          <w:i w:val="0"/>
          <w:color w:val="000000"/>
          <w:sz w:val="28"/>
        </w:rPr>
        <w:t>Важным аспектом функционирования SCADA-систем является обеспечение информационной безопасности. В соответствии с требованиями Федерального закона № 187-ФЗ «О безопасности критической информационной инфраструктуры Российской Федерации» и приказами ФСТЭК России, системы управления объектами электроэнергетики относятся к значимым объектам критической информационной инфраструктуры и подлежат обязательной категорированию и защите. SCADA-системы должны обеспечивать разграничение доступа, аутентификацию пользователей, шифрование каналов связи и протоколирование всех действий оперативного персонала [4].</w:t>
      </w:r>
    </w:p>
    <w:p>
      <w:pPr>
        <w:spacing w:before="0" w:after="0" w:line="360" w:lineRule="auto"/>
        <w:ind w:firstLine="709"/>
        <w:jc w:val="both"/>
      </w:pPr>
      <w:r>
        <w:rPr>
          <w:rFonts w:ascii="Times New Roman" w:hAnsi="Times New Roman"/>
          <w:b w:val="0"/>
          <w:i w:val="0"/>
          <w:color w:val="000000"/>
          <w:sz w:val="28"/>
        </w:rPr>
        <w:t>Эволюция систем диспетчерского управления в электроэнергетике может быть условно разделена на четыре поколения. Первое поколение (1960–1970-е годы) представляло собой аналоговые системы телемеханики на базе релейных и полупроводниковых элементов, использовавших выделенные проводные каналы связи для передачи телеизмерений и телесигналов. Информация отображалась на диспетчерских щитах с помощью стрелочных приборов и световых индикаторов. Второе поколение (1980-е годы) характеризуется появлением микропроцессорных устройств телемеханики и первых программных SCADA-систем, работавших на базе мини-компьютеров. Третье поколение (1990–2000-е годы) связано с переходом на персональные компьютеры, локальные вычислительные сети и стандартные операционные системы (Windows, Unix), что значительно расширило функциональные возможности и упростило обслуживание систем. Четвёртое, современное поколение (с 2010-х годов) отличается применением веб-технологий, облачных платформ, промышленного Интернета вещей (IIoT) и элементов искусственного интеллекта для предиктивной аналитики.</w:t>
      </w:r>
    </w:p>
    <w:p>
      <w:pPr>
        <w:spacing w:before="0" w:after="0" w:line="360" w:lineRule="auto"/>
        <w:ind w:firstLine="709"/>
        <w:jc w:val="both"/>
      </w:pPr>
      <w:r>
        <w:rPr>
          <w:rFonts w:ascii="Times New Roman" w:hAnsi="Times New Roman"/>
          <w:b w:val="0"/>
          <w:i w:val="0"/>
          <w:color w:val="000000"/>
          <w:sz w:val="28"/>
        </w:rPr>
        <w:t>Отдельного внимания заслуживает роль SCADA-систем в обеспечении энергетической безопасности государства. В соответствии с Доктриной энергетической безопасности Российской Федерации, утверждённой Указом Президента от 13.05.2019 № 216, одним из ключевых факторов обеспечения энергетической безопасности является поддержание надёжного и устойчивого функционирования энергетической инфраструктуры, что невозможно без развитых систем мониторинга и диспетчерского управления.</w:t>
      </w:r>
    </w:p>
    <w:p>
      <w:pPr>
        <w:spacing w:before="0" w:after="0" w:line="360" w:lineRule="auto"/>
        <w:ind w:firstLine="709"/>
        <w:jc w:val="both"/>
      </w:pPr>
      <w:r>
        <w:rPr>
          <w:rFonts w:ascii="Times New Roman" w:hAnsi="Times New Roman"/>
          <w:b w:val="0"/>
          <w:i w:val="0"/>
          <w:color w:val="000000"/>
          <w:sz w:val="28"/>
        </w:rPr>
        <w:t>В контексте стандартизации следует отметить, что архитектура современных SCADA-систем в электроэнергетике определяется рядом международных стандартов. Стандарт МЭК 61968/61970 (CIM — Common Information Model) определяет общую информационную модель электрической сети, обеспечивающую интероперабельность между различными информационными системами энергетического предприятия. Стандарт МЭК 62351 определяет требования к информационной безопасности систем управления электроэнергетическими объектами. Стандарт МЭК 61850 определяет архитектуру систем автоматизации подстанций, включая модели данных, протоколы связи и требования к конфигурированию.</w:t>
      </w:r>
    </w:p>
    <w:p>
      <w:pPr>
        <w:spacing w:before="0" w:after="0" w:line="360" w:lineRule="auto"/>
        <w:ind w:firstLine="709"/>
        <w:jc w:val="both"/>
      </w:pPr>
      <w:r>
        <w:rPr>
          <w:rFonts w:ascii="Times New Roman" w:hAnsi="Times New Roman"/>
          <w:b w:val="0"/>
          <w:i w:val="0"/>
          <w:color w:val="000000"/>
          <w:sz w:val="28"/>
        </w:rPr>
        <w:t>Рассмотрим более подробно архитектурные компоненты типичной SCADA-системы для электроэнергетики. Современная SCADA-система включает следующие основные подсистемы: подсистема сбора данных (Data Acquisition Subsystem), подсистема обработки и хранения данных (Data Processing and Storage Subsystem), подсистема визуализации и операторского интерфейса (HMI Subsystem), подсистема управления (Control Subsystem), подсистема сигнализации и событий (Alarm and Event Subsystem), подсистема отчётности (Reporting Subsystem) и подсистема обеспечения информационной безопасности (Security Subsystem).</w:t>
      </w:r>
    </w:p>
    <w:p>
      <w:pPr>
        <w:spacing w:before="0" w:after="0" w:line="360" w:lineRule="auto"/>
        <w:ind w:firstLine="709"/>
        <w:jc w:val="both"/>
      </w:pPr>
      <w:r>
        <w:rPr>
          <w:rFonts w:ascii="Times New Roman" w:hAnsi="Times New Roman"/>
          <w:b w:val="0"/>
          <w:i w:val="0"/>
          <w:color w:val="000000"/>
          <w:sz w:val="28"/>
        </w:rPr>
        <w:t>Подсистема сбора данных обеспечивает приём информации от контролируемых объектов по различным протоколам телемеханики. В электроэнергетике основными протоколами являются: МЭК 60870-5-101 (последовательные каналы связи), МЭК 60870-5-104 (сети TCP/IP), МЭК 61850 (цифровые подстанции), DNP3 (распространён в Северной Америке), Modbus RTU/TCP (промышленная автоматика). Подсистема сбора данных должна обеспечивать одновременную работу с множеством протоколов и устройств, буферизацию данных при временной потере связи и автоматическое восстановление соединений.</w:t>
      </w:r>
    </w:p>
    <w:p>
      <w:pPr>
        <w:spacing w:before="0" w:after="0" w:line="360" w:lineRule="auto"/>
        <w:ind w:firstLine="709"/>
        <w:jc w:val="both"/>
      </w:pPr>
      <w:r>
        <w:rPr>
          <w:rFonts w:ascii="Times New Roman" w:hAnsi="Times New Roman"/>
          <w:b w:val="0"/>
          <w:i w:val="0"/>
          <w:color w:val="000000"/>
          <w:sz w:val="28"/>
        </w:rPr>
        <w:t>Подсистема обработки и хранения данных выполняет пересчёт измерений (приведение к первичным величинам с учётом коэффициентов трансформации), проверку достоверности (валидация диапазонов, контроль скорости изменения, перекрёстная проверка), расчёт производных параметров (мощности, энергии, несимметрии), запись в оперативную и архивную базы данных. Для хранения данных в промышленных SCADA-системах используются специализированные базы данных реального времени (historian): PI System компании OSIsoft (ныне AVEVA), Proficy Historian компании GE Digital, InSQL компании Wonderware. Эти системы оптимизированы для хранения больших объёмов временных рядов с высокой скоростью записи и эффективным сжатием.</w:t>
      </w:r>
    </w:p>
    <w:p>
      <w:pPr>
        <w:spacing w:before="0" w:after="0" w:line="360" w:lineRule="auto"/>
        <w:ind w:firstLine="709"/>
        <w:jc w:val="both"/>
      </w:pPr>
      <w:r>
        <w:rPr>
          <w:rFonts w:ascii="Times New Roman" w:hAnsi="Times New Roman"/>
          <w:b w:val="0"/>
          <w:i w:val="0"/>
          <w:color w:val="000000"/>
          <w:sz w:val="28"/>
        </w:rPr>
        <w:t>Подсистема сигнализации и событий является критически важным компонентом SCADA-системы, обеспечивающим оперативное информирование диспетчера о нештатных ситуациях. Согласно рекомендациям стандарта ISA-18.2 «Management of Alarm Systems for the Process Industries» и EEMUA Publication 191, система сигнализации должна обеспечивать: приоритезацию алармов (как минимум четыре уровня: критический, высокий, средний, низкий); подавление «лавины» алармов при каскадных отключениях; логическое группирование связанных сигналов; обязательное квитирование критических и высокоприоритетных алармов; статистический анализ частоты и распределения алармов для оптимизации уставок.</w:t>
      </w:r>
    </w:p>
    <w:p>
      <w:bookmarkStart w:id="39" w:name="_bm_section_1_2"/>
      <w:pPr>
        <w:spacing w:before="240" w:after="120" w:line="360" w:lineRule="auto"/>
        <w:ind w:firstLine="709"/>
        <w:jc w:val="both"/>
        <w:outlineLvl w:val="1"/>
      </w:pPr>
      <w:r>
        <w:rPr>
          <w:rFonts w:ascii="Times New Roman" w:hAnsi="Times New Roman"/>
          <w:b/>
          <w:color w:val="000000"/>
          <w:sz w:val="28"/>
        </w:rPr>
        <w:t>1.2 Классификация SCADA-систем и область их применения</w:t>
      </w:r>
      <w:bookmarkEnd w:id="39"/>
    </w:p>
    <w:p>
      <w:pPr>
        <w:spacing w:before="0" w:after="0" w:line="360" w:lineRule="auto"/>
        <w:ind w:firstLine="709"/>
        <w:jc w:val="both"/>
      </w:pPr>
      <w:r>
        <w:rPr>
          <w:rFonts w:ascii="Times New Roman" w:hAnsi="Times New Roman"/>
          <w:b w:val="0"/>
          <w:i w:val="0"/>
          <w:color w:val="000000"/>
          <w:sz w:val="28"/>
        </w:rPr>
        <w:t>SCADA-системы, применяемые в электроэнергетике, могут быть классифицированы по ряду признаков: архитектурному принципу построения, масштабу применения, типу используемых протоколов и степени открытости платформы [5].</w:t>
      </w:r>
    </w:p>
    <w:p>
      <w:pPr>
        <w:spacing w:before="0" w:after="0" w:line="360" w:lineRule="auto"/>
        <w:ind w:firstLine="709"/>
        <w:jc w:val="both"/>
      </w:pPr>
      <w:r>
        <w:rPr>
          <w:rFonts w:ascii="Times New Roman" w:hAnsi="Times New Roman"/>
          <w:b w:val="0"/>
          <w:i w:val="0"/>
          <w:color w:val="000000"/>
          <w:sz w:val="28"/>
        </w:rPr>
        <w:t>По архитектурному принципу построения различают следующие типы SCADA-систем:</w:t>
      </w:r>
    </w:p>
    <w:p>
      <w:pPr>
        <w:spacing w:before="0" w:after="0" w:line="360" w:lineRule="auto"/>
        <w:ind w:firstLine="709"/>
        <w:jc w:val="both"/>
      </w:pPr>
      <w:r>
        <w:rPr>
          <w:rFonts w:ascii="Times New Roman" w:hAnsi="Times New Roman"/>
          <w:b w:val="0"/>
          <w:i w:val="0"/>
          <w:color w:val="000000"/>
          <w:sz w:val="28"/>
        </w:rPr>
        <w:t xml:space="preserve">Монолитные (централизованные) системы. </w:t>
      </w:r>
      <w:r>
        <w:rPr>
          <w:rFonts w:ascii="Times New Roman" w:hAnsi="Times New Roman"/>
          <w:b w:val="0"/>
          <w:i w:val="0"/>
          <w:color w:val="000000"/>
          <w:sz w:val="28"/>
        </w:rPr>
        <w:t>представляют собой единый программный комплекс, установленный на одном сервере или рабочей станции. Все функции — сбор данных, обработка, визуализация и управление — выполняются в рамках одного приложения. К достоинствам монолитных систем относятся простота установки и настройки, низкие требования к вычислительным ресурсам. Основным недостатком является ограниченная масштабируемость и наличие единой точки отказа. Монолитные системы применяются на небольших объектах с количеством контролируемых параметров до нескольких сотен.</w:t>
      </w:r>
    </w:p>
    <w:p>
      <w:pPr>
        <w:spacing w:before="0" w:after="0" w:line="360" w:lineRule="auto"/>
        <w:ind w:firstLine="709"/>
        <w:jc w:val="both"/>
      </w:pPr>
      <w:r>
        <w:rPr>
          <w:rFonts w:ascii="Times New Roman" w:hAnsi="Times New Roman"/>
          <w:b w:val="0"/>
          <w:i w:val="0"/>
          <w:color w:val="000000"/>
          <w:sz w:val="28"/>
        </w:rPr>
        <w:t xml:space="preserve">Распределённые (клиент-серверные) системы. </w:t>
      </w:r>
      <w:r>
        <w:rPr>
          <w:rFonts w:ascii="Times New Roman" w:hAnsi="Times New Roman"/>
          <w:b w:val="0"/>
          <w:i w:val="0"/>
          <w:color w:val="000000"/>
          <w:sz w:val="28"/>
        </w:rPr>
        <w:t>строятся на основе архитектуры «клиент-сервер», где серверная часть отвечает за сбор и обработку данных, а клиентские приложения обеспечивают визуализацию и интерфейс оператора. Серверная часть может быть резервирована для обеспечения отказоустойчивости. Данный тип архитектуры является наиболее распространённым в современных SCADA-системах промышленного класса и позволяет обслуживать десятки тысяч контролируемых параметров.</w:t>
      </w:r>
    </w:p>
    <w:p>
      <w:pPr>
        <w:spacing w:before="0" w:after="0" w:line="360" w:lineRule="auto"/>
        <w:ind w:firstLine="709"/>
        <w:jc w:val="both"/>
      </w:pPr>
      <w:r>
        <w:rPr>
          <w:rFonts w:ascii="Times New Roman" w:hAnsi="Times New Roman"/>
          <w:b w:val="0"/>
          <w:i w:val="0"/>
          <w:color w:val="000000"/>
          <w:sz w:val="28"/>
        </w:rPr>
        <w:t xml:space="preserve">Веб-ориентированные системы. </w:t>
      </w:r>
      <w:r>
        <w:rPr>
          <w:rFonts w:ascii="Times New Roman" w:hAnsi="Times New Roman"/>
          <w:b w:val="0"/>
          <w:i w:val="0"/>
          <w:color w:val="000000"/>
          <w:sz w:val="28"/>
        </w:rPr>
        <w:t>используют технологии веб-приложений для предоставления пользовательского интерфейса через стандартный веб-браузер. Это обеспечивает возможность доступа к системе с любого устройства без установки специализированного клиентского программного обеспечения. Веб-ориентированные SCADA-системы активно развиваются в последние годы и особенно востребованы для мониторинга территориально распределённых объектов.</w:t>
      </w:r>
    </w:p>
    <w:p>
      <w:pPr>
        <w:spacing w:before="0" w:after="0" w:line="360" w:lineRule="auto"/>
        <w:ind w:firstLine="709"/>
        <w:jc w:val="both"/>
      </w:pPr>
      <w:r>
        <w:rPr>
          <w:rFonts w:ascii="Times New Roman" w:hAnsi="Times New Roman"/>
          <w:b w:val="0"/>
          <w:i w:val="0"/>
          <w:color w:val="000000"/>
          <w:sz w:val="28"/>
        </w:rPr>
        <w:t xml:space="preserve">Облачные (IoT-based) системы. </w:t>
      </w:r>
      <w:r>
        <w:rPr>
          <w:rFonts w:ascii="Times New Roman" w:hAnsi="Times New Roman"/>
          <w:b w:val="0"/>
          <w:i w:val="0"/>
          <w:color w:val="000000"/>
          <w:sz w:val="28"/>
        </w:rPr>
        <w:t>размещают серверную инфраструктуру в облачных дата-центрах и используют промышленный Интернет вещей (IIoT) для сбора данных от полевых устройств. Облачная архитектура обеспечивает практически неограниченную масштабируемость и снижение затрат на инфраструктуру, однако вызывает вопросы в части информационной безопасности и зависимости от каналов связи с дата-центром.</w:t>
      </w:r>
    </w:p>
    <w:p>
      <w:pPr>
        <w:spacing w:before="240" w:after="120" w:line="360" w:lineRule="auto"/>
        <w:ind w:firstLine="0"/>
        <w:jc w:val="left"/>
      </w:pPr>
      <w:r>
        <w:rPr>
          <w:rFonts w:ascii="Times New Roman" w:hAnsi="Times New Roman"/>
          <w:color w:val="000000"/>
          <w:sz w:val="28"/>
        </w:rPr>
        <w:t>Таблица 1 – Сравнительная характеристика SCADA-систем</w:t>
      </w:r>
    </w:p>
    <w:tbl>
      <w:tblPr>
        <w:tblStyle w:val="TableGrid"/>
        <w:tblW w:type="auto" w:w="0"/>
        <w:tblLook w:firstColumn="1" w:firstRow="1" w:lastColumn="0" w:lastRow="0" w:noHBand="0" w:noVBand="1" w:val="04A0"/>
        <w:tblW w:type="pct" w:w="5000"/>
      </w:tblPr>
      <w:tblGrid>
        <w:gridCol w:w="1871"/>
        <w:gridCol w:w="1871"/>
        <w:gridCol w:w="1871"/>
        <w:gridCol w:w="1871"/>
        <w:gridCol w:w="1871"/>
      </w:tblGrid>
      <w:tr>
        <w:tc>
          <w:tcPr>
            <w:tcW w:type="dxa" w:w="1871"/>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Характеристика</w:t>
            </w:r>
          </w:p>
        </w:tc>
        <w:tc>
          <w:tcPr>
            <w:tcW w:type="dxa" w:w="1871"/>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WinCC (Siemens)</w:t>
            </w:r>
          </w:p>
        </w:tc>
        <w:tc>
          <w:tcPr>
            <w:tcW w:type="dxa" w:w="1871"/>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MasterSCADA (ИнСАТ)</w:t>
            </w:r>
          </w:p>
        </w:tc>
        <w:tc>
          <w:tcPr>
            <w:tcW w:type="dxa" w:w="1871"/>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ClearSCADA (Schneider)</w:t>
            </w:r>
          </w:p>
        </w:tc>
        <w:tc>
          <w:tcPr>
            <w:tcW w:type="dxa" w:w="1871"/>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ЭНТЕК (ТомскСофт)</w:t>
            </w:r>
          </w:p>
        </w:tc>
      </w:tr>
      <w:tr>
        <w:tc>
          <w:tcPr>
            <w:tcW w:type="dxa" w:w="1871"/>
            <w:vAlign w:val="center"/>
            <w:tcMar>
              <w:top w:w="28" w:type="dxa"/>
              <w:bottom w:w="28" w:type="dxa"/>
              <w:left w:w="57" w:type="dxa"/>
              <w:right w:w="57" w:type="dxa"/>
            </w:tcMar>
          </w:tcPr>
          <w:p>
            <w:pPr>
              <w:spacing w:before="0" w:after="0" w:line="240" w:lineRule="auto"/>
              <w:ind w:firstLine="0"/>
              <w:jc w:val="left"/>
            </w:pPr>
            <w:r/>
            <w:r>
              <w:rPr>
                <w:rFonts w:ascii="Times New Roman" w:hAnsi="Times New Roman"/>
                <w:b w:val="0"/>
                <w:color w:val="000000"/>
                <w:sz w:val="28"/>
              </w:rPr>
              <w:t>Страна</w:t>
            </w:r>
          </w:p>
        </w:tc>
        <w:tc>
          <w:tcPr>
            <w:tcW w:type="dxa" w:w="1871"/>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Германия</w:t>
            </w:r>
          </w:p>
        </w:tc>
        <w:tc>
          <w:tcPr>
            <w:tcW w:type="dxa" w:w="1871"/>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Россия</w:t>
            </w:r>
          </w:p>
        </w:tc>
        <w:tc>
          <w:tcPr>
            <w:tcW w:type="dxa" w:w="1871"/>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Франция/Великобритания</w:t>
            </w:r>
          </w:p>
        </w:tc>
        <w:tc>
          <w:tcPr>
            <w:tcW w:type="dxa" w:w="1871"/>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Россия</w:t>
            </w:r>
          </w:p>
        </w:tc>
      </w:tr>
      <w:tr>
        <w:tc>
          <w:tcPr>
            <w:tcW w:type="dxa" w:w="1871"/>
            <w:vAlign w:val="center"/>
            <w:tcMar>
              <w:top w:w="28" w:type="dxa"/>
              <w:bottom w:w="28" w:type="dxa"/>
              <w:left w:w="57" w:type="dxa"/>
              <w:right w:w="57" w:type="dxa"/>
            </w:tcMar>
          </w:tcPr>
          <w:p>
            <w:pPr>
              <w:spacing w:before="0" w:after="0" w:line="240" w:lineRule="auto"/>
              <w:ind w:firstLine="0"/>
              <w:jc w:val="left"/>
            </w:pPr>
            <w:r/>
            <w:r>
              <w:rPr>
                <w:rFonts w:ascii="Times New Roman" w:hAnsi="Times New Roman"/>
                <w:b w:val="0"/>
                <w:color w:val="000000"/>
                <w:sz w:val="28"/>
              </w:rPr>
              <w:t>Архитектура</w:t>
            </w:r>
          </w:p>
        </w:tc>
        <w:tc>
          <w:tcPr>
            <w:tcW w:type="dxa" w:w="1871"/>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Клиент-сервер</w:t>
            </w:r>
          </w:p>
        </w:tc>
        <w:tc>
          <w:tcPr>
            <w:tcW w:type="dxa" w:w="1871"/>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Клиент-сервер</w:t>
            </w:r>
          </w:p>
        </w:tc>
        <w:tc>
          <w:tcPr>
            <w:tcW w:type="dxa" w:w="1871"/>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Клиент-сервер + веб</w:t>
            </w:r>
          </w:p>
        </w:tc>
        <w:tc>
          <w:tcPr>
            <w:tcW w:type="dxa" w:w="1871"/>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Клиент-сервер</w:t>
            </w:r>
          </w:p>
        </w:tc>
      </w:tr>
      <w:tr>
        <w:tc>
          <w:tcPr>
            <w:tcW w:type="dxa" w:w="1871"/>
            <w:vAlign w:val="center"/>
            <w:tcMar>
              <w:top w:w="28" w:type="dxa"/>
              <w:bottom w:w="28" w:type="dxa"/>
              <w:left w:w="57" w:type="dxa"/>
              <w:right w:w="57" w:type="dxa"/>
            </w:tcMar>
          </w:tcPr>
          <w:p>
            <w:pPr>
              <w:spacing w:before="0" w:after="0" w:line="240" w:lineRule="auto"/>
              <w:ind w:firstLine="0"/>
              <w:jc w:val="left"/>
            </w:pPr>
            <w:r/>
            <w:r>
              <w:rPr>
                <w:rFonts w:ascii="Times New Roman" w:hAnsi="Times New Roman"/>
                <w:b w:val="0"/>
                <w:color w:val="000000"/>
                <w:sz w:val="28"/>
              </w:rPr>
              <w:t>Макс. кол-во тегов</w:t>
            </w:r>
          </w:p>
        </w:tc>
        <w:tc>
          <w:tcPr>
            <w:tcW w:type="dxa" w:w="1871"/>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до 256 000</w:t>
            </w:r>
          </w:p>
        </w:tc>
        <w:tc>
          <w:tcPr>
            <w:tcW w:type="dxa" w:w="1871"/>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до 500 000</w:t>
            </w:r>
          </w:p>
        </w:tc>
        <w:tc>
          <w:tcPr>
            <w:tcW w:type="dxa" w:w="1871"/>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до 2 000 000</w:t>
            </w:r>
          </w:p>
        </w:tc>
        <w:tc>
          <w:tcPr>
            <w:tcW w:type="dxa" w:w="1871"/>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до 100 000</w:t>
            </w:r>
          </w:p>
        </w:tc>
      </w:tr>
      <w:tr>
        <w:tc>
          <w:tcPr>
            <w:tcW w:type="dxa" w:w="1871"/>
            <w:vAlign w:val="center"/>
            <w:tcMar>
              <w:top w:w="28" w:type="dxa"/>
              <w:bottom w:w="28" w:type="dxa"/>
              <w:left w:w="57" w:type="dxa"/>
              <w:right w:w="57" w:type="dxa"/>
            </w:tcMar>
          </w:tcPr>
          <w:p>
            <w:pPr>
              <w:spacing w:before="0" w:after="0" w:line="240" w:lineRule="auto"/>
              <w:ind w:firstLine="0"/>
              <w:jc w:val="left"/>
            </w:pPr>
            <w:r/>
            <w:r>
              <w:rPr>
                <w:rFonts w:ascii="Times New Roman" w:hAnsi="Times New Roman"/>
                <w:b w:val="0"/>
                <w:color w:val="000000"/>
                <w:sz w:val="28"/>
              </w:rPr>
              <w:t>Протоколы</w:t>
            </w:r>
          </w:p>
        </w:tc>
        <w:tc>
          <w:tcPr>
            <w:tcW w:type="dxa" w:w="1871"/>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IEC 104, DNP3, Modbus, OPC</w:t>
            </w:r>
          </w:p>
        </w:tc>
        <w:tc>
          <w:tcPr>
            <w:tcW w:type="dxa" w:w="1871"/>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IEC 104, Modbus, OPC UA</w:t>
            </w:r>
          </w:p>
        </w:tc>
        <w:tc>
          <w:tcPr>
            <w:tcW w:type="dxa" w:w="1871"/>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IEC 104, DNP3, Modbus</w:t>
            </w:r>
          </w:p>
        </w:tc>
        <w:tc>
          <w:tcPr>
            <w:tcW w:type="dxa" w:w="1871"/>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IEC 104, Modbus</w:t>
            </w:r>
          </w:p>
        </w:tc>
      </w:tr>
      <w:tr>
        <w:tc>
          <w:tcPr>
            <w:tcW w:type="dxa" w:w="1871"/>
            <w:vAlign w:val="center"/>
            <w:tcMar>
              <w:top w:w="28" w:type="dxa"/>
              <w:bottom w:w="28" w:type="dxa"/>
              <w:left w:w="57" w:type="dxa"/>
              <w:right w:w="57" w:type="dxa"/>
            </w:tcMar>
          </w:tcPr>
          <w:p>
            <w:pPr>
              <w:spacing w:before="0" w:after="0" w:line="240" w:lineRule="auto"/>
              <w:ind w:firstLine="0"/>
              <w:jc w:val="left"/>
            </w:pPr>
            <w:r/>
            <w:r>
              <w:rPr>
                <w:rFonts w:ascii="Times New Roman" w:hAnsi="Times New Roman"/>
                <w:b w:val="0"/>
                <w:color w:val="000000"/>
                <w:sz w:val="28"/>
              </w:rPr>
              <w:t>Веб-интерфейс</w:t>
            </w:r>
          </w:p>
        </w:tc>
        <w:tc>
          <w:tcPr>
            <w:tcW w:type="dxa" w:w="1871"/>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Да (WinCC/WebNavigator)</w:t>
            </w:r>
          </w:p>
        </w:tc>
        <w:tc>
          <w:tcPr>
            <w:tcW w:type="dxa" w:w="1871"/>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Да</w:t>
            </w:r>
          </w:p>
        </w:tc>
        <w:tc>
          <w:tcPr>
            <w:tcW w:type="dxa" w:w="1871"/>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Да (встроенный)</w:t>
            </w:r>
          </w:p>
        </w:tc>
        <w:tc>
          <w:tcPr>
            <w:tcW w:type="dxa" w:w="1871"/>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Ограниченно</w:t>
            </w:r>
          </w:p>
        </w:tc>
      </w:tr>
      <w:tr>
        <w:tc>
          <w:tcPr>
            <w:tcW w:type="dxa" w:w="1871"/>
            <w:vAlign w:val="center"/>
            <w:tcMar>
              <w:top w:w="28" w:type="dxa"/>
              <w:bottom w:w="28" w:type="dxa"/>
              <w:left w:w="57" w:type="dxa"/>
              <w:right w:w="57" w:type="dxa"/>
            </w:tcMar>
          </w:tcPr>
          <w:p>
            <w:pPr>
              <w:spacing w:before="0" w:after="0" w:line="240" w:lineRule="auto"/>
              <w:ind w:firstLine="0"/>
              <w:jc w:val="left"/>
            </w:pPr>
            <w:r/>
            <w:r>
              <w:rPr>
                <w:rFonts w:ascii="Times New Roman" w:hAnsi="Times New Roman"/>
                <w:b w:val="0"/>
                <w:color w:val="000000"/>
                <w:sz w:val="28"/>
              </w:rPr>
              <w:t>Резервирование</w:t>
            </w:r>
          </w:p>
        </w:tc>
        <w:tc>
          <w:tcPr>
            <w:tcW w:type="dxa" w:w="1871"/>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Горячее</w:t>
            </w:r>
          </w:p>
        </w:tc>
        <w:tc>
          <w:tcPr>
            <w:tcW w:type="dxa" w:w="1871"/>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Горячее/тёплое</w:t>
            </w:r>
          </w:p>
        </w:tc>
        <w:tc>
          <w:tcPr>
            <w:tcW w:type="dxa" w:w="1871"/>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Горячее</w:t>
            </w:r>
          </w:p>
        </w:tc>
        <w:tc>
          <w:tcPr>
            <w:tcW w:type="dxa" w:w="1871"/>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Тёплое</w:t>
            </w:r>
          </w:p>
        </w:tc>
      </w:tr>
      <w:tr>
        <w:tc>
          <w:tcPr>
            <w:tcW w:type="dxa" w:w="1871"/>
            <w:vAlign w:val="center"/>
            <w:tcMar>
              <w:top w:w="28" w:type="dxa"/>
              <w:bottom w:w="28" w:type="dxa"/>
              <w:left w:w="57" w:type="dxa"/>
              <w:right w:w="57" w:type="dxa"/>
            </w:tcMar>
          </w:tcPr>
          <w:p>
            <w:pPr>
              <w:spacing w:before="0" w:after="0" w:line="240" w:lineRule="auto"/>
              <w:ind w:firstLine="0"/>
              <w:jc w:val="left"/>
            </w:pPr>
            <w:r/>
            <w:r>
              <w:rPr>
                <w:rFonts w:ascii="Times New Roman" w:hAnsi="Times New Roman"/>
                <w:b w:val="0"/>
                <w:color w:val="000000"/>
                <w:sz w:val="28"/>
              </w:rPr>
              <w:t>Стоимость лицензии</w:t>
            </w:r>
          </w:p>
        </w:tc>
        <w:tc>
          <w:tcPr>
            <w:tcW w:type="dxa" w:w="1871"/>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Высокая</w:t>
            </w:r>
          </w:p>
        </w:tc>
        <w:tc>
          <w:tcPr>
            <w:tcW w:type="dxa" w:w="1871"/>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Средняя</w:t>
            </w:r>
          </w:p>
        </w:tc>
        <w:tc>
          <w:tcPr>
            <w:tcW w:type="dxa" w:w="1871"/>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Высокая</w:t>
            </w:r>
          </w:p>
        </w:tc>
        <w:tc>
          <w:tcPr>
            <w:tcW w:type="dxa" w:w="1871"/>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Низкая</w:t>
            </w:r>
          </w:p>
        </w:tc>
      </w:tr>
      <w:tr>
        <w:tc>
          <w:tcPr>
            <w:tcW w:type="dxa" w:w="1871"/>
            <w:vAlign w:val="center"/>
            <w:tcMar>
              <w:top w:w="28" w:type="dxa"/>
              <w:bottom w:w="28" w:type="dxa"/>
              <w:left w:w="57" w:type="dxa"/>
              <w:right w:w="57" w:type="dxa"/>
            </w:tcMar>
          </w:tcPr>
          <w:p>
            <w:pPr>
              <w:spacing w:before="0" w:after="0" w:line="240" w:lineRule="auto"/>
              <w:ind w:firstLine="0"/>
              <w:jc w:val="left"/>
            </w:pPr>
            <w:r/>
            <w:r>
              <w:rPr>
                <w:rFonts w:ascii="Times New Roman" w:hAnsi="Times New Roman"/>
                <w:b w:val="0"/>
                <w:color w:val="000000"/>
                <w:sz w:val="28"/>
              </w:rPr>
              <w:t>Реестр отечест. ПО</w:t>
            </w:r>
          </w:p>
        </w:tc>
        <w:tc>
          <w:tcPr>
            <w:tcW w:type="dxa" w:w="1871"/>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Нет</w:t>
            </w:r>
          </w:p>
        </w:tc>
        <w:tc>
          <w:tcPr>
            <w:tcW w:type="dxa" w:w="1871"/>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Да</w:t>
            </w:r>
          </w:p>
        </w:tc>
        <w:tc>
          <w:tcPr>
            <w:tcW w:type="dxa" w:w="1871"/>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Нет</w:t>
            </w:r>
          </w:p>
        </w:tc>
        <w:tc>
          <w:tcPr>
            <w:tcW w:type="dxa" w:w="1871"/>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Да</w:t>
            </w:r>
          </w:p>
        </w:tc>
      </w:tr>
      <w:tr>
        <w:tc>
          <w:tcPr>
            <w:tcW w:type="dxa" w:w="1871"/>
            <w:vAlign w:val="center"/>
            <w:tcMar>
              <w:top w:w="28" w:type="dxa"/>
              <w:bottom w:w="28" w:type="dxa"/>
              <w:left w:w="57" w:type="dxa"/>
              <w:right w:w="57" w:type="dxa"/>
            </w:tcMar>
          </w:tcPr>
          <w:p>
            <w:pPr>
              <w:spacing w:before="0" w:after="0" w:line="240" w:lineRule="auto"/>
              <w:ind w:firstLine="0"/>
              <w:jc w:val="left"/>
            </w:pPr>
            <w:r/>
            <w:r>
              <w:rPr>
                <w:rFonts w:ascii="Times New Roman" w:hAnsi="Times New Roman"/>
                <w:b w:val="0"/>
                <w:color w:val="000000"/>
                <w:sz w:val="28"/>
              </w:rPr>
              <w:t>ОС</w:t>
            </w:r>
          </w:p>
        </w:tc>
        <w:tc>
          <w:tcPr>
            <w:tcW w:type="dxa" w:w="1871"/>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Windows</w:t>
            </w:r>
          </w:p>
        </w:tc>
        <w:tc>
          <w:tcPr>
            <w:tcW w:type="dxa" w:w="1871"/>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Windows/Linux</w:t>
            </w:r>
          </w:p>
        </w:tc>
        <w:tc>
          <w:tcPr>
            <w:tcW w:type="dxa" w:w="1871"/>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Windows</w:t>
            </w:r>
          </w:p>
        </w:tc>
        <w:tc>
          <w:tcPr>
            <w:tcW w:type="dxa" w:w="1871"/>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Windows/Linux</w:t>
            </w:r>
          </w:p>
        </w:tc>
      </w:tr>
    </w:tbl>
    <w:p>
      <w:pPr>
        <w:spacing w:before="0" w:after="0" w:line="360" w:lineRule="auto"/>
        <w:ind w:firstLine="709"/>
        <w:jc w:val="both"/>
      </w:pPr>
      <w:r>
        <w:rPr>
          <w:rFonts w:ascii="Times New Roman" w:hAnsi="Times New Roman"/>
          <w:b w:val="0"/>
          <w:i w:val="0"/>
          <w:color w:val="000000"/>
          <w:sz w:val="28"/>
        </w:rPr>
        <w:t>Как видно из таблицы 1, отечественные SCADA-системы MasterSCADA и ЭНТЕК обладают рядом преимуществ для российского рынка: они включены в Единый реестр российских программ для ЭВМ и баз данных, имеют более доступную стоимость лицензий и поддерживают работу на операционных системах семейства Linux, что соответствует требованиям импортозамещения. Вместе с тем, зарубежные системы WinCC и ClearSCADA превосходят отечественные аналоги по максимальному количеству поддерживаемых тегов и богатству функциональных возможностей [6].</w:t>
      </w:r>
    </w:p>
    <w:p>
      <w:pPr>
        <w:spacing w:before="0" w:after="0" w:line="360" w:lineRule="auto"/>
        <w:ind w:firstLine="709"/>
        <w:jc w:val="both"/>
      </w:pPr>
      <w:r>
        <w:rPr>
          <w:rFonts w:ascii="Times New Roman" w:hAnsi="Times New Roman"/>
          <w:b w:val="0"/>
          <w:i w:val="0"/>
          <w:color w:val="000000"/>
          <w:sz w:val="28"/>
        </w:rPr>
        <w:t>По масштабу применения SCADA-системы в электроэнергетике подразделяются на системы уровня подстанции (реализуют функции автоматизированной системы управления технологическим процессом — АСУ ТП), системы уровня диспетчерского управления распределительной сетью (районные или городские диспетчерские центры) и системы уровня оперативно-диспетчерского управления (ОДУ) региональных и национальных энергосистем. Каждый уровень предъявляет свои требования к производительности, объёму обрабатываемых данных и функциональным возможностям системы [7].</w:t>
      </w:r>
    </w:p>
    <w:p>
      <w:pPr>
        <w:spacing w:before="0" w:after="0" w:line="360" w:lineRule="auto"/>
        <w:ind w:firstLine="709"/>
        <w:jc w:val="both"/>
      </w:pPr>
      <w:r>
        <w:rPr>
          <w:rFonts w:ascii="Times New Roman" w:hAnsi="Times New Roman"/>
          <w:b w:val="0"/>
          <w:i w:val="0"/>
          <w:color w:val="000000"/>
          <w:sz w:val="28"/>
        </w:rPr>
        <w:t>Более детальное рассмотрение каждого из представленных в таблице 1 SCADA-решений позволяет выявить их специфические особенности применительно к задачам автоматизации распределительных сетей 6–10 кВ.</w:t>
      </w:r>
    </w:p>
    <w:p>
      <w:pPr>
        <w:spacing w:before="0" w:after="0" w:line="360" w:lineRule="auto"/>
        <w:ind w:firstLine="709"/>
        <w:jc w:val="both"/>
      </w:pPr>
      <w:r>
        <w:rPr>
          <w:rFonts w:ascii="Times New Roman" w:hAnsi="Times New Roman"/>
          <w:b w:val="0"/>
          <w:i w:val="0"/>
          <w:color w:val="000000"/>
          <w:sz w:val="28"/>
        </w:rPr>
        <w:t>Siemens WinCC является одной из наиболее функциональных SCADA-платформ мирового уровня. Система поддерживает масштабные инсталляции с количеством тегов до 256 000, обладает развитыми средствами визуализации (графический редактор, менеджер алармов, система трендов), поддерживает горячее резервирование серверов и интеграцию с системой MES/ERP уровня через OPC UA. Однако использование WinCC в российских электросетевых компаниях сопряжено со значительными рисками: система работает исключительно под управлением Windows, стоимость лицензий является высокой, а возможность получения технической поддержки и обновлений от Siemens существенно ограничена в условиях действующего санкционного режима.</w:t>
      </w:r>
    </w:p>
    <w:p>
      <w:pPr>
        <w:spacing w:before="0" w:after="0" w:line="360" w:lineRule="auto"/>
        <w:ind w:firstLine="709"/>
        <w:jc w:val="both"/>
      </w:pPr>
      <w:r>
        <w:rPr>
          <w:rFonts w:ascii="Times New Roman" w:hAnsi="Times New Roman"/>
          <w:b w:val="0"/>
          <w:i w:val="0"/>
          <w:color w:val="000000"/>
          <w:sz w:val="28"/>
        </w:rPr>
        <w:t>MasterSCADA компании «ИнСАТ» (Москва) является ведущей отечественной SCADA-платформой, включённой в Единый реестр российских программ. Последняя версия MasterSCADA 4D поддерживает работу как на Windows, так и на Linux (Astra Linux, ALT Linux), что соответствует требованиям импортозамещения операционных систем. Система обеспечивает количество тегов до 500 000, поддерживает протоколы МЭК 60870-5-104, Modbus RTU/TCP, OPC UA, имеет встроенные средства веб-визуализации. Стоимость лицензий MasterSCADA существенно ниже зарубежных аналогов, при этом функциональность достаточна для большинства задач автоматизации распределительных сетей.</w:t>
      </w:r>
    </w:p>
    <w:p>
      <w:pPr>
        <w:spacing w:before="0" w:after="0" w:line="360" w:lineRule="auto"/>
        <w:ind w:firstLine="709"/>
        <w:jc w:val="both"/>
      </w:pPr>
      <w:r>
        <w:rPr>
          <w:rFonts w:ascii="Times New Roman" w:hAnsi="Times New Roman"/>
          <w:b w:val="0"/>
          <w:i w:val="0"/>
          <w:color w:val="000000"/>
          <w:sz w:val="28"/>
        </w:rPr>
        <w:t>Платформа ЭНТЕК компании «ТомскСофт» представляет собой отечественную SCADA-систему, ориентированную на электроэнергетику. Система отличается относительно невысокой стоимостью лицензий и включением в реестр отечественного ПО. Вместе с тем, ЭНТЕК имеет ограничения по масштабируемости (до 100 000 тегов) и менее развитые средства веб-визуализации по сравнению с MasterSCADA.</w:t>
      </w:r>
    </w:p>
    <w:p>
      <w:pPr>
        <w:spacing w:before="0" w:after="0" w:line="360" w:lineRule="auto"/>
        <w:ind w:firstLine="709"/>
        <w:jc w:val="both"/>
      </w:pPr>
      <w:r>
        <w:rPr>
          <w:rFonts w:ascii="Times New Roman" w:hAnsi="Times New Roman"/>
          <w:b w:val="0"/>
          <w:i w:val="0"/>
          <w:color w:val="000000"/>
          <w:sz w:val="28"/>
        </w:rPr>
        <w:t>Помимо перечисленных систем, на российском рынке присутствуют и другие SCADA-платформы: Trace Mode (AdAstrA), LabView DSC (National Instruments), Wonderware (Schneider Electric), iFIX (GE Digital). Однако большинство из них являются зарубежными разработками и не включены в реестр отечественного ПО, что ограничивает их применение в организациях с государственным участием.</w:t>
      </w:r>
    </w:p>
    <w:p>
      <w:pPr>
        <w:spacing w:before="0" w:after="0" w:line="360" w:lineRule="auto"/>
        <w:ind w:firstLine="709"/>
        <w:jc w:val="both"/>
      </w:pPr>
      <w:r>
        <w:rPr>
          <w:rFonts w:ascii="Times New Roman" w:hAnsi="Times New Roman"/>
          <w:b w:val="0"/>
          <w:i w:val="0"/>
          <w:color w:val="000000"/>
          <w:sz w:val="28"/>
        </w:rPr>
        <w:t>Важным аспектом выбора SCADA-платформы для распределительных сетей является поддержка работы в условиях ограниченной полосы пропускания каналов связи. Монолитные системы, такие как ранние версии WinCC, требуют постоянного высокоскоростного соединения между серверной и клиентской частями, что делает их малопригодными для территориально распределённых объектов. Распределённые системы, напротив, способны функционировать в условиях периодического разрыва связи за счёт локального буферирования данных на уровне контроллеров и концентраторов. Современные веб-ориентированные платформы обеспечивают компромисс между функциональностью и требованиями к каналу связи, используя механизмы компрессии трафика и асинхронной передачи данных.</w:t>
      </w:r>
    </w:p>
    <w:p>
      <w:pPr>
        <w:spacing w:before="0" w:after="0" w:line="360" w:lineRule="auto"/>
        <w:ind w:firstLine="709"/>
        <w:jc w:val="both"/>
      </w:pPr>
      <w:r>
        <w:rPr>
          <w:rFonts w:ascii="Times New Roman" w:hAnsi="Times New Roman"/>
          <w:b w:val="0"/>
          <w:i w:val="0"/>
          <w:color w:val="000000"/>
          <w:sz w:val="28"/>
        </w:rPr>
        <w:t>Анализ существующих внедрений SCADA-систем в российских электросетевых компаниях показывает, что наиболее широкое распространение получили платформы Siemens WinCC и отечественная разработка MasterSCADA. По данным ПАО «Россети», на конец 2023 года системой WinCC оснащены около 35 процентов автоматизированных подстанций, MasterSCADA — около 25 процентов, прочие платформы (включая ClearSCADA, ЭНТЕК и собственные разработки) занимают оставшиеся 40 процентов рынка. При этом на уровне распределительных сетей 6–10 кВ доля автоматизированных участков остаётся крайне низкой — менее 10 процентов от общего числа линий оснащены системами удалённого мониторинга.</w:t>
      </w:r>
    </w:p>
    <w:p>
      <w:pPr>
        <w:spacing w:before="0" w:after="0" w:line="360" w:lineRule="auto"/>
        <w:ind w:firstLine="709"/>
        <w:jc w:val="both"/>
      </w:pPr>
      <w:r>
        <w:rPr>
          <w:rFonts w:ascii="Times New Roman" w:hAnsi="Times New Roman"/>
          <w:b w:val="0"/>
          <w:i w:val="0"/>
          <w:color w:val="000000"/>
          <w:sz w:val="28"/>
        </w:rPr>
        <w:t>Тенденция к переходу на микросервисную архитектуру SCADA-систем обусловлена необходимостью обеспечения горизонтальной масштабируемости и отказоустойчивости. В отличие от монолитных решений, где выход из строя центрального сервера приводит к полной потере управления, микросервисная архитектура позволяет распределить функциональность между независимыми компонентами. Каждый микросервис отвечает за конкретную функцию (сбор данных, обработка алармов, визуализация, архивирование) и может быть развёрнут на отдельном вычислительном узле. Такой подход существенно упрощает процедуры обновления и масштабирования системы, а также повышает её устойчивость к единичным отказам.</w:t>
      </w:r>
    </w:p>
    <w:p>
      <w:bookmarkStart w:id="40" w:name="_bm_section_1_3"/>
      <w:pPr>
        <w:spacing w:before="240" w:after="120" w:line="360" w:lineRule="auto"/>
        <w:ind w:firstLine="709"/>
        <w:jc w:val="both"/>
        <w:outlineLvl w:val="1"/>
      </w:pPr>
      <w:r>
        <w:rPr>
          <w:rFonts w:ascii="Times New Roman" w:hAnsi="Times New Roman"/>
          <w:b/>
          <w:color w:val="000000"/>
          <w:sz w:val="28"/>
        </w:rPr>
        <w:t>1.3 Особенности использования SCADA на автоматизированных воздушных линиях 6–10 кВ</w:t>
      </w:r>
      <w:bookmarkEnd w:id="40"/>
    </w:p>
    <w:p>
      <w:pPr>
        <w:spacing w:before="0" w:after="0" w:line="360" w:lineRule="auto"/>
        <w:ind w:firstLine="709"/>
        <w:jc w:val="both"/>
      </w:pPr>
      <w:r>
        <w:rPr>
          <w:rFonts w:ascii="Times New Roman" w:hAnsi="Times New Roman"/>
          <w:b w:val="0"/>
          <w:i w:val="0"/>
          <w:color w:val="000000"/>
          <w:sz w:val="28"/>
        </w:rPr>
        <w:t>Воздушные линии электропередачи напряжением 6–10 кВ являются основой распределительных сетей, обеспечивающих электроснабжение конечных потребителей — населённых пунктов, промышленных предприятий, сельскохозяйственных объектов. По данным ПАО «Россети», общая протяжённость воздушных линий 6–10 кВ в Российской Федерации составляет около 800 тысяч километров, что делает их наиболее масштабным элементом электросетевой инфраструктуры страны [8].</w:t>
      </w:r>
    </w:p>
    <w:p>
      <w:pPr>
        <w:spacing w:before="0" w:after="0" w:line="360" w:lineRule="auto"/>
        <w:ind w:firstLine="709"/>
        <w:jc w:val="both"/>
      </w:pPr>
      <w:r>
        <w:rPr>
          <w:rFonts w:ascii="Times New Roman" w:hAnsi="Times New Roman"/>
          <w:b w:val="0"/>
          <w:i w:val="0"/>
          <w:color w:val="000000"/>
          <w:sz w:val="28"/>
        </w:rPr>
        <w:t>Отличительной особенностью воздушных линий среднего напряжения является их высокая подверженность внешним воздействиям, что обусловливает значительное количество технологических нарушений. К основным причинам аварийных отключений на ВЛ 6–10 кВ относятся: воздействие атмосферных перенапряжений (грозовые разряды), механические повреждения проводов и опор вследствие ветровых нагрузок и гололёдных отложений, падение деревьев на провода, а также повреждения, вызванные действиями третьих лиц. По статистике, средний показатель аварийности на ВЛ 6–10 кВ составляет от 5 до 15 аварийных отключений на 100 км трассы в год, в зависимости от климатического района и состояния линии [9].</w:t>
      </w:r>
    </w:p>
    <w:p>
      <w:pPr>
        <w:spacing w:before="0" w:after="0" w:line="360" w:lineRule="auto"/>
        <w:ind w:firstLine="709"/>
        <w:jc w:val="both"/>
      </w:pPr>
      <w:r>
        <w:rPr>
          <w:rFonts w:ascii="Times New Roman" w:hAnsi="Times New Roman"/>
          <w:b w:val="0"/>
          <w:i w:val="0"/>
          <w:color w:val="000000"/>
          <w:sz w:val="28"/>
        </w:rPr>
        <w:t>Традиционно воздушные линии 6–10 кВ не оснащались средствами телемеханики. Информация об аварийных отключениях поступала в диспетчерский центр от потребителей или обнаруживалась выездными ремонтными бригадами путём визуального осмотра линии. Среднее время обнаружения и локализации повреждения составляло от двух до шести часов, а в труднодоступных районах могло достигать суток. Это приводило к длительным перерывам в электроснабжении потребителей и значительным экономическим потерям [10].</w:t>
      </w:r>
    </w:p>
    <w:p>
      <w:pPr>
        <w:spacing w:before="0" w:after="0" w:line="360" w:lineRule="auto"/>
        <w:ind w:firstLine="709"/>
        <w:jc w:val="both"/>
      </w:pPr>
      <w:r>
        <w:rPr>
          <w:rFonts w:ascii="Times New Roman" w:hAnsi="Times New Roman"/>
          <w:b w:val="0"/>
          <w:i w:val="0"/>
          <w:color w:val="000000"/>
          <w:sz w:val="28"/>
        </w:rPr>
        <w:t>Внедрение интеллектуальных коммутационных аппаратов — реклоузеров — кардинально изменяет ситуацию. Реклоузер представляет собой автоматический выключатель, устанавливаемый на воздушной линии 6–10 кВ и оснащённый микропроцессорным блоком управления, встроенными датчиками тока и напряжения, а также модулем телекоммуникации. Реклоузер обеспечивает следующие функции [11]:</w:t>
      </w:r>
    </w:p>
    <w:p>
      <w:pPr>
        <w:spacing w:before="0" w:after="0" w:line="360" w:lineRule="auto"/>
        <w:ind w:firstLine="709"/>
        <w:jc w:val="both"/>
      </w:pPr>
      <w:r>
        <w:rPr>
          <w:rFonts w:ascii="Times New Roman" w:hAnsi="Times New Roman"/>
          <w:color w:val="000000"/>
          <w:sz w:val="28"/>
        </w:rPr>
        <w:t>– автоматическое отключение повреждённого участка линии при возникновении короткого замыкания с последующим автоматическим повторным включением (АПВ) — до четырёх циклов;</w:t>
      </w:r>
    </w:p>
    <w:p>
      <w:pPr>
        <w:spacing w:before="0" w:after="0" w:line="360" w:lineRule="auto"/>
        <w:ind w:firstLine="709"/>
        <w:jc w:val="both"/>
      </w:pPr>
      <w:r>
        <w:rPr>
          <w:rFonts w:ascii="Times New Roman" w:hAnsi="Times New Roman"/>
          <w:color w:val="000000"/>
          <w:sz w:val="28"/>
        </w:rPr>
        <w:t>– секционирование линии для минимизации зоны отключения и локализации повреждённого участка;</w:t>
      </w:r>
    </w:p>
    <w:p>
      <w:pPr>
        <w:spacing w:before="0" w:after="0" w:line="360" w:lineRule="auto"/>
        <w:ind w:firstLine="709"/>
        <w:jc w:val="both"/>
      </w:pPr>
      <w:r>
        <w:rPr>
          <w:rFonts w:ascii="Times New Roman" w:hAnsi="Times New Roman"/>
          <w:color w:val="000000"/>
          <w:sz w:val="28"/>
        </w:rPr>
        <w:t>– измерение параметров электрического режима: тока, напряжения, мощности, частоты, коэффициента мощности;</w:t>
      </w:r>
    </w:p>
    <w:p>
      <w:pPr>
        <w:spacing w:before="0" w:after="0" w:line="360" w:lineRule="auto"/>
        <w:ind w:firstLine="709"/>
        <w:jc w:val="both"/>
      </w:pPr>
      <w:r>
        <w:rPr>
          <w:rFonts w:ascii="Times New Roman" w:hAnsi="Times New Roman"/>
          <w:color w:val="000000"/>
          <w:sz w:val="28"/>
        </w:rPr>
        <w:t>– регистрация аварийных событий с привязкой к времени и осциллографированием токов и напряжений;</w:t>
      </w:r>
    </w:p>
    <w:p>
      <w:pPr>
        <w:spacing w:before="0" w:after="0" w:line="360" w:lineRule="auto"/>
        <w:ind w:firstLine="709"/>
        <w:jc w:val="both"/>
      </w:pPr>
      <w:r>
        <w:rPr>
          <w:rFonts w:ascii="Times New Roman" w:hAnsi="Times New Roman"/>
          <w:color w:val="000000"/>
          <w:sz w:val="28"/>
        </w:rPr>
        <w:t>– передача телеметрических данных и аварийных сообщений в диспетчерский центр по различным каналам связи;</w:t>
      </w:r>
    </w:p>
    <w:p>
      <w:pPr>
        <w:spacing w:before="0" w:after="0" w:line="360" w:lineRule="auto"/>
        <w:ind w:firstLine="709"/>
        <w:jc w:val="both"/>
      </w:pPr>
      <w:r>
        <w:rPr>
          <w:rFonts w:ascii="Times New Roman" w:hAnsi="Times New Roman"/>
          <w:color w:val="000000"/>
          <w:sz w:val="28"/>
        </w:rPr>
        <w:t>– приём команд дистанционного управления (включение/отключение) от диспетчера.</w:t>
      </w:r>
    </w:p>
    <w:p>
      <w:pPr>
        <w:spacing w:before="0" w:after="0" w:line="360" w:lineRule="auto"/>
        <w:ind w:firstLine="709"/>
        <w:jc w:val="both"/>
      </w:pPr>
      <w:r>
        <w:rPr>
          <w:rFonts w:ascii="Times New Roman" w:hAnsi="Times New Roman"/>
          <w:b w:val="0"/>
          <w:i w:val="0"/>
          <w:color w:val="000000"/>
          <w:sz w:val="28"/>
        </w:rPr>
        <w:t>Типовая схема автоматизации участка ВЛ 6–10 кВ предусматривает установку от двух до четырёх реклоузеров на линии протяжённостью 15–25 км, что позволяет разделить линию на три—пять секций. При возникновении короткого замыкания реклоузеры взаимодействуют между собой по принципу «защита с ускорением», обеспечивая автоматическую изоляцию повреждённой секции и восстановление питания неповреждённых участков в течение нескольких секунд [12].</w:t>
      </w:r>
    </w:p>
    <w:p>
      <w:pPr>
        <w:spacing w:before="0" w:after="0" w:line="360" w:lineRule="auto"/>
        <w:ind w:firstLine="709"/>
        <w:jc w:val="both"/>
      </w:pPr>
      <w:r>
        <w:rPr>
          <w:rFonts w:ascii="Times New Roman" w:hAnsi="Times New Roman"/>
          <w:b w:val="0"/>
          <w:i w:val="0"/>
          <w:color w:val="000000"/>
          <w:sz w:val="28"/>
        </w:rPr>
        <w:t>Интеграция реклоузеров в SCADA-систему обеспечивает диспетчеру возможность удалённого мониторинга и управления участком ВЛ в режиме реального времени. На мнемосхеме SCADA-системы отображается однолинейная схема линии с указанием положения реклоузеров (включён/отключён), текущих значений тока и напряжения, а также аварийных сигналов. Диспетчер имеет возможность дистанционно включать и отключать реклоузеры, изменять параметры уставок релейной защиты и просматривать архивы событий [13].</w:t>
      </w:r>
    </w:p>
    <w:p>
      <w:pPr>
        <w:spacing w:before="0" w:after="0" w:line="360" w:lineRule="auto"/>
        <w:ind w:firstLine="709"/>
        <w:jc w:val="both"/>
      </w:pPr>
      <w:r>
        <w:rPr>
          <w:rFonts w:ascii="Times New Roman" w:hAnsi="Times New Roman"/>
          <w:b w:val="0"/>
          <w:i w:val="0"/>
          <w:color w:val="000000"/>
          <w:sz w:val="28"/>
        </w:rPr>
        <w:t>Основные особенности, определяющие специфику SCADA-систем для ВЛ 6–10 кВ:</w:t>
      </w:r>
    </w:p>
    <w:p>
      <w:pPr>
        <w:spacing w:before="0" w:after="0" w:line="360" w:lineRule="auto"/>
        <w:ind w:firstLine="709"/>
        <w:jc w:val="both"/>
      </w:pPr>
      <w:r>
        <w:rPr>
          <w:rFonts w:ascii="Times New Roman" w:hAnsi="Times New Roman"/>
          <w:b w:val="0"/>
          <w:i w:val="0"/>
          <w:color w:val="000000"/>
          <w:sz w:val="28"/>
        </w:rPr>
        <w:t xml:space="preserve">Территориальная распределённость. </w:t>
      </w:r>
      <w:r>
        <w:rPr>
          <w:rFonts w:ascii="Times New Roman" w:hAnsi="Times New Roman"/>
          <w:b w:val="0"/>
          <w:i w:val="0"/>
          <w:color w:val="000000"/>
          <w:sz w:val="28"/>
        </w:rPr>
        <w:t>объекты контроля (реклоузеры) расположены на значительном удалении друг от друга и от диспетчерского центра, что предъявляет повышенные требования к каналам связи и обуславливает необходимость использования беспроводных технологий (GSM/GPRS/LTE, радиоканал);</w:t>
      </w:r>
    </w:p>
    <w:p>
      <w:pPr>
        <w:spacing w:before="0" w:after="0" w:line="360" w:lineRule="auto"/>
        <w:ind w:firstLine="709"/>
        <w:jc w:val="both"/>
      </w:pPr>
      <w:r>
        <w:rPr>
          <w:rFonts w:ascii="Times New Roman" w:hAnsi="Times New Roman"/>
          <w:b w:val="0"/>
          <w:i w:val="0"/>
          <w:color w:val="000000"/>
          <w:sz w:val="28"/>
        </w:rPr>
        <w:t xml:space="preserve">Ограниченная инфраструктура. </w:t>
      </w:r>
      <w:r>
        <w:rPr>
          <w:rFonts w:ascii="Times New Roman" w:hAnsi="Times New Roman"/>
          <w:b w:val="0"/>
          <w:i w:val="0"/>
          <w:color w:val="000000"/>
          <w:sz w:val="28"/>
        </w:rPr>
        <w:t>в большинстве случаев на участке ВЛ 6–10 кВ отсутствует стационарное электропитание для средств связи (за исключением реклоузеров, которые питаются от контролируемой линии), что ограничивает выбор коммуникационного оборудования;</w:t>
      </w:r>
    </w:p>
    <w:p>
      <w:pPr>
        <w:spacing w:before="0" w:after="0" w:line="360" w:lineRule="auto"/>
        <w:ind w:firstLine="709"/>
        <w:jc w:val="both"/>
      </w:pPr>
      <w:r>
        <w:rPr>
          <w:rFonts w:ascii="Times New Roman" w:hAnsi="Times New Roman"/>
          <w:b w:val="0"/>
          <w:i w:val="0"/>
          <w:color w:val="000000"/>
          <w:sz w:val="28"/>
        </w:rPr>
        <w:t xml:space="preserve">Суровые условия эксплуатации. </w:t>
      </w:r>
      <w:r>
        <w:rPr>
          <w:rFonts w:ascii="Times New Roman" w:hAnsi="Times New Roman"/>
          <w:b w:val="0"/>
          <w:i w:val="0"/>
          <w:color w:val="000000"/>
          <w:sz w:val="28"/>
        </w:rPr>
        <w:t>оборудование работает в широком диапазоне температур (от −40 до +50°C), подвержено воздействию атмосферных осадков, пыли, вибраций, электромагнитных помех от высоковольтного оборудования;</w:t>
      </w:r>
    </w:p>
    <w:p>
      <w:pPr>
        <w:spacing w:before="0" w:after="0" w:line="360" w:lineRule="auto"/>
        <w:ind w:firstLine="709"/>
        <w:jc w:val="both"/>
      </w:pPr>
      <w:r>
        <w:rPr>
          <w:rFonts w:ascii="Times New Roman" w:hAnsi="Times New Roman"/>
          <w:b w:val="0"/>
          <w:i w:val="0"/>
          <w:color w:val="000000"/>
          <w:sz w:val="28"/>
        </w:rPr>
        <w:t xml:space="preserve">Невысокая скорость передачи данных. </w:t>
      </w:r>
      <w:r>
        <w:rPr>
          <w:rFonts w:ascii="Times New Roman" w:hAnsi="Times New Roman"/>
          <w:b w:val="0"/>
          <w:i w:val="0"/>
          <w:color w:val="000000"/>
          <w:sz w:val="28"/>
        </w:rPr>
        <w:t>использование каналов связи GSM/GPRS обуславливает ограниченную пропускную способность (до 40–80 Кбит/с) и переменную задержку передачи данных, что необходимо учитывать при проектировании информационного обмена.</w:t>
      </w:r>
    </w:p>
    <w:p>
      <w:pPr>
        <w:spacing w:before="0" w:after="0" w:line="360" w:lineRule="auto"/>
        <w:ind w:firstLine="709"/>
        <w:jc w:val="both"/>
      </w:pPr>
      <w:r>
        <w:rPr>
          <w:rFonts w:ascii="Times New Roman" w:hAnsi="Times New Roman"/>
          <w:b w:val="0"/>
          <w:i w:val="0"/>
          <w:color w:val="000000"/>
          <w:sz w:val="28"/>
        </w:rPr>
        <w:t>Перечисленные особенности определяют требования к SCADA-системе для ВЛ 6–10 кВ: она должна быть устойчива к нестабильным каналам связи, поддерживать работу с ограниченным количеством телеметрических параметров от каждого объекта (как правило, от 20 до 50 параметров на реклоузер), обеспечивать приоритетную передачу аварийных сообщений и иметь механизмы восстановления данных при временной потере связи [14].</w:t>
      </w:r>
    </w:p>
    <w:p>
      <w:pPr>
        <w:spacing w:before="0" w:after="0" w:line="360" w:lineRule="auto"/>
        <w:ind w:firstLine="709"/>
        <w:jc w:val="both"/>
      </w:pPr>
      <w:r>
        <w:rPr>
          <w:rFonts w:ascii="Times New Roman" w:hAnsi="Times New Roman"/>
          <w:b w:val="0"/>
          <w:i w:val="0"/>
          <w:color w:val="000000"/>
          <w:sz w:val="28"/>
        </w:rPr>
        <w:t>Анализ опыта внедрения реклоузеров в распределительных сетях России показывает следующие результаты. Филиал ПАО «Россети» — «Россети Центр» к 2025 году установил более 8 000 реклоузеров на воздушных линиях 6–10 кВ в 11 регионах Центрального федерального округа. По данным компании, это позволило сократить среднее время восстановления электроснабжения потребителей с 4,2 до 1,5 часов и уменьшить количество выездов ремонтных бригад на 35%. Аналогичные программы реализуются в филиалах «Россети Волга», «Россети Урал» и «Россети Сибирь».</w:t>
      </w:r>
    </w:p>
    <w:p>
      <w:pPr>
        <w:spacing w:before="0" w:after="0" w:line="360" w:lineRule="auto"/>
        <w:ind w:firstLine="709"/>
        <w:jc w:val="both"/>
      </w:pPr>
      <w:r>
        <w:rPr>
          <w:rFonts w:ascii="Times New Roman" w:hAnsi="Times New Roman"/>
          <w:b w:val="0"/>
          <w:i w:val="0"/>
          <w:color w:val="000000"/>
          <w:sz w:val="28"/>
        </w:rPr>
        <w:t>Среди производителей реклоузеров, представленных на российском рынке, следует выделить следующих. Группа компаний «Таврида Электрик» (Россия) производит реклоузеры серии РВА/TEL с вакуумной камерой, встроенным микропроцессорным блоком управления SMART и модулями телекоммуникации (GSM/GPRS, радиоканал, Ethernet). Компания ABB предлагает реклоузеры серии OVR с пружинным приводом, однако их поставки в Россию ограничены. Отечественная компания «НТПК» (Новосибирск) разработала реклоузеры серии PBA с поддержкой протоколов МЭК 60870-5-104 и МЭК 61850.</w:t>
      </w:r>
    </w:p>
    <w:p>
      <w:pPr>
        <w:spacing w:before="0" w:after="0" w:line="360" w:lineRule="auto"/>
        <w:ind w:firstLine="709"/>
        <w:jc w:val="both"/>
      </w:pPr>
      <w:r>
        <w:rPr>
          <w:rFonts w:ascii="Times New Roman" w:hAnsi="Times New Roman"/>
          <w:b w:val="0"/>
          <w:i w:val="0"/>
          <w:color w:val="000000"/>
          <w:sz w:val="28"/>
        </w:rPr>
        <w:t>Важным аспектом применения реклоузеров на ВЛ 6–10 кВ является организация их взаимодействия при изоляции повреждённого участка. Существуют два основных подхода: централизованный и децентрализованный. При централизованном подходе логика секционирования реализуется в SCADA-системе диспетчерского центра, которая анализирует данные от всех реклоузеров и формирует команды управления. Данный подход обеспечивает максимальную гибкость, но зависит от наличия связи между реклоузерами и диспетчерским центром. При децентрализованном подходе логика секционирования заложена непосредственно в контроллерах реклоузеров, которые взаимодействуют между собой по протоколу «защита с ускорением» без участия диспетчерского центра. Этот подход обеспечивает автоматическое секционирование даже при потере связи, но менее гибок в настройке.</w:t>
      </w:r>
    </w:p>
    <w:p>
      <w:pPr>
        <w:spacing w:before="0" w:after="0" w:line="360" w:lineRule="auto"/>
        <w:ind w:firstLine="709"/>
        <w:jc w:val="both"/>
      </w:pPr>
      <w:r>
        <w:rPr>
          <w:rFonts w:ascii="Times New Roman" w:hAnsi="Times New Roman"/>
          <w:b w:val="0"/>
          <w:i w:val="0"/>
          <w:color w:val="000000"/>
          <w:sz w:val="28"/>
        </w:rPr>
        <w:t>Отдельного внимания заслуживает вопрос организации электропитания оборудования автоматизации на ВЛ 6–10 кВ. Контроллеры реклоузеров и коммуникационное оборудование требуют надёжного электропитания для обеспечения непрерывной работы системы мониторинга. Основным источником питания является собственно контролируемая линия 6–10 кВ через встроенный в реклоузер трансформатор напряжения. При обесточении линии (что является типичной ситуацией при аварии) электропитание обеспечивается встроенной аккумуляторной батареей. Современные реклоузеры оснащаются герметичными необслуживаемыми аккумуляторами ёмкостью от 7 до 26 А·ч, обеспечивающими автономную работу от 8 до 72 часов в зависимости от конфигурации и температуры окружающей среды.</w:t>
      </w:r>
    </w:p>
    <w:p>
      <w:pPr>
        <w:spacing w:before="0" w:after="0" w:line="360" w:lineRule="auto"/>
        <w:ind w:firstLine="709"/>
        <w:jc w:val="both"/>
      </w:pPr>
      <w:r>
        <w:rPr>
          <w:rFonts w:ascii="Times New Roman" w:hAnsi="Times New Roman"/>
          <w:b w:val="0"/>
          <w:i w:val="0"/>
          <w:color w:val="000000"/>
          <w:sz w:val="28"/>
        </w:rPr>
        <w:t>В регионах с суровым климатом (Сибирь, Дальний Восток, Крайний Север) эксплуатация оборудования автоматизации на ВЛ 6–10 кВ сопряжена с дополнительными трудностями. При температурах ниже минус 30 градусов Цельсия существенно снижается ёмкость аккумуляторных батарей (до 30–50% от номинальной), увеличивается время реакции электронных компонентов, возможно обледенение антенн связи. Для работы в таких условиях применяются специальные меры: подогрев отсека контроллера за счёт потерь в силовых цепях, использование литий-железо-фосфатных (LiFePO4) аккумуляторов с расширенным температурным диапазоном, установка антенн связи в защитных обтекателях.</w:t>
      </w:r>
    </w:p>
    <w:p>
      <w:pPr>
        <w:spacing w:before="0" w:after="0" w:line="360" w:lineRule="auto"/>
        <w:ind w:firstLine="709"/>
        <w:jc w:val="both"/>
      </w:pPr>
      <w:r>
        <w:rPr>
          <w:rFonts w:ascii="Times New Roman" w:hAnsi="Times New Roman"/>
          <w:b w:val="0"/>
          <w:i w:val="0"/>
          <w:color w:val="000000"/>
          <w:sz w:val="28"/>
        </w:rPr>
        <w:t>Следует также отметить проблему электромагнитной совместимости (ЭМС) оборудования автоматизации на ВЛ 6–10 кВ. Контроллеры реклоузеров и коммуникационное оборудование работают в непосредственной близости от высоковольтного оборудования и подвергаются воздействию мощных электромагнитных помех: коммутационных перенапряжений при включении и отключении нагрузки, грозовых перенапряжений, импульсных помех при работе устройств защиты. Оборудование должно соответствовать требованиям ЭМС по ГОСТ Р 51317 (устойчивость к электростатическим разрядам, радиочастотным помехам, импульсным помехам, колебаниям напряжения питания).</w:t>
      </w:r>
    </w:p>
    <w:p>
      <w:bookmarkStart w:id="41" w:name="_bm_section_1_4"/>
      <w:pPr>
        <w:spacing w:before="240" w:after="120" w:line="360" w:lineRule="auto"/>
        <w:ind w:firstLine="709"/>
        <w:jc w:val="both"/>
        <w:outlineLvl w:val="1"/>
      </w:pPr>
      <w:r>
        <w:rPr>
          <w:rFonts w:ascii="Times New Roman" w:hAnsi="Times New Roman"/>
          <w:b/>
          <w:color w:val="000000"/>
          <w:sz w:val="28"/>
        </w:rPr>
        <w:t>1.4 Требования к системам мониторинга и диспетчерского управления в распределительных сетях</w:t>
      </w:r>
      <w:bookmarkEnd w:id="41"/>
    </w:p>
    <w:p>
      <w:pPr>
        <w:spacing w:before="0" w:after="0" w:line="360" w:lineRule="auto"/>
        <w:ind w:firstLine="709"/>
        <w:jc w:val="both"/>
      </w:pPr>
      <w:r>
        <w:rPr>
          <w:rFonts w:ascii="Times New Roman" w:hAnsi="Times New Roman"/>
          <w:b w:val="0"/>
          <w:i w:val="0"/>
          <w:color w:val="000000"/>
          <w:sz w:val="28"/>
        </w:rPr>
        <w:t>Требования к системам мониторинга и диспетчерского управления распределительными электрическими сетями определяются комплексом нормативных документов, включая правила устройства электроустановок (ПУЭ), правила технической эксплуатации электрических станций и сетей (ПТЭ), стандарты серии МЭК 61850 и МЭК 60870, а также ведомственные руководящие документы электросетевых компаний [15].</w:t>
      </w:r>
    </w:p>
    <w:p>
      <w:pPr>
        <w:spacing w:before="0" w:after="0" w:line="360" w:lineRule="auto"/>
        <w:ind w:firstLine="709"/>
        <w:jc w:val="both"/>
      </w:pPr>
      <w:r>
        <w:rPr>
          <w:rFonts w:ascii="Times New Roman" w:hAnsi="Times New Roman"/>
          <w:b w:val="0"/>
          <w:i w:val="0"/>
          <w:color w:val="000000"/>
          <w:sz w:val="28"/>
        </w:rPr>
        <w:t>К функциональным требованиям относятся:</w:t>
      </w:r>
    </w:p>
    <w:p>
      <w:pPr>
        <w:spacing w:before="0" w:after="0" w:line="360" w:lineRule="auto"/>
        <w:ind w:firstLine="709"/>
        <w:jc w:val="both"/>
      </w:pPr>
      <w:r>
        <w:rPr>
          <w:rFonts w:ascii="Times New Roman" w:hAnsi="Times New Roman"/>
          <w:color w:val="000000"/>
          <w:sz w:val="28"/>
        </w:rPr>
        <w:t>– обеспечение непрерывного мониторинга параметров электрического режима контролируемого участка сети с периодичностью обновления данных не более 10 секунд для телеизмерений и не более 2 секунд для телесигнализации;</w:t>
      </w:r>
    </w:p>
    <w:p>
      <w:pPr>
        <w:spacing w:before="0" w:after="0" w:line="360" w:lineRule="auto"/>
        <w:ind w:firstLine="709"/>
        <w:jc w:val="both"/>
      </w:pPr>
      <w:r>
        <w:rPr>
          <w:rFonts w:ascii="Times New Roman" w:hAnsi="Times New Roman"/>
          <w:color w:val="000000"/>
          <w:sz w:val="28"/>
        </w:rPr>
        <w:t>– формирование и передача аварийных сообщений с задержкой не более 1 секунды от момента возникновения события;</w:t>
      </w:r>
    </w:p>
    <w:p>
      <w:pPr>
        <w:spacing w:before="0" w:after="0" w:line="360" w:lineRule="auto"/>
        <w:ind w:firstLine="709"/>
        <w:jc w:val="both"/>
      </w:pPr>
      <w:r>
        <w:rPr>
          <w:rFonts w:ascii="Times New Roman" w:hAnsi="Times New Roman"/>
          <w:color w:val="000000"/>
          <w:sz w:val="28"/>
        </w:rPr>
        <w:t>– обеспечение дистанционного управления коммутационными аппаратами с временем выполнения команды не более 5 секунд;</w:t>
      </w:r>
    </w:p>
    <w:p>
      <w:pPr>
        <w:spacing w:before="0" w:after="0" w:line="360" w:lineRule="auto"/>
        <w:ind w:firstLine="709"/>
        <w:jc w:val="both"/>
      </w:pPr>
      <w:r>
        <w:rPr>
          <w:rFonts w:ascii="Times New Roman" w:hAnsi="Times New Roman"/>
          <w:color w:val="000000"/>
          <w:sz w:val="28"/>
        </w:rPr>
        <w:t>– ведение архива телеизмерений с глубиной хранения не менее 3 лет и архива событий с глубиной хранения не менее 5 лет;</w:t>
      </w:r>
    </w:p>
    <w:p>
      <w:pPr>
        <w:spacing w:before="0" w:after="0" w:line="360" w:lineRule="auto"/>
        <w:ind w:firstLine="709"/>
        <w:jc w:val="both"/>
      </w:pPr>
      <w:r>
        <w:rPr>
          <w:rFonts w:ascii="Times New Roman" w:hAnsi="Times New Roman"/>
          <w:color w:val="000000"/>
          <w:sz w:val="28"/>
        </w:rPr>
        <w:t>– поддержка одновременной работы не менее трёх операторских рабочих станций;</w:t>
      </w:r>
    </w:p>
    <w:p>
      <w:pPr>
        <w:spacing w:before="0" w:after="0" w:line="360" w:lineRule="auto"/>
        <w:ind w:firstLine="709"/>
        <w:jc w:val="both"/>
      </w:pPr>
      <w:r>
        <w:rPr>
          <w:rFonts w:ascii="Times New Roman" w:hAnsi="Times New Roman"/>
          <w:color w:val="000000"/>
          <w:sz w:val="28"/>
        </w:rPr>
        <w:t>– обеспечение автоматического определения потери связи с контролируемым объектом и формирование соответствующего аварийного сообщения.</w:t>
      </w:r>
    </w:p>
    <w:p>
      <w:pPr>
        <w:spacing w:before="0" w:after="0" w:line="360" w:lineRule="auto"/>
        <w:ind w:firstLine="709"/>
        <w:jc w:val="both"/>
      </w:pPr>
      <w:r>
        <w:rPr>
          <w:rFonts w:ascii="Times New Roman" w:hAnsi="Times New Roman"/>
          <w:b w:val="0"/>
          <w:i w:val="0"/>
          <w:color w:val="000000"/>
          <w:sz w:val="28"/>
        </w:rPr>
        <w:t>К требованиям по надёжности и отказоустойчивости относятся следующие показатели. Коэффициент готовности SCADA-системы должен составлять не менее 0,999, что соответствует допустимому времени простоя не более 8,76 часа в год. Среднее время наработки на отказ (MTBF) серверного оборудования должно составлять не менее 50 000 часов. Среднее время восстановления работоспособности (MTTR) при отказе основного сервера не должно превышать 30 секунд при использовании горячего резервирования и 5 минут при использовании тёплого резервирования [16].</w:t>
      </w:r>
    </w:p>
    <w:p>
      <w:pPr>
        <w:spacing w:before="0" w:after="0" w:line="360" w:lineRule="auto"/>
        <w:ind w:firstLine="709"/>
        <w:jc w:val="both"/>
      </w:pPr>
      <w:r>
        <w:rPr>
          <w:rFonts w:ascii="Times New Roman" w:hAnsi="Times New Roman"/>
          <w:b w:val="0"/>
          <w:i w:val="0"/>
          <w:color w:val="000000"/>
          <w:sz w:val="28"/>
        </w:rPr>
        <w:t>Для обеспечения требуемого уровня надёжности SCADA-система должна предусматривать резервирование серверов (дублирование с автоматическим переключением), резервирование каналов связи (основной и резервный канал к каждому контролируемому объекту), резервное электропитание (источники бесперебойного питания с временем автономной работы не менее 2 часов) и регулярное автоматическое резервное копирование базы данных [17].</w:t>
      </w:r>
    </w:p>
    <w:p>
      <w:pPr>
        <w:spacing w:before="0" w:after="0" w:line="360" w:lineRule="auto"/>
        <w:ind w:firstLine="709"/>
        <w:jc w:val="both"/>
      </w:pPr>
      <w:r>
        <w:rPr>
          <w:rFonts w:ascii="Times New Roman" w:hAnsi="Times New Roman"/>
          <w:b w:val="0"/>
          <w:i w:val="0"/>
          <w:color w:val="000000"/>
          <w:sz w:val="28"/>
        </w:rPr>
        <w:t>Важным требованием является поддержка стандартных протоколов телемеханики. Основным протоколом для связи SCADA-системы с контроллерами реклоузеров на ВЛ 6–10 кВ является МЭК 60870-5-104 (IEC 104), который обеспечивает передачу телемеханической информации по сетям TCP/IP. Протокол определяет форматы телеграмм для передачи телеизмерений, телесигнализации, команд телеуправления и меток времени. Преимуществом IEC 104 является стандартизированность, широкая поддержка производителями оборудования и возможность работы по любым сетям TCP/IP, включая мобильные сети передачи данных [18].</w:t>
      </w:r>
    </w:p>
    <w:p>
      <w:pPr>
        <w:spacing w:before="0" w:after="0" w:line="360" w:lineRule="auto"/>
        <w:ind w:firstLine="709"/>
        <w:jc w:val="both"/>
      </w:pPr>
      <w:r>
        <w:rPr>
          <w:rFonts w:ascii="Times New Roman" w:hAnsi="Times New Roman"/>
          <w:b w:val="0"/>
          <w:i w:val="0"/>
          <w:color w:val="000000"/>
          <w:sz w:val="28"/>
        </w:rPr>
        <w:t>Дополнительно SCADA-система может поддерживать протоколы Modbus RTU/TCP для связи с устаревшим оборудованием, OPC UA для интеграции с верхнеуровневыми информационными системами (ERP, BI), а также протокол МЭК 61850 для связи с цифровыми подстанциями нового поколения [19].</w:t>
      </w:r>
    </w:p>
    <w:p>
      <w:pPr>
        <w:spacing w:before="0" w:after="0" w:line="360" w:lineRule="auto"/>
        <w:ind w:firstLine="709"/>
        <w:jc w:val="both"/>
      </w:pPr>
      <w:r>
        <w:rPr>
          <w:rFonts w:ascii="Times New Roman" w:hAnsi="Times New Roman"/>
          <w:b w:val="0"/>
          <w:i w:val="0"/>
          <w:color w:val="000000"/>
          <w:sz w:val="28"/>
        </w:rPr>
        <w:t>Таким образом, проведённый анализ показал, что SCADA-системы являются ключевым инструментом автоматизации распределительных электрических сетей. Их применение на воздушных линиях 6–10 кВ имеет ряд особенностей, связанных с территориальной распределённостью объектов и ограничениями каналов связи. Существующие отечественные SCADA-платформы обладают достаточным функционалом для решения задач мониторинга ВЛ 6–10 кВ, однако требуют адаптации под конкретные условия эксплуатации.</w:t>
      </w:r>
    </w:p>
    <w:p>
      <w:pPr>
        <w:spacing w:before="0" w:after="0" w:line="360" w:lineRule="auto"/>
        <w:ind w:firstLine="709"/>
        <w:jc w:val="both"/>
      </w:pPr>
      <w:r>
        <w:rPr>
          <w:rFonts w:ascii="Times New Roman" w:hAnsi="Times New Roman"/>
          <w:b w:val="0"/>
          <w:i w:val="0"/>
          <w:color w:val="000000"/>
          <w:sz w:val="28"/>
        </w:rPr>
        <w:t>Помимо функциональных требований и требований к надёжности, к SCADA-системам для распределительных сетей предъявляются требования по эргономике и пользовательскому интерфейсу. Согласно стандарту ISA-101 и рекомендациям ГОСТ Р ИСО 9241, интерфейс диспетчера должен обеспечивать: ситуационную осведомлённость оператора (situation awareness) — возможность быстро оценить текущее состояние контролируемого объекта; иерархическую навигацию — переход от обзорных экранов к детальным; стандартизированную цветовую палитру в соответствии с МЭК 60073; минимизацию количества действий для выполнения типовых операций; поддержку нескольких мониторов на рабочем месте диспетчера.</w:t>
      </w:r>
    </w:p>
    <w:p>
      <w:pPr>
        <w:spacing w:before="0" w:after="0" w:line="360" w:lineRule="auto"/>
        <w:ind w:firstLine="709"/>
        <w:jc w:val="both"/>
      </w:pPr>
      <w:r>
        <w:rPr>
          <w:rFonts w:ascii="Times New Roman" w:hAnsi="Times New Roman"/>
          <w:b w:val="0"/>
          <w:i w:val="0"/>
          <w:color w:val="000000"/>
          <w:sz w:val="28"/>
        </w:rPr>
        <w:t>Требования к пропускной способности каналов связи определяются объёмом передаваемой информации и допустимыми задержками. Для протокола МЭК 60870-5-104, используемого при связи с реклоузерами, минимальная пропускная способность канала составляет 9 600 бит/с, рекомендуемая — не менее 19 200 бит/с. Максимально допустимая задержка передачи аварийного сообщения (от момента возникновения события до его отображения на рабочей станции диспетчера) не должна превышать 2 секунд для каналов GSM/GPRS и 1 секунды для проводных каналов.</w:t>
      </w:r>
    </w:p>
    <w:p>
      <w:pPr>
        <w:spacing w:before="0" w:after="0" w:line="360" w:lineRule="auto"/>
        <w:ind w:firstLine="709"/>
        <w:jc w:val="both"/>
      </w:pPr>
      <w:r>
        <w:rPr>
          <w:rFonts w:ascii="Times New Roman" w:hAnsi="Times New Roman"/>
          <w:b w:val="0"/>
          <w:i w:val="0"/>
          <w:color w:val="000000"/>
          <w:sz w:val="28"/>
        </w:rPr>
        <w:t>Немаловажным требованием является обеспечение точной синхронизации времени между всеми элементами системы мониторинга. Для корректной привязки событий к временной шкале и анализа последовательности срабатывания защитных устройств необходима точность синхронизации не хуже 1 мс. Синхронизация осуществляется по протоколу NTP (Network Time Protocol) или PTP (Precision Time Protocol, IEEE 1588) с использованием серверов точного времени, синхронизированных по сигналам ГЛОНАСС/GPS.</w:t>
      </w:r>
    </w:p>
    <w:p>
      <w:pPr>
        <w:spacing w:before="0" w:after="0" w:line="360" w:lineRule="auto"/>
        <w:ind w:firstLine="709"/>
        <w:jc w:val="both"/>
      </w:pPr>
      <w:r>
        <w:rPr>
          <w:rFonts w:ascii="Times New Roman" w:hAnsi="Times New Roman"/>
          <w:b w:val="0"/>
          <w:i w:val="0"/>
          <w:color w:val="000000"/>
          <w:sz w:val="28"/>
        </w:rPr>
        <w:t>Нормативная база, регулирующая требования к системам мониторинга электрических сетей, включает ряд ключевых документов федерального и отраслевого уровня. Правила устройства электроустановок (ПУЭ) седьмого издания определяют общие требования к устройствам релейной защиты и автоматики, включая требования к системам телемеханики. Руководящий документ РД 34.35.127-93 устанавливает требования к проектированию систем оперативно-диспетчерского управления энергосистемами, определяя минимально допустимое время цикла опроса телемеханической информации (не более 2 секунд для аварийных сигналов и не более 10 секунд для текущих измерений).</w:t>
      </w:r>
    </w:p>
    <w:p>
      <w:pPr>
        <w:spacing w:before="0" w:after="0" w:line="360" w:lineRule="auto"/>
        <w:ind w:firstLine="709"/>
        <w:jc w:val="both"/>
      </w:pPr>
      <w:r>
        <w:rPr>
          <w:rFonts w:ascii="Times New Roman" w:hAnsi="Times New Roman"/>
          <w:b w:val="0"/>
          <w:i w:val="0"/>
          <w:color w:val="000000"/>
          <w:sz w:val="28"/>
        </w:rPr>
        <w:t>Стандарт ГОСТ 32144-2013 устанавливает нормы качества электрической энергии в системах электроснабжения общего назначения, что определяет перечень контролируемых параметров и допустимые отклонения. В соответствии с данным стандартом, система мониторинга должна обеспечивать измерение напряжения с погрешностью не более 0,5 процента, частоты — не более 0,01 Гц, а также фиксировать провалы напряжения длительностью от 10 миллисекунд. Эти требования определяют характеристики измерительных преобразователей и минимальную частоту дискретизации аналоговых сигналов.</w:t>
      </w:r>
    </w:p>
    <w:p>
      <w:pPr>
        <w:spacing w:before="0" w:after="0" w:line="360" w:lineRule="auto"/>
        <w:ind w:firstLine="709"/>
        <w:jc w:val="both"/>
      </w:pPr>
      <w:r>
        <w:rPr>
          <w:rFonts w:ascii="Times New Roman" w:hAnsi="Times New Roman"/>
          <w:b w:val="0"/>
          <w:i w:val="0"/>
          <w:color w:val="000000"/>
          <w:sz w:val="28"/>
        </w:rPr>
        <w:t>Международный стандарт IEEE 1366-2012 определяет индексы надёжности распределительных электрических сетей, которые служат основой для оценки эффективности внедрения систем мониторинга. Ключевыми индексами являются SAIDI (средняя продолжительность прерывания электроснабжения на одного потребителя) и SAIFI (средняя частота прерываний на одного потребителя). Применение данных индексов позволяет количественно оценить влияние внедрения SCADA-системы на качество электроснабжения и обосновать экономическую целесообразность инвестиций в автоматизацию.</w:t>
      </w:r>
    </w:p>
    <w:p>
      <w:bookmarkStart w:id="42" w:name="_bm_glava_2"/>
      <w:pPr>
        <w:pageBreakBefore/>
        <w:spacing w:before="0" w:after="240" w:line="360" w:lineRule="auto"/>
        <w:ind w:firstLine="709"/>
        <w:jc w:val="both"/>
        <w:outlineLvl w:val="0"/>
      </w:pPr>
      <w:r>
        <w:rPr>
          <w:rFonts w:ascii="Times New Roman" w:hAnsi="Times New Roman"/>
          <w:b/>
          <w:color w:val="000000"/>
          <w:sz w:val="28"/>
        </w:rPr>
        <w:t>Глава 2. Архитектура системы мониторинга автоматизированного участка воздушной линии 6–10 кВ</w:t>
      </w:r>
      <w:bookmarkEnd w:id="42"/>
    </w:p>
    <w:p>
      <w:bookmarkStart w:id="43" w:name="_bm_section_2_1"/>
      <w:pPr>
        <w:spacing w:before="240" w:after="120" w:line="360" w:lineRule="auto"/>
        <w:ind w:firstLine="709"/>
        <w:jc w:val="both"/>
        <w:outlineLvl w:val="1"/>
      </w:pPr>
      <w:r>
        <w:rPr>
          <w:rFonts w:ascii="Times New Roman" w:hAnsi="Times New Roman"/>
          <w:b/>
          <w:color w:val="000000"/>
          <w:sz w:val="28"/>
        </w:rPr>
        <w:t>2.1 Общая структура автоматизированного участка ВЛ и состав оборудования</w:t>
      </w:r>
      <w:bookmarkEnd w:id="43"/>
    </w:p>
    <w:p>
      <w:pPr>
        <w:spacing w:before="0" w:after="0" w:line="360" w:lineRule="auto"/>
        <w:ind w:firstLine="709"/>
        <w:jc w:val="both"/>
      </w:pPr>
      <w:r>
        <w:rPr>
          <w:rFonts w:ascii="Times New Roman" w:hAnsi="Times New Roman"/>
          <w:b w:val="0"/>
          <w:i w:val="0"/>
          <w:color w:val="000000"/>
          <w:sz w:val="28"/>
        </w:rPr>
        <w:t>В настоящей работе разрабатываемая система мониторинга получила рабочее наименование SmartGrid Line. SmartGrid Line — это программно-аппаратная платформа для автоматизированного мониторинга и диспетчерского управления участками воздушных линий электропередачи 6–10 кВ, обеспечивающая сбор телеметрических данных от полевого оборудования (реклоузеров, датчиков), их обработку и визуализацию в режиме реального времени с интеграцией в SCADA-систему диспетчерского центра. Платформа реализует трёхуровневую архитектуру: полевой уровень (датчики и контроллеры реклоузеров на ВЛ 6–10 кВ), коммуникационный уровень (каналы GSM/GPRS/LTE) и диспетчерский уровень (сервер SCADA и веб-интерфейс оператора).</w:t>
      </w:r>
    </w:p>
    <w:p>
      <w:pPr>
        <w:spacing w:before="0" w:after="0" w:line="360" w:lineRule="auto"/>
        <w:ind w:firstLine="709"/>
        <w:jc w:val="both"/>
      </w:pPr>
      <w:r>
        <w:rPr>
          <w:rFonts w:ascii="Times New Roman" w:hAnsi="Times New Roman"/>
          <w:b w:val="0"/>
          <w:i w:val="0"/>
          <w:color w:val="000000"/>
          <w:sz w:val="28"/>
        </w:rPr>
        <w:t>Автоматизированный участок воздушной линии 6–10 кВ представляет собой совокупность электросетевого оборудования, средств релейной защиты и автоматики, коммуникационного оборудования и программного обеспечения, объединённых в единую информационно-управляющую систему. Рассматриваемый в данной работе типовой участок включает отходящий фидер питающей подстанции 35/10 кВ и магистральную воздушную линию 10 кВ протяжённостью 18 км с тремя ответвлениями к трансформаторным подстанциям (ТП) 10/0,4 кВ [1].</w:t>
      </w:r>
    </w:p>
    <w:p>
      <w:pPr>
        <w:spacing w:before="0" w:after="0" w:line="360" w:lineRule="auto"/>
        <w:ind w:firstLine="709"/>
        <w:jc w:val="both"/>
      </w:pPr>
      <w:r>
        <w:rPr>
          <w:rFonts w:ascii="Times New Roman" w:hAnsi="Times New Roman"/>
          <w:b w:val="0"/>
          <w:i w:val="0"/>
          <w:color w:val="000000"/>
          <w:sz w:val="28"/>
        </w:rPr>
        <w:t>На участке установлены три реклоузера, разделяющих линию на четыре секции. Реклоузер Р1 установлен на расстоянии 3 км от питающей подстанции и выполняет функцию головного секционирующего аппарата. Реклоузер Р2 расположен на расстоянии 9 км и обеспечивает секционирование средней части линии. Реклоузер Р3, установленный на расстоянии 15 км, разделяет удалённую часть линии. Такая схема секционирования позволяет при возникновении короткого замыкания автоматически отключить только повреждённую секцию, сохранив электроснабжение потребителей на неповреждённых участках [2].</w:t>
      </w:r>
    </w:p>
    <w:p>
      <w:pPr>
        <w:spacing w:before="0" w:after="0" w:line="360" w:lineRule="auto"/>
        <w:ind w:firstLine="709"/>
        <w:jc w:val="both"/>
      </w:pPr>
      <w:r>
        <w:rPr>
          <w:rFonts w:ascii="Times New Roman" w:hAnsi="Times New Roman"/>
          <w:b w:val="0"/>
          <w:i w:val="0"/>
          <w:color w:val="000000"/>
          <w:sz w:val="28"/>
        </w:rPr>
        <w:t>Каждый реклоузер оснащён контроллером с интегрированными функциями: релейная защита (максимальная токовая защита, защита от замыканий на землю, защита от обрыва провода), автоматика (автоматическое повторное включение, автоматическое секционирование), измерение параметров режима (токи, напряжения, мощности, частота, cosφ), регистрация осциллограмм аварийных режимов и телекоммуникационный модуль для связи с диспетчерским центром [3].</w:t>
      </w:r>
    </w:p>
    <w:p>
      <w:pPr>
        <w:spacing w:before="0" w:after="0" w:line="360" w:lineRule="auto"/>
        <w:ind w:firstLine="709"/>
        <w:jc w:val="both"/>
      </w:pPr>
      <w:r>
        <w:rPr>
          <w:rFonts w:ascii="Times New Roman" w:hAnsi="Times New Roman"/>
          <w:b w:val="0"/>
          <w:i w:val="0"/>
          <w:color w:val="000000"/>
          <w:sz w:val="28"/>
        </w:rPr>
        <w:t>Помимо реклоузеров, на участке установлены датчики контроля состояния линии. Датчики температуры провода крепятся непосредственно на токоведущих элементах и позволяют контролировать нагрев проводов при больших токовых нагрузках. Датчики гололёдообразования устанавливаются на специальных контрольных пролётах и обеспечивают раннее обнаружение ледяных отложений на проводах. Метеорологическая станция, расположенная в зоне обслуживания линии, передаёт данные о температуре воздуха, скорости и направлении ветра, количестве осадков [4].</w:t>
      </w:r>
    </w:p>
    <w:p>
      <w:pPr>
        <w:spacing w:before="0" w:after="0" w:line="360" w:lineRule="auto"/>
        <w:ind w:firstLine="709"/>
        <w:jc w:val="both"/>
      </w:pPr>
      <w:r>
        <w:rPr>
          <w:rFonts w:ascii="Times New Roman" w:hAnsi="Times New Roman"/>
          <w:b w:val="0"/>
          <w:i w:val="0"/>
          <w:color w:val="000000"/>
          <w:sz w:val="28"/>
        </w:rPr>
        <w:t>Общая структура автоматизированного участка может быть представлена в виде трёхуровневой иерархии: полевой уровень (оборудование, установленное непосредственно на линии), коммуникационный уровень (каналы связи и коммуникационное оборудование) и диспетчерский уровень (серверы SCADA-системы и рабочие станции операторов). Каждый из этих уровней подробно рассмотрен в последующих подразделах.</w:t>
      </w:r>
    </w:p>
    <w:p>
      <w:pPr>
        <w:spacing w:before="0" w:after="0" w:line="360" w:lineRule="auto"/>
        <w:ind w:firstLine="709"/>
        <w:jc w:val="both"/>
      </w:pPr>
      <w:r>
        <w:rPr>
          <w:rFonts w:ascii="Times New Roman" w:hAnsi="Times New Roman"/>
          <w:b w:val="0"/>
          <w:i w:val="0"/>
          <w:color w:val="000000"/>
          <w:sz w:val="28"/>
        </w:rPr>
        <w:t>Для более детального понимания структуры автоматизированного участка рассмотрим характеристики каждого из трёх реклоузеров, входящих в состав рассматриваемой схемы.</w:t>
      </w:r>
    </w:p>
    <w:p>
      <w:pPr>
        <w:spacing w:before="0" w:after="0" w:line="360" w:lineRule="auto"/>
        <w:ind w:firstLine="709"/>
        <w:jc w:val="both"/>
      </w:pPr>
      <w:r>
        <w:rPr>
          <w:rFonts w:ascii="Times New Roman" w:hAnsi="Times New Roman"/>
          <w:b w:val="0"/>
          <w:i w:val="0"/>
          <w:color w:val="000000"/>
          <w:sz w:val="28"/>
        </w:rPr>
        <w:t>Реклоузер Р1 (головной) установлен на отпайке от питающей подстанции 35/10 кВ «Западная». Номинальное напряжение — 10 кВ, номинальный ток — 400 А, отключающая способность — 12,5 кА. Реклоузер оснащён контроллером с функциями МТЗ (максимальная токовая защита) с двумя ступенями, ЗЗЗ (защита от замыканий на землю) по нулевой последовательности, защитой от обрыва провода и функцией АПВ (четырёхкратное). Уставки защит согласованы с защитами головного выключателя подстанции по принципу временной селективности с шагом 0,3 с.</w:t>
      </w:r>
    </w:p>
    <w:p>
      <w:pPr>
        <w:spacing w:before="0" w:after="0" w:line="360" w:lineRule="auto"/>
        <w:ind w:firstLine="709"/>
        <w:jc w:val="both"/>
      </w:pPr>
      <w:r>
        <w:rPr>
          <w:rFonts w:ascii="Times New Roman" w:hAnsi="Times New Roman"/>
          <w:b w:val="0"/>
          <w:i w:val="0"/>
          <w:color w:val="000000"/>
          <w:sz w:val="28"/>
        </w:rPr>
        <w:t>Реклоузер Р2 (секционирующий) расположен в средней части линии, в точке ответвления к трансформаторной подстанции ТП-5. Номинальный ток — 200 А. Уставки МТЗ согласованы с реклоузером Р1 по принципу убывания тока уставки и времени срабатывания по направлению от источника питания к нагрузке. Для реклоузера Р2 предусмотрена функция блокировки АПВ при подаче команды от SCADA-системы.</w:t>
      </w:r>
    </w:p>
    <w:p>
      <w:pPr>
        <w:spacing w:before="0" w:after="0" w:line="360" w:lineRule="auto"/>
        <w:ind w:firstLine="709"/>
        <w:jc w:val="both"/>
      </w:pPr>
      <w:r>
        <w:rPr>
          <w:rFonts w:ascii="Times New Roman" w:hAnsi="Times New Roman"/>
          <w:b w:val="0"/>
          <w:i w:val="0"/>
          <w:color w:val="000000"/>
          <w:sz w:val="28"/>
        </w:rPr>
        <w:t>Реклоузер Р3 (концевой) установлен в удалённой части линии, перед последней группой трансформаторных подстанций. Номинальный ток — 200 А. Данный реклоузер обеспечивает защиту наиболее удалённого и, как правило, наиболее повреждаемого участка линии. Для питания контроллера и коммуникационного оборудования используется встроенный трансформатор напряжения и аккумуляторная батарея ёмкостью 26 А·ч, обеспечивающая работу при обесточении линии в течение 24 часов.</w:t>
      </w:r>
    </w:p>
    <w:p>
      <w:pPr>
        <w:spacing w:before="0" w:after="0" w:line="360" w:lineRule="auto"/>
        <w:ind w:firstLine="709"/>
        <w:jc w:val="both"/>
      </w:pPr>
      <w:r>
        <w:rPr>
          <w:rFonts w:ascii="Times New Roman" w:hAnsi="Times New Roman"/>
          <w:b w:val="0"/>
          <w:i w:val="0"/>
          <w:color w:val="000000"/>
          <w:sz w:val="28"/>
        </w:rPr>
        <w:t>Помимо реклоузеров, в состав автоматизированного участка входят три комплекта датчиков мониторинга состояния линии. Каждый комплект включает: датчик температуры провода на базе инфракрасного сенсора с диапазоном измерения от минус 40 до плюс 120 градусов Цельсия и погрешностью не более 1 градуса; датчик наклона опоры с точностью 0,1 градуса для контроля механического состояния опорных конструкций; датчик токовой нагрузки на базе эффекта Холла. Данные от датчиков передаются по интерфейсу RS-485 на контроллер ближайшего реклоузера, который транслирует их в диспетчерский центр в составе общего телеметрического потока.</w:t>
      </w:r>
    </w:p>
    <w:p>
      <w:pPr>
        <w:spacing w:before="0" w:after="0" w:line="360" w:lineRule="auto"/>
        <w:ind w:firstLine="709"/>
        <w:jc w:val="both"/>
      </w:pPr>
      <w:r>
        <w:rPr>
          <w:rFonts w:ascii="Times New Roman" w:hAnsi="Times New Roman"/>
          <w:b w:val="0"/>
          <w:i w:val="0"/>
          <w:color w:val="000000"/>
          <w:sz w:val="28"/>
        </w:rPr>
        <w:t>Типовой автоматизированный участок воздушной линии 6–10 кВ, рассматриваемый в настоящей работе, включает три реклоузера, установленных на опорах линии электропередачи на расстоянии от 3 до 15 километров друг от друга. Каждый реклоузер оснащён встроенным микропроцессорным контроллером, выполняющим функции релейной защиты и автоматического повторного включения. Контроллер обеспечивает измерение токов и напряжений фаз, формирование дискретных сигналов о состоянии коммутационного аппарата, а также приём команд телеуправления по протоколу МЭК 60870-5-104.</w:t>
      </w:r>
    </w:p>
    <w:p>
      <w:pPr>
        <w:spacing w:before="0" w:after="0" w:line="360" w:lineRule="auto"/>
        <w:ind w:firstLine="709"/>
        <w:jc w:val="both"/>
      </w:pPr>
      <w:r>
        <w:rPr>
          <w:rFonts w:ascii="Times New Roman" w:hAnsi="Times New Roman"/>
          <w:b w:val="0"/>
          <w:i w:val="0"/>
          <w:color w:val="000000"/>
          <w:sz w:val="28"/>
        </w:rPr>
        <w:t>Помимо реклоузеров, в состав автоматизированного участка входят датчики параметров окружающей среды, размещённые на опорах линии. Комплект датчиков включает измерители температуры воздуха (диапазон от минус 50 до плюс 50 градусов Цельсия, погрешность не более 0,5 градуса), анемометры для измерения скорости ветра (диапазон от 0 до 60 метров в секунду), а также датчики гололёдной нагрузки. Метеорологические данные используются для прогнозирования условий эксплуатации линии и своевременного принятия решений о снижении нагрузки или выводе участка в ремонт.</w:t>
      </w:r>
    </w:p>
    <w:p>
      <w:pPr>
        <w:spacing w:before="0" w:after="0" w:line="360" w:lineRule="auto"/>
        <w:ind w:firstLine="709"/>
        <w:jc w:val="both"/>
      </w:pPr>
      <w:r>
        <w:rPr>
          <w:rFonts w:ascii="Times New Roman" w:hAnsi="Times New Roman"/>
          <w:b w:val="0"/>
          <w:i w:val="0"/>
          <w:color w:val="000000"/>
          <w:sz w:val="28"/>
        </w:rPr>
        <w:t>Особое внимание при проектировании автоматизированного участка уделяется вопросам электропитания оборудования мониторинга. Контроллеры реклоузеров и коммуникационное оборудование получают питание от трансформаторов собственных нужд, подключённых к контролируемой линии 6–10 кВ. Для обеспечения работоспособности системы при отключении линии предусмотрены аккумуляторные батареи с автоматическим зарядным устройством, обеспечивающие автономную работу оборудования в течение не менее 8 часов. В районах с устойчивым солнечным облучением дополнительно устанавливаются солнечные панели мощностью от 100 до 300 Вт.</w:t>
      </w:r>
    </w:p>
    <w:p>
      <w:bookmarkStart w:id="44" w:name="_bm_section_2_2"/>
      <w:pPr>
        <w:spacing w:before="240" w:after="120" w:line="360" w:lineRule="auto"/>
        <w:ind w:firstLine="709"/>
        <w:jc w:val="both"/>
        <w:outlineLvl w:val="1"/>
      </w:pPr>
      <w:r>
        <w:rPr>
          <w:rFonts w:ascii="Times New Roman" w:hAnsi="Times New Roman"/>
          <w:b/>
          <w:color w:val="000000"/>
          <w:sz w:val="28"/>
        </w:rPr>
        <w:t>2.2 Источники данных и измеряемые параметры автоматизированного участка ВЛ</w:t>
      </w:r>
      <w:bookmarkEnd w:id="44"/>
    </w:p>
    <w:p>
      <w:pPr>
        <w:spacing w:before="0" w:after="0" w:line="360" w:lineRule="auto"/>
        <w:ind w:firstLine="709"/>
        <w:jc w:val="both"/>
      </w:pPr>
      <w:r>
        <w:rPr>
          <w:rFonts w:ascii="Times New Roman" w:hAnsi="Times New Roman"/>
          <w:b w:val="0"/>
          <w:i w:val="0"/>
          <w:color w:val="000000"/>
          <w:sz w:val="28"/>
        </w:rPr>
        <w:t>Полевой уровень системы мониторинга включает совокупность устройств, формирующих информационный поток телеметрических данных. Основным источником данных являются контроллеры реклоузеров, которые обеспечивают измерение параметров электрического режима и формирование дискретных сигналов о состоянии оборудования [5].</w:t>
      </w:r>
    </w:p>
    <w:p>
      <w:pPr>
        <w:spacing w:before="0" w:after="0" w:line="360" w:lineRule="auto"/>
        <w:ind w:firstLine="709"/>
        <w:jc w:val="both"/>
      </w:pPr>
      <w:r>
        <w:rPr>
          <w:rFonts w:ascii="Times New Roman" w:hAnsi="Times New Roman"/>
          <w:b w:val="0"/>
          <w:i w:val="0"/>
          <w:color w:val="000000"/>
          <w:sz w:val="28"/>
        </w:rPr>
        <w:t>Перечень измеряемых параметров и их характеристики приведены в таблице 2.</w:t>
      </w:r>
    </w:p>
    <w:p>
      <w:pPr>
        <w:spacing w:before="240" w:after="120" w:line="360" w:lineRule="auto"/>
        <w:ind w:firstLine="0"/>
        <w:jc w:val="left"/>
      </w:pPr>
      <w:r>
        <w:rPr>
          <w:rFonts w:ascii="Times New Roman" w:hAnsi="Times New Roman"/>
          <w:color w:val="000000"/>
          <w:sz w:val="28"/>
        </w:rPr>
        <w:t>Таблица 2 – Измеряемые параметры автоматизированного участка ВЛ</w:t>
      </w:r>
    </w:p>
    <w:tbl>
      <w:tblPr>
        <w:tblStyle w:val="TableGrid"/>
        <w:tblW w:type="auto" w:w="0"/>
        <w:tblLook w:firstColumn="1" w:firstRow="1" w:lastColumn="0" w:lastRow="0" w:noHBand="0" w:noVBand="1" w:val="04A0"/>
        <w:tblW w:type="pct" w:w="5000"/>
      </w:tblPr>
      <w:tblGrid>
        <w:gridCol w:w="2339"/>
        <w:gridCol w:w="2339"/>
        <w:gridCol w:w="2339"/>
        <w:gridCol w:w="2339"/>
      </w:tblGrid>
      <w:tr>
        <w:tc>
          <w:tcPr>
            <w:tcW w:type="dxa" w:w="2339"/>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Параметр</w:t>
            </w:r>
          </w:p>
        </w:tc>
        <w:tc>
          <w:tcPr>
            <w:tcW w:type="dxa" w:w="2339"/>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Диапазон измерения</w:t>
            </w:r>
          </w:p>
        </w:tc>
        <w:tc>
          <w:tcPr>
            <w:tcW w:type="dxa" w:w="2339"/>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Класс точности</w:t>
            </w:r>
          </w:p>
        </w:tc>
        <w:tc>
          <w:tcPr>
            <w:tcW w:type="dxa" w:w="2339"/>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Период опроса, с</w:t>
            </w:r>
          </w:p>
        </w:tc>
      </w:tr>
      <w:tr>
        <w:tc>
          <w:tcPr>
            <w:tcW w:type="dxa" w:w="2339"/>
            <w:vAlign w:val="center"/>
            <w:tcMar>
              <w:top w:w="28" w:type="dxa"/>
              <w:bottom w:w="28" w:type="dxa"/>
              <w:left w:w="57" w:type="dxa"/>
              <w:right w:w="57" w:type="dxa"/>
            </w:tcMar>
          </w:tcPr>
          <w:p>
            <w:pPr>
              <w:spacing w:before="0" w:after="0" w:line="240" w:lineRule="auto"/>
              <w:ind w:firstLine="0"/>
              <w:jc w:val="left"/>
            </w:pPr>
            <w:r/>
            <w:r>
              <w:rPr>
                <w:rFonts w:ascii="Times New Roman" w:hAnsi="Times New Roman"/>
                <w:b w:val="0"/>
                <w:color w:val="000000"/>
                <w:sz w:val="28"/>
              </w:rPr>
              <w:t>Напряжение фазное, кВ</w:t>
            </w:r>
          </w:p>
        </w:tc>
        <w:tc>
          <w:tcPr>
            <w:tcW w:type="dxa" w:w="2339"/>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0–12</w:t>
            </w:r>
          </w:p>
        </w:tc>
        <w:tc>
          <w:tcPr>
            <w:tcW w:type="dxa" w:w="2339"/>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0,5</w:t>
            </w:r>
          </w:p>
        </w:tc>
        <w:tc>
          <w:tcPr>
            <w:tcW w:type="dxa" w:w="2339"/>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2</w:t>
            </w:r>
          </w:p>
        </w:tc>
      </w:tr>
      <w:tr>
        <w:tc>
          <w:tcPr>
            <w:tcW w:type="dxa" w:w="2339"/>
            <w:vAlign w:val="center"/>
            <w:tcMar>
              <w:top w:w="28" w:type="dxa"/>
              <w:bottom w:w="28" w:type="dxa"/>
              <w:left w:w="57" w:type="dxa"/>
              <w:right w:w="57" w:type="dxa"/>
            </w:tcMar>
          </w:tcPr>
          <w:p>
            <w:pPr>
              <w:spacing w:before="0" w:after="0" w:line="240" w:lineRule="auto"/>
              <w:ind w:firstLine="0"/>
              <w:jc w:val="left"/>
            </w:pPr>
            <w:r/>
            <w:r>
              <w:rPr>
                <w:rFonts w:ascii="Times New Roman" w:hAnsi="Times New Roman"/>
                <w:b w:val="0"/>
                <w:color w:val="000000"/>
                <w:sz w:val="28"/>
              </w:rPr>
              <w:t>Ток фазный, А</w:t>
            </w:r>
          </w:p>
        </w:tc>
        <w:tc>
          <w:tcPr>
            <w:tcW w:type="dxa" w:w="2339"/>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0–400</w:t>
            </w:r>
          </w:p>
        </w:tc>
        <w:tc>
          <w:tcPr>
            <w:tcW w:type="dxa" w:w="2339"/>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0,5</w:t>
            </w:r>
          </w:p>
        </w:tc>
        <w:tc>
          <w:tcPr>
            <w:tcW w:type="dxa" w:w="2339"/>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2</w:t>
            </w:r>
          </w:p>
        </w:tc>
      </w:tr>
      <w:tr>
        <w:tc>
          <w:tcPr>
            <w:tcW w:type="dxa" w:w="2339"/>
            <w:vAlign w:val="center"/>
            <w:tcMar>
              <w:top w:w="28" w:type="dxa"/>
              <w:bottom w:w="28" w:type="dxa"/>
              <w:left w:w="57" w:type="dxa"/>
              <w:right w:w="57" w:type="dxa"/>
            </w:tcMar>
          </w:tcPr>
          <w:p>
            <w:pPr>
              <w:spacing w:before="0" w:after="0" w:line="240" w:lineRule="auto"/>
              <w:ind w:firstLine="0"/>
              <w:jc w:val="left"/>
            </w:pPr>
            <w:r/>
            <w:r>
              <w:rPr>
                <w:rFonts w:ascii="Times New Roman" w:hAnsi="Times New Roman"/>
                <w:b w:val="0"/>
                <w:color w:val="000000"/>
                <w:sz w:val="28"/>
              </w:rPr>
              <w:t>Активная мощность, кВт</w:t>
            </w:r>
          </w:p>
        </w:tc>
        <w:tc>
          <w:tcPr>
            <w:tcW w:type="dxa" w:w="2339"/>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0–5000</w:t>
            </w:r>
          </w:p>
        </w:tc>
        <w:tc>
          <w:tcPr>
            <w:tcW w:type="dxa" w:w="2339"/>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1,0</w:t>
            </w:r>
          </w:p>
        </w:tc>
        <w:tc>
          <w:tcPr>
            <w:tcW w:type="dxa" w:w="2339"/>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5</w:t>
            </w:r>
          </w:p>
        </w:tc>
      </w:tr>
      <w:tr>
        <w:tc>
          <w:tcPr>
            <w:tcW w:type="dxa" w:w="2339"/>
            <w:vAlign w:val="center"/>
            <w:tcMar>
              <w:top w:w="28" w:type="dxa"/>
              <w:bottom w:w="28" w:type="dxa"/>
              <w:left w:w="57" w:type="dxa"/>
              <w:right w:w="57" w:type="dxa"/>
            </w:tcMar>
          </w:tcPr>
          <w:p>
            <w:pPr>
              <w:spacing w:before="0" w:after="0" w:line="240" w:lineRule="auto"/>
              <w:ind w:firstLine="0"/>
              <w:jc w:val="left"/>
            </w:pPr>
            <w:r/>
            <w:r>
              <w:rPr>
                <w:rFonts w:ascii="Times New Roman" w:hAnsi="Times New Roman"/>
                <w:b w:val="0"/>
                <w:color w:val="000000"/>
                <w:sz w:val="28"/>
              </w:rPr>
              <w:t>Реактивная мощность, квар</w:t>
            </w:r>
          </w:p>
        </w:tc>
        <w:tc>
          <w:tcPr>
            <w:tcW w:type="dxa" w:w="2339"/>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0–5000</w:t>
            </w:r>
          </w:p>
        </w:tc>
        <w:tc>
          <w:tcPr>
            <w:tcW w:type="dxa" w:w="2339"/>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1,0</w:t>
            </w:r>
          </w:p>
        </w:tc>
        <w:tc>
          <w:tcPr>
            <w:tcW w:type="dxa" w:w="2339"/>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5</w:t>
            </w:r>
          </w:p>
        </w:tc>
      </w:tr>
      <w:tr>
        <w:tc>
          <w:tcPr>
            <w:tcW w:type="dxa" w:w="2339"/>
            <w:vAlign w:val="center"/>
            <w:tcMar>
              <w:top w:w="28" w:type="dxa"/>
              <w:bottom w:w="28" w:type="dxa"/>
              <w:left w:w="57" w:type="dxa"/>
              <w:right w:w="57" w:type="dxa"/>
            </w:tcMar>
          </w:tcPr>
          <w:p>
            <w:pPr>
              <w:spacing w:before="0" w:after="0" w:line="240" w:lineRule="auto"/>
              <w:ind w:firstLine="0"/>
              <w:jc w:val="left"/>
            </w:pPr>
            <w:r/>
            <w:r>
              <w:rPr>
                <w:rFonts w:ascii="Times New Roman" w:hAnsi="Times New Roman"/>
                <w:b w:val="0"/>
                <w:color w:val="000000"/>
                <w:sz w:val="28"/>
              </w:rPr>
              <w:t>Частота, Гц</w:t>
            </w:r>
          </w:p>
        </w:tc>
        <w:tc>
          <w:tcPr>
            <w:tcW w:type="dxa" w:w="2339"/>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45–55</w:t>
            </w:r>
          </w:p>
        </w:tc>
        <w:tc>
          <w:tcPr>
            <w:tcW w:type="dxa" w:w="2339"/>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0,01</w:t>
            </w:r>
          </w:p>
        </w:tc>
        <w:tc>
          <w:tcPr>
            <w:tcW w:type="dxa" w:w="2339"/>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5</w:t>
            </w:r>
          </w:p>
        </w:tc>
      </w:tr>
      <w:tr>
        <w:tc>
          <w:tcPr>
            <w:tcW w:type="dxa" w:w="2339"/>
            <w:vAlign w:val="center"/>
            <w:tcMar>
              <w:top w:w="28" w:type="dxa"/>
              <w:bottom w:w="28" w:type="dxa"/>
              <w:left w:w="57" w:type="dxa"/>
              <w:right w:w="57" w:type="dxa"/>
            </w:tcMar>
          </w:tcPr>
          <w:p>
            <w:pPr>
              <w:spacing w:before="0" w:after="0" w:line="240" w:lineRule="auto"/>
              <w:ind w:firstLine="0"/>
              <w:jc w:val="left"/>
            </w:pPr>
            <w:r/>
            <w:r>
              <w:rPr>
                <w:rFonts w:ascii="Times New Roman" w:hAnsi="Times New Roman"/>
                <w:b w:val="0"/>
                <w:color w:val="000000"/>
                <w:sz w:val="28"/>
              </w:rPr>
              <w:t>Коэффициент мощности</w:t>
            </w:r>
          </w:p>
        </w:tc>
        <w:tc>
          <w:tcPr>
            <w:tcW w:type="dxa" w:w="2339"/>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0–1,0</w:t>
            </w:r>
          </w:p>
        </w:tc>
        <w:tc>
          <w:tcPr>
            <w:tcW w:type="dxa" w:w="2339"/>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0,02</w:t>
            </w:r>
          </w:p>
        </w:tc>
        <w:tc>
          <w:tcPr>
            <w:tcW w:type="dxa" w:w="2339"/>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10</w:t>
            </w:r>
          </w:p>
        </w:tc>
      </w:tr>
      <w:tr>
        <w:tc>
          <w:tcPr>
            <w:tcW w:type="dxa" w:w="2339"/>
            <w:vAlign w:val="center"/>
            <w:tcMar>
              <w:top w:w="28" w:type="dxa"/>
              <w:bottom w:w="28" w:type="dxa"/>
              <w:left w:w="57" w:type="dxa"/>
              <w:right w:w="57" w:type="dxa"/>
            </w:tcMar>
          </w:tcPr>
          <w:p>
            <w:pPr>
              <w:spacing w:before="0" w:after="0" w:line="240" w:lineRule="auto"/>
              <w:ind w:firstLine="0"/>
              <w:jc w:val="left"/>
            </w:pPr>
            <w:r/>
            <w:r>
              <w:rPr>
                <w:rFonts w:ascii="Times New Roman" w:hAnsi="Times New Roman"/>
                <w:b w:val="0"/>
                <w:color w:val="000000"/>
                <w:sz w:val="28"/>
              </w:rPr>
              <w:t>Температура провода, °C</w:t>
            </w:r>
          </w:p>
        </w:tc>
        <w:tc>
          <w:tcPr>
            <w:tcW w:type="dxa" w:w="2339"/>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−40…+120</w:t>
            </w:r>
          </w:p>
        </w:tc>
        <w:tc>
          <w:tcPr>
            <w:tcW w:type="dxa" w:w="2339"/>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±1°C</w:t>
            </w:r>
          </w:p>
        </w:tc>
        <w:tc>
          <w:tcPr>
            <w:tcW w:type="dxa" w:w="2339"/>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30</w:t>
            </w:r>
          </w:p>
        </w:tc>
      </w:tr>
      <w:tr>
        <w:tc>
          <w:tcPr>
            <w:tcW w:type="dxa" w:w="2339"/>
            <w:vAlign w:val="center"/>
            <w:tcMar>
              <w:top w:w="28" w:type="dxa"/>
              <w:bottom w:w="28" w:type="dxa"/>
              <w:left w:w="57" w:type="dxa"/>
              <w:right w:w="57" w:type="dxa"/>
            </w:tcMar>
          </w:tcPr>
          <w:p>
            <w:pPr>
              <w:spacing w:before="0" w:after="0" w:line="240" w:lineRule="auto"/>
              <w:ind w:firstLine="0"/>
              <w:jc w:val="left"/>
            </w:pPr>
            <w:r/>
            <w:r>
              <w:rPr>
                <w:rFonts w:ascii="Times New Roman" w:hAnsi="Times New Roman"/>
                <w:b w:val="0"/>
                <w:color w:val="000000"/>
                <w:sz w:val="28"/>
              </w:rPr>
              <w:t>Температура воздуха, °C</w:t>
            </w:r>
          </w:p>
        </w:tc>
        <w:tc>
          <w:tcPr>
            <w:tcW w:type="dxa" w:w="2339"/>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−50…+60</w:t>
            </w:r>
          </w:p>
        </w:tc>
        <w:tc>
          <w:tcPr>
            <w:tcW w:type="dxa" w:w="2339"/>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±0,5°C</w:t>
            </w:r>
          </w:p>
        </w:tc>
        <w:tc>
          <w:tcPr>
            <w:tcW w:type="dxa" w:w="2339"/>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60</w:t>
            </w:r>
          </w:p>
        </w:tc>
      </w:tr>
      <w:tr>
        <w:tc>
          <w:tcPr>
            <w:tcW w:type="dxa" w:w="2339"/>
            <w:vAlign w:val="center"/>
            <w:tcMar>
              <w:top w:w="28" w:type="dxa"/>
              <w:bottom w:w="28" w:type="dxa"/>
              <w:left w:w="57" w:type="dxa"/>
              <w:right w:w="57" w:type="dxa"/>
            </w:tcMar>
          </w:tcPr>
          <w:p>
            <w:pPr>
              <w:spacing w:before="0" w:after="0" w:line="240" w:lineRule="auto"/>
              <w:ind w:firstLine="0"/>
              <w:jc w:val="left"/>
            </w:pPr>
            <w:r/>
            <w:r>
              <w:rPr>
                <w:rFonts w:ascii="Times New Roman" w:hAnsi="Times New Roman"/>
                <w:b w:val="0"/>
                <w:color w:val="000000"/>
                <w:sz w:val="28"/>
              </w:rPr>
              <w:t>Скорость ветра, м/с</w:t>
            </w:r>
          </w:p>
        </w:tc>
        <w:tc>
          <w:tcPr>
            <w:tcW w:type="dxa" w:w="2339"/>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0–60</w:t>
            </w:r>
          </w:p>
        </w:tc>
        <w:tc>
          <w:tcPr>
            <w:tcW w:type="dxa" w:w="2339"/>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±0,5 м/с</w:t>
            </w:r>
          </w:p>
        </w:tc>
        <w:tc>
          <w:tcPr>
            <w:tcW w:type="dxa" w:w="2339"/>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60</w:t>
            </w:r>
          </w:p>
        </w:tc>
      </w:tr>
      <w:tr>
        <w:tc>
          <w:tcPr>
            <w:tcW w:type="dxa" w:w="2339"/>
            <w:vAlign w:val="center"/>
            <w:tcMar>
              <w:top w:w="28" w:type="dxa"/>
              <w:bottom w:w="28" w:type="dxa"/>
              <w:left w:w="57" w:type="dxa"/>
              <w:right w:w="57" w:type="dxa"/>
            </w:tcMar>
          </w:tcPr>
          <w:p>
            <w:pPr>
              <w:spacing w:before="0" w:after="0" w:line="240" w:lineRule="auto"/>
              <w:ind w:firstLine="0"/>
              <w:jc w:val="left"/>
            </w:pPr>
            <w:r/>
            <w:r>
              <w:rPr>
                <w:rFonts w:ascii="Times New Roman" w:hAnsi="Times New Roman"/>
                <w:b w:val="0"/>
                <w:color w:val="000000"/>
                <w:sz w:val="28"/>
              </w:rPr>
              <w:t>Нагрузка гололёда, кг/м</w:t>
            </w:r>
          </w:p>
        </w:tc>
        <w:tc>
          <w:tcPr>
            <w:tcW w:type="dxa" w:w="2339"/>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0–20</w:t>
            </w:r>
          </w:p>
        </w:tc>
        <w:tc>
          <w:tcPr>
            <w:tcW w:type="dxa" w:w="2339"/>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±0,1 кг/м</w:t>
            </w:r>
          </w:p>
        </w:tc>
        <w:tc>
          <w:tcPr>
            <w:tcW w:type="dxa" w:w="2339"/>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60</w:t>
            </w:r>
          </w:p>
        </w:tc>
      </w:tr>
    </w:tbl>
    <w:p>
      <w:pPr>
        <w:spacing w:before="0" w:after="0" w:line="360" w:lineRule="auto"/>
        <w:ind w:firstLine="709"/>
        <w:jc w:val="both"/>
      </w:pPr>
      <w:r>
        <w:rPr>
          <w:rFonts w:ascii="Times New Roman" w:hAnsi="Times New Roman"/>
          <w:b w:val="0"/>
          <w:i w:val="0"/>
          <w:color w:val="000000"/>
          <w:sz w:val="28"/>
        </w:rPr>
        <w:t>Помимо аналоговых измерений, от каждого реклоузера поступают дискретные сигналы телесигнализации: положение контактов (включён/отключён), готовность к телеуправлению, наличие неисправности, срабатывание защиты (с указанием вида: МТЗ, ЗЗЗ, защита от обрыва), состояние АПВ (успешно/неуспешно), состояние канала связи, наличие питания цепей управления. Общее количество дискретных сигналов от одного реклоузера составляет от 15 до 25 в зависимости от модели и конфигурации [6].</w:t>
      </w:r>
    </w:p>
    <w:p>
      <w:pPr>
        <w:spacing w:before="0" w:after="0" w:line="360" w:lineRule="auto"/>
        <w:ind w:firstLine="709"/>
        <w:jc w:val="both"/>
      </w:pPr>
      <w:r>
        <w:rPr>
          <w:rFonts w:ascii="Times New Roman" w:hAnsi="Times New Roman"/>
          <w:b w:val="0"/>
          <w:i w:val="0"/>
          <w:color w:val="000000"/>
          <w:sz w:val="28"/>
        </w:rPr>
        <w:t>Суммарный объём информационного потока от трёх реклоузеров и дополнительных датчиков составляет приблизительно 120–150 аналоговых параметров и 60–80 дискретных сигналов. При средней частоте опроса 5 секунд и размере одного отсчёта 8 байт (значение + метка времени) информационный поток составляет приблизительно 2–3 Кбайт/с в нормальном режиме. При аварийном режиме, когда частота опроса повышается и передаются осциллограммы, информационный поток может кратковременно возрастать до 20–30 Кбайт/с [7].</w:t>
      </w:r>
    </w:p>
    <w:p>
      <w:pPr>
        <w:spacing w:before="0" w:after="0" w:line="360" w:lineRule="auto"/>
        <w:ind w:firstLine="709"/>
        <w:jc w:val="both"/>
      </w:pPr>
      <w:r>
        <w:rPr>
          <w:rFonts w:ascii="Times New Roman" w:hAnsi="Times New Roman"/>
          <w:b w:val="0"/>
          <w:i w:val="0"/>
          <w:color w:val="000000"/>
          <w:sz w:val="28"/>
        </w:rPr>
        <w:t>Помимо основных электрических параметров, перечисленных в таблице 2, система мониторинга может дополнительно контролировать ряд параметров, характеризующих качество электроэнергии в соответствии с ГОСТ 32144-2013. К ним относятся: коэффициент несинусоидальности напряжения (THD), характеризующий уровень гармонических составляющих; отклонение напряжения от номинального значения в процентах; коэффициент несимметрии напряжений по обратной и нулевой последовательности; провалы и перенапряжения длительностью более 10 мс. Контроль параметров качества электроэнергии особенно актуален при наличии на линии нелинейных нагрузок (частотные преобразователи, дуговые печи) или распределённых источников генерации.</w:t>
      </w:r>
    </w:p>
    <w:p>
      <w:pPr>
        <w:spacing w:before="0" w:after="0" w:line="360" w:lineRule="auto"/>
        <w:ind w:firstLine="709"/>
        <w:jc w:val="both"/>
      </w:pPr>
      <w:r>
        <w:rPr>
          <w:rFonts w:ascii="Times New Roman" w:hAnsi="Times New Roman"/>
          <w:b w:val="0"/>
          <w:i w:val="0"/>
          <w:color w:val="000000"/>
          <w:sz w:val="28"/>
        </w:rPr>
        <w:t>Отдельным классом измеряемых параметров являются данные осциллографирования аварийных режимов. При срабатывании защиты контроллер реклоузера записывает осциллограммы токов и напряжений всех трёх фаз с частотой дискретизации 1200–4800 отсчётов в секунду. Длительность записи составляет: доаварийный участок — от 0,5 до 2 периодов промышленной частоты (10–40 мс), аварийный участок — вся длительность протекания тока короткого замыкания (до нескольких секунд), послеаварийный участок — от 2 до 5 периодов. Осциллограммы сохраняются в формате COMTRADE (Common Format for Transient Data Exchange, стандарт IEEE C37.111) и могут быть переданы в диспетчерский центр для детального анализа причин аварии.</w:t>
      </w:r>
    </w:p>
    <w:p>
      <w:pPr>
        <w:spacing w:before="0" w:after="0" w:line="360" w:lineRule="auto"/>
        <w:ind w:firstLine="709"/>
        <w:jc w:val="both"/>
      </w:pPr>
      <w:r>
        <w:rPr>
          <w:rFonts w:ascii="Times New Roman" w:hAnsi="Times New Roman"/>
          <w:b w:val="0"/>
          <w:i w:val="0"/>
          <w:color w:val="000000"/>
          <w:sz w:val="28"/>
        </w:rPr>
        <w:t>Для обеспечения корректности измерений все датчики и измерительные каналы подлежат периодической метрологической поверке в соответствии с требованиями Федерального закона от 26.06.2008 № 102-ФЗ «Об обеспечении единства измерений». Встроенные трансформаторы тока и напряжения реклоузеров поверяются с периодичностью 4–8 лет. Внешние датчики температуры и метеорологические приборы поверяются ежегодно. Данные о поверке хранятся в конфигурационной базе данных SCADA-системы и используются при расчёте достоверности измерений.</w:t>
      </w:r>
    </w:p>
    <w:p>
      <w:bookmarkStart w:id="45" w:name="_bm_section_2_3"/>
      <w:pPr>
        <w:spacing w:before="240" w:after="120" w:line="360" w:lineRule="auto"/>
        <w:ind w:firstLine="709"/>
        <w:jc w:val="both"/>
        <w:outlineLvl w:val="1"/>
      </w:pPr>
      <w:r>
        <w:rPr>
          <w:rFonts w:ascii="Times New Roman" w:hAnsi="Times New Roman"/>
          <w:b/>
          <w:color w:val="000000"/>
          <w:sz w:val="28"/>
        </w:rPr>
        <w:t>2.3 Каналы связи и способы передачи данных в SCADA-систему</w:t>
      </w:r>
      <w:bookmarkEnd w:id="45"/>
    </w:p>
    <w:p>
      <w:pPr>
        <w:spacing w:before="0" w:after="0" w:line="360" w:lineRule="auto"/>
        <w:ind w:firstLine="709"/>
        <w:jc w:val="both"/>
      </w:pPr>
      <w:r>
        <w:rPr>
          <w:rFonts w:ascii="Times New Roman" w:hAnsi="Times New Roman"/>
          <w:b w:val="0"/>
          <w:i w:val="0"/>
          <w:color w:val="000000"/>
          <w:sz w:val="28"/>
        </w:rPr>
        <w:t>Выбор каналов связи является одним из ключевых вопросов при проектировании системы мониторинга ВЛ 6–10 кВ. Каналы связи должны обеспечивать надёжную передачу телеметрических данных в реальном времени с учётом территориальной удалённости объектов контроля и ограниченной инфраструктуры в зоне прохождения воздушной линии [8].</w:t>
      </w:r>
    </w:p>
    <w:p>
      <w:pPr>
        <w:spacing w:before="0" w:after="0" w:line="360" w:lineRule="auto"/>
        <w:ind w:firstLine="709"/>
        <w:jc w:val="both"/>
      </w:pPr>
      <w:r>
        <w:rPr>
          <w:rFonts w:ascii="Times New Roman" w:hAnsi="Times New Roman"/>
          <w:b w:val="0"/>
          <w:i w:val="0"/>
          <w:color w:val="000000"/>
          <w:sz w:val="28"/>
        </w:rPr>
        <w:t>В таблице 3 представлен сравнительный анализ каналов связи, применимых для связи с реклоузерами на ВЛ 6–10 кВ.</w:t>
      </w:r>
    </w:p>
    <w:p>
      <w:pPr>
        <w:spacing w:before="240" w:after="120" w:line="360" w:lineRule="auto"/>
        <w:ind w:firstLine="0"/>
        <w:jc w:val="left"/>
      </w:pPr>
      <w:r>
        <w:rPr>
          <w:rFonts w:ascii="Times New Roman" w:hAnsi="Times New Roman"/>
          <w:color w:val="000000"/>
          <w:sz w:val="28"/>
        </w:rPr>
        <w:t>Таблица 3 – Сравнительный анализ каналов связи для ВЛ 6–10 кВ</w:t>
      </w:r>
    </w:p>
    <w:tbl>
      <w:tblPr>
        <w:tblStyle w:val="TableGrid"/>
        <w:tblW w:type="auto" w:w="0"/>
        <w:tblLook w:firstColumn="1" w:firstRow="1" w:lastColumn="0" w:lastRow="0" w:noHBand="0" w:noVBand="1" w:val="04A0"/>
        <w:tblW w:type="pct" w:w="5000"/>
      </w:tblPr>
      <w:tblGrid>
        <w:gridCol w:w="1871"/>
        <w:gridCol w:w="1871"/>
        <w:gridCol w:w="1871"/>
        <w:gridCol w:w="1871"/>
        <w:gridCol w:w="1871"/>
      </w:tblGrid>
      <w:tr>
        <w:tc>
          <w:tcPr>
            <w:tcW w:type="dxa" w:w="1871"/>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Характеристика</w:t>
            </w:r>
          </w:p>
        </w:tc>
        <w:tc>
          <w:tcPr>
            <w:tcW w:type="dxa" w:w="1871"/>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ВОЛС</w:t>
            </w:r>
          </w:p>
        </w:tc>
        <w:tc>
          <w:tcPr>
            <w:tcW w:type="dxa" w:w="1871"/>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Радиоканал (УКВ)</w:t>
            </w:r>
          </w:p>
        </w:tc>
        <w:tc>
          <w:tcPr>
            <w:tcW w:type="dxa" w:w="1871"/>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GSM/GPRS</w:t>
            </w:r>
          </w:p>
        </w:tc>
        <w:tc>
          <w:tcPr>
            <w:tcW w:type="dxa" w:w="1871"/>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LTE</w:t>
            </w:r>
          </w:p>
        </w:tc>
      </w:tr>
      <w:tr>
        <w:tc>
          <w:tcPr>
            <w:tcW w:type="dxa" w:w="1871"/>
            <w:vAlign w:val="center"/>
            <w:tcMar>
              <w:top w:w="28" w:type="dxa"/>
              <w:bottom w:w="28" w:type="dxa"/>
              <w:left w:w="57" w:type="dxa"/>
              <w:right w:w="57" w:type="dxa"/>
            </w:tcMar>
          </w:tcPr>
          <w:p>
            <w:pPr>
              <w:spacing w:before="0" w:after="0" w:line="240" w:lineRule="auto"/>
              <w:ind w:firstLine="0"/>
              <w:jc w:val="left"/>
            </w:pPr>
            <w:r/>
            <w:r>
              <w:rPr>
                <w:rFonts w:ascii="Times New Roman" w:hAnsi="Times New Roman"/>
                <w:b w:val="0"/>
                <w:color w:val="000000"/>
                <w:sz w:val="28"/>
              </w:rPr>
              <w:t>Пропускная способность</w:t>
            </w:r>
          </w:p>
        </w:tc>
        <w:tc>
          <w:tcPr>
            <w:tcW w:type="dxa" w:w="1871"/>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до 1 Гбит/с</w:t>
            </w:r>
          </w:p>
        </w:tc>
        <w:tc>
          <w:tcPr>
            <w:tcW w:type="dxa" w:w="1871"/>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9,6–19,2 Кбит/с</w:t>
            </w:r>
          </w:p>
        </w:tc>
        <w:tc>
          <w:tcPr>
            <w:tcW w:type="dxa" w:w="1871"/>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40–80 Кбит/с</w:t>
            </w:r>
          </w:p>
        </w:tc>
        <w:tc>
          <w:tcPr>
            <w:tcW w:type="dxa" w:w="1871"/>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до 50 Мбит/с</w:t>
            </w:r>
          </w:p>
        </w:tc>
      </w:tr>
      <w:tr>
        <w:tc>
          <w:tcPr>
            <w:tcW w:type="dxa" w:w="1871"/>
            <w:vAlign w:val="center"/>
            <w:tcMar>
              <w:top w:w="28" w:type="dxa"/>
              <w:bottom w:w="28" w:type="dxa"/>
              <w:left w:w="57" w:type="dxa"/>
              <w:right w:w="57" w:type="dxa"/>
            </w:tcMar>
          </w:tcPr>
          <w:p>
            <w:pPr>
              <w:spacing w:before="0" w:after="0" w:line="240" w:lineRule="auto"/>
              <w:ind w:firstLine="0"/>
              <w:jc w:val="left"/>
            </w:pPr>
            <w:r/>
            <w:r>
              <w:rPr>
                <w:rFonts w:ascii="Times New Roman" w:hAnsi="Times New Roman"/>
                <w:b w:val="0"/>
                <w:color w:val="000000"/>
                <w:sz w:val="28"/>
              </w:rPr>
              <w:t>Задержка передачи</w:t>
            </w:r>
          </w:p>
        </w:tc>
        <w:tc>
          <w:tcPr>
            <w:tcW w:type="dxa" w:w="1871"/>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&lt;1 мс</w:t>
            </w:r>
          </w:p>
        </w:tc>
        <w:tc>
          <w:tcPr>
            <w:tcW w:type="dxa" w:w="1871"/>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10–50 мс</w:t>
            </w:r>
          </w:p>
        </w:tc>
        <w:tc>
          <w:tcPr>
            <w:tcW w:type="dxa" w:w="1871"/>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100–500 мс</w:t>
            </w:r>
          </w:p>
        </w:tc>
        <w:tc>
          <w:tcPr>
            <w:tcW w:type="dxa" w:w="1871"/>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20–50 мс</w:t>
            </w:r>
          </w:p>
        </w:tc>
      </w:tr>
      <w:tr>
        <w:tc>
          <w:tcPr>
            <w:tcW w:type="dxa" w:w="1871"/>
            <w:vAlign w:val="center"/>
            <w:tcMar>
              <w:top w:w="28" w:type="dxa"/>
              <w:bottom w:w="28" w:type="dxa"/>
              <w:left w:w="57" w:type="dxa"/>
              <w:right w:w="57" w:type="dxa"/>
            </w:tcMar>
          </w:tcPr>
          <w:p>
            <w:pPr>
              <w:spacing w:before="0" w:after="0" w:line="240" w:lineRule="auto"/>
              <w:ind w:firstLine="0"/>
              <w:jc w:val="left"/>
            </w:pPr>
            <w:r/>
            <w:r>
              <w:rPr>
                <w:rFonts w:ascii="Times New Roman" w:hAnsi="Times New Roman"/>
                <w:b w:val="0"/>
                <w:color w:val="000000"/>
                <w:sz w:val="28"/>
              </w:rPr>
              <w:t>Дальность действия</w:t>
            </w:r>
          </w:p>
        </w:tc>
        <w:tc>
          <w:tcPr>
            <w:tcW w:type="dxa" w:w="1871"/>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до 80 км</w:t>
            </w:r>
          </w:p>
        </w:tc>
        <w:tc>
          <w:tcPr>
            <w:tcW w:type="dxa" w:w="1871"/>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до 30 км</w:t>
            </w:r>
          </w:p>
        </w:tc>
        <w:tc>
          <w:tcPr>
            <w:tcW w:type="dxa" w:w="1871"/>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Зона покрытия</w:t>
            </w:r>
          </w:p>
        </w:tc>
        <w:tc>
          <w:tcPr>
            <w:tcW w:type="dxa" w:w="1871"/>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Зона покрытия</w:t>
            </w:r>
          </w:p>
        </w:tc>
      </w:tr>
      <w:tr>
        <w:tc>
          <w:tcPr>
            <w:tcW w:type="dxa" w:w="1871"/>
            <w:vAlign w:val="center"/>
            <w:tcMar>
              <w:top w:w="28" w:type="dxa"/>
              <w:bottom w:w="28" w:type="dxa"/>
              <w:left w:w="57" w:type="dxa"/>
              <w:right w:w="57" w:type="dxa"/>
            </w:tcMar>
          </w:tcPr>
          <w:p>
            <w:pPr>
              <w:spacing w:before="0" w:after="0" w:line="240" w:lineRule="auto"/>
              <w:ind w:firstLine="0"/>
              <w:jc w:val="left"/>
            </w:pPr>
            <w:r/>
            <w:r>
              <w:rPr>
                <w:rFonts w:ascii="Times New Roman" w:hAnsi="Times New Roman"/>
                <w:b w:val="0"/>
                <w:color w:val="000000"/>
                <w:sz w:val="28"/>
              </w:rPr>
              <w:t>Надёжность</w:t>
            </w:r>
          </w:p>
        </w:tc>
        <w:tc>
          <w:tcPr>
            <w:tcW w:type="dxa" w:w="1871"/>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Очень высокая</w:t>
            </w:r>
          </w:p>
        </w:tc>
        <w:tc>
          <w:tcPr>
            <w:tcW w:type="dxa" w:w="1871"/>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Высокая</w:t>
            </w:r>
          </w:p>
        </w:tc>
        <w:tc>
          <w:tcPr>
            <w:tcW w:type="dxa" w:w="1871"/>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Средняя</w:t>
            </w:r>
          </w:p>
        </w:tc>
        <w:tc>
          <w:tcPr>
            <w:tcW w:type="dxa" w:w="1871"/>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Средне-высокая</w:t>
            </w:r>
          </w:p>
        </w:tc>
      </w:tr>
      <w:tr>
        <w:tc>
          <w:tcPr>
            <w:tcW w:type="dxa" w:w="1871"/>
            <w:vAlign w:val="center"/>
            <w:tcMar>
              <w:top w:w="28" w:type="dxa"/>
              <w:bottom w:w="28" w:type="dxa"/>
              <w:left w:w="57" w:type="dxa"/>
              <w:right w:w="57" w:type="dxa"/>
            </w:tcMar>
          </w:tcPr>
          <w:p>
            <w:pPr>
              <w:spacing w:before="0" w:after="0" w:line="240" w:lineRule="auto"/>
              <w:ind w:firstLine="0"/>
              <w:jc w:val="left"/>
            </w:pPr>
            <w:r/>
            <w:r>
              <w:rPr>
                <w:rFonts w:ascii="Times New Roman" w:hAnsi="Times New Roman"/>
                <w:b w:val="0"/>
                <w:color w:val="000000"/>
                <w:sz w:val="28"/>
              </w:rPr>
              <w:t>Стоимость развёрт.</w:t>
            </w:r>
          </w:p>
        </w:tc>
        <w:tc>
          <w:tcPr>
            <w:tcW w:type="dxa" w:w="1871"/>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Высокая</w:t>
            </w:r>
          </w:p>
        </w:tc>
        <w:tc>
          <w:tcPr>
            <w:tcW w:type="dxa" w:w="1871"/>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Средняя</w:t>
            </w:r>
          </w:p>
        </w:tc>
        <w:tc>
          <w:tcPr>
            <w:tcW w:type="dxa" w:w="1871"/>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Низкая</w:t>
            </w:r>
          </w:p>
        </w:tc>
        <w:tc>
          <w:tcPr>
            <w:tcW w:type="dxa" w:w="1871"/>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Низкая</w:t>
            </w:r>
          </w:p>
        </w:tc>
      </w:tr>
      <w:tr>
        <w:tc>
          <w:tcPr>
            <w:tcW w:type="dxa" w:w="1871"/>
            <w:vAlign w:val="center"/>
            <w:tcMar>
              <w:top w:w="28" w:type="dxa"/>
              <w:bottom w:w="28" w:type="dxa"/>
              <w:left w:w="57" w:type="dxa"/>
              <w:right w:w="57" w:type="dxa"/>
            </w:tcMar>
          </w:tcPr>
          <w:p>
            <w:pPr>
              <w:spacing w:before="0" w:after="0" w:line="240" w:lineRule="auto"/>
              <w:ind w:firstLine="0"/>
              <w:jc w:val="left"/>
            </w:pPr>
            <w:r/>
            <w:r>
              <w:rPr>
                <w:rFonts w:ascii="Times New Roman" w:hAnsi="Times New Roman"/>
                <w:b w:val="0"/>
                <w:color w:val="000000"/>
                <w:sz w:val="28"/>
              </w:rPr>
              <w:t>Стоимость эксплуат.</w:t>
            </w:r>
          </w:p>
        </w:tc>
        <w:tc>
          <w:tcPr>
            <w:tcW w:type="dxa" w:w="1871"/>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Низкая</w:t>
            </w:r>
          </w:p>
        </w:tc>
        <w:tc>
          <w:tcPr>
            <w:tcW w:type="dxa" w:w="1871"/>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Низкая</w:t>
            </w:r>
          </w:p>
        </w:tc>
        <w:tc>
          <w:tcPr>
            <w:tcW w:type="dxa" w:w="1871"/>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Средняя (трафик)</w:t>
            </w:r>
          </w:p>
        </w:tc>
        <w:tc>
          <w:tcPr>
            <w:tcW w:type="dxa" w:w="1871"/>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Средняя (трафик)</w:t>
            </w:r>
          </w:p>
        </w:tc>
      </w:tr>
      <w:tr>
        <w:tc>
          <w:tcPr>
            <w:tcW w:type="dxa" w:w="1871"/>
            <w:vAlign w:val="center"/>
            <w:tcMar>
              <w:top w:w="28" w:type="dxa"/>
              <w:bottom w:w="28" w:type="dxa"/>
              <w:left w:w="57" w:type="dxa"/>
              <w:right w:w="57" w:type="dxa"/>
            </w:tcMar>
          </w:tcPr>
          <w:p>
            <w:pPr>
              <w:spacing w:before="0" w:after="0" w:line="240" w:lineRule="auto"/>
              <w:ind w:firstLine="0"/>
              <w:jc w:val="left"/>
            </w:pPr>
            <w:r/>
            <w:r>
              <w:rPr>
                <w:rFonts w:ascii="Times New Roman" w:hAnsi="Times New Roman"/>
                <w:b w:val="0"/>
                <w:color w:val="000000"/>
                <w:sz w:val="28"/>
              </w:rPr>
              <w:t>Зависимость от 3 лиц</w:t>
            </w:r>
          </w:p>
        </w:tc>
        <w:tc>
          <w:tcPr>
            <w:tcW w:type="dxa" w:w="1871"/>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Нет</w:t>
            </w:r>
          </w:p>
        </w:tc>
        <w:tc>
          <w:tcPr>
            <w:tcW w:type="dxa" w:w="1871"/>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Нет</w:t>
            </w:r>
          </w:p>
        </w:tc>
        <w:tc>
          <w:tcPr>
            <w:tcW w:type="dxa" w:w="1871"/>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Да (оператор)</w:t>
            </w:r>
          </w:p>
        </w:tc>
        <w:tc>
          <w:tcPr>
            <w:tcW w:type="dxa" w:w="1871"/>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Да (оператор)</w:t>
            </w:r>
          </w:p>
        </w:tc>
      </w:tr>
      <w:tr>
        <w:tc>
          <w:tcPr>
            <w:tcW w:type="dxa" w:w="1871"/>
            <w:vAlign w:val="center"/>
            <w:tcMar>
              <w:top w:w="28" w:type="dxa"/>
              <w:bottom w:w="28" w:type="dxa"/>
              <w:left w:w="57" w:type="dxa"/>
              <w:right w:w="57" w:type="dxa"/>
            </w:tcMar>
          </w:tcPr>
          <w:p>
            <w:pPr>
              <w:spacing w:before="0" w:after="0" w:line="240" w:lineRule="auto"/>
              <w:ind w:firstLine="0"/>
              <w:jc w:val="left"/>
            </w:pPr>
            <w:r/>
            <w:r>
              <w:rPr>
                <w:rFonts w:ascii="Times New Roman" w:hAnsi="Times New Roman"/>
                <w:b w:val="0"/>
                <w:color w:val="000000"/>
                <w:sz w:val="28"/>
              </w:rPr>
              <w:t>Необходимость лицензии</w:t>
            </w:r>
          </w:p>
        </w:tc>
        <w:tc>
          <w:tcPr>
            <w:tcW w:type="dxa" w:w="1871"/>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Нет</w:t>
            </w:r>
          </w:p>
        </w:tc>
        <w:tc>
          <w:tcPr>
            <w:tcW w:type="dxa" w:w="1871"/>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Да (Роскомнадзор)</w:t>
            </w:r>
          </w:p>
        </w:tc>
        <w:tc>
          <w:tcPr>
            <w:tcW w:type="dxa" w:w="1871"/>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Нет</w:t>
            </w:r>
          </w:p>
        </w:tc>
        <w:tc>
          <w:tcPr>
            <w:tcW w:type="dxa" w:w="1871"/>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Нет</w:t>
            </w:r>
          </w:p>
        </w:tc>
      </w:tr>
    </w:tbl>
    <w:p>
      <w:pPr>
        <w:spacing w:before="0" w:after="0" w:line="360" w:lineRule="auto"/>
        <w:ind w:firstLine="709"/>
        <w:jc w:val="both"/>
      </w:pPr>
      <w:r>
        <w:rPr>
          <w:rFonts w:ascii="Times New Roman" w:hAnsi="Times New Roman"/>
          <w:b w:val="0"/>
          <w:i w:val="0"/>
          <w:color w:val="000000"/>
          <w:sz w:val="28"/>
        </w:rPr>
        <w:t>Волоконно-оптические линии связи (ВОЛС) обеспечивают наилучшие характеристики по пропускной способности и надёжности, однако их использование на ВЛ 6–10 кВ экономически целесообразно только при прокладке оптического кабеля в составе грозозащитного троса (ОКГТ) или при подвеске самонесущего оптического кабеля на опорах ВЛ. Стоимость прокладки ВОЛС составляет от 300 до 800 тысяч рублей за километр в зависимости от типа кабеля и способа монтажа [9].</w:t>
      </w:r>
    </w:p>
    <w:p>
      <w:pPr>
        <w:spacing w:before="0" w:after="0" w:line="360" w:lineRule="auto"/>
        <w:ind w:firstLine="709"/>
        <w:jc w:val="both"/>
      </w:pPr>
      <w:r>
        <w:rPr>
          <w:rFonts w:ascii="Times New Roman" w:hAnsi="Times New Roman"/>
          <w:b w:val="0"/>
          <w:i w:val="0"/>
          <w:color w:val="000000"/>
          <w:sz w:val="28"/>
        </w:rPr>
        <w:t>Радиоканал на основе УКВ-радиостанций является надёжным решением, не зависящим от внешних операторов связи. Однако ограниченная пропускная способность (9,6–19,2 Кбит/с) позволяет передавать только базовые телеметрические данные без осциллограмм и подробных архивов. Использование радиочастот требует получения частотного разрешения от Роскомнадзора [10].</w:t>
      </w:r>
    </w:p>
    <w:p>
      <w:pPr>
        <w:spacing w:before="0" w:after="0" w:line="360" w:lineRule="auto"/>
        <w:ind w:firstLine="709"/>
        <w:jc w:val="both"/>
      </w:pPr>
      <w:r>
        <w:rPr>
          <w:rFonts w:ascii="Times New Roman" w:hAnsi="Times New Roman"/>
          <w:b w:val="0"/>
          <w:i w:val="0"/>
          <w:color w:val="000000"/>
          <w:sz w:val="28"/>
        </w:rPr>
        <w:t>Каналы связи на основе мобильных сетей GSM/GPRS и LTE являются наиболее доступным решением, не требующим развёртывания собственной коммуникационной инфраструктуры. Основным недостатком является зависимость от зоны покрытия оператора мобильной связи, которая в сельской местности может быть нестабильной. Для повышения надёжности используется одновременное подключение к двум операторам связи с автоматическим переключением при потере связи с основным оператором [11].</w:t>
      </w:r>
    </w:p>
    <w:p>
      <w:pPr>
        <w:spacing w:before="0" w:after="0" w:line="360" w:lineRule="auto"/>
        <w:ind w:firstLine="709"/>
        <w:jc w:val="both"/>
      </w:pPr>
      <w:r>
        <w:rPr>
          <w:rFonts w:ascii="Times New Roman" w:hAnsi="Times New Roman"/>
          <w:b w:val="0"/>
          <w:i w:val="0"/>
          <w:color w:val="000000"/>
          <w:sz w:val="28"/>
        </w:rPr>
        <w:t>В рассматриваемой системе мониторинга принято решение использовать GSM/GPRS в качестве основного канала связи с резервированием через LTE второго оператора. Данный выбор обусловлен наличием покрытия мобильных сетей в зоне прохождения ВЛ, низкими затратами на развёртывание и достаточной пропускной способностью для передачи телеметрических данных в объёмах, характерных для трёх реклоузеров [12].</w:t>
      </w:r>
    </w:p>
    <w:p>
      <w:pPr>
        <w:spacing w:before="0" w:after="0" w:line="360" w:lineRule="auto"/>
        <w:ind w:firstLine="709"/>
        <w:jc w:val="both"/>
      </w:pPr>
      <w:r>
        <w:rPr>
          <w:rFonts w:ascii="Times New Roman" w:hAnsi="Times New Roman"/>
          <w:b w:val="0"/>
          <w:i w:val="0"/>
          <w:color w:val="000000"/>
          <w:sz w:val="28"/>
        </w:rPr>
        <w:t>При выборе конфигурации каналов связи для рассматриваемого автоматизированного участка был проведён детальный анализ зоны покрытия мобильных сетей в районе прохождения воздушной линии. Анализ показал, что уровень сигнала GSM/GPRS оператора «МегаФон» в зоне установки реклоузеров составляет от минус 75 до минус 95 дБм, что соответствует удовлетворительному и хорошему качеству связи. Уровень сигнала оператора «МТС» в тех же точках составляет от минус 80 до минус 100 дБм. Покрытие LTE обеспечивается обоими операторами, однако в зоне установки реклоузера Р3 (наиболее удалённого) уровень сигнала LTE нестабилен, поэтому для данной точки в качестве резервного канала используется GSM/GPRS второго оператора, а не LTE.</w:t>
      </w:r>
    </w:p>
    <w:p>
      <w:pPr>
        <w:spacing w:before="0" w:after="0" w:line="360" w:lineRule="auto"/>
        <w:ind w:firstLine="709"/>
        <w:jc w:val="both"/>
      </w:pPr>
      <w:r>
        <w:rPr>
          <w:rFonts w:ascii="Times New Roman" w:hAnsi="Times New Roman"/>
          <w:b w:val="0"/>
          <w:i w:val="0"/>
          <w:color w:val="000000"/>
          <w:sz w:val="28"/>
        </w:rPr>
        <w:t>Для организации защищённого канала связи между реклоузерами и диспетчерским центром используется технология VPN (Virtual Private Network) на базе протокола IPsec. VPN-туннель обеспечивает шифрование всех передаваемых данных (включая телеметрию и команды управления) и аутентификацию устройств, что соответствует требованиям информационной безопасности для объектов критической информационной инфраструктуры. Для каждого реклоузера создаётся отдельный VPN-туннель через промышленный маршрутизатор с поддержкой двух SIM-карт, обеспечивающий автоматическое переключение между операторами связи при потере основного канала.</w:t>
      </w:r>
    </w:p>
    <w:p>
      <w:pPr>
        <w:spacing w:before="0" w:after="0" w:line="360" w:lineRule="auto"/>
        <w:ind w:firstLine="709"/>
        <w:jc w:val="both"/>
      </w:pPr>
      <w:r>
        <w:rPr>
          <w:rFonts w:ascii="Times New Roman" w:hAnsi="Times New Roman"/>
          <w:b w:val="0"/>
          <w:i w:val="0"/>
          <w:color w:val="000000"/>
          <w:sz w:val="28"/>
        </w:rPr>
        <w:t>Отдельно следует рассмотреть вопрос синхронизации времени на полевых устройствах при использовании каналов мобильной связи. Протокол МЭК 60870-5-104 предусматривает синхронизацию часов контролируемой станции от управляющей станции с помощью команды C_CS_NA_1 (Clock Synchronization). Однако при работе через каналы GSM/GPRS точность такой синхронизации ограничена задержкой канала связи (100–500 мс), что недостаточно для осциллографирования аварийных процессов. Для обеспечения миллисекундной точности синхронизации контроллеры реклоузеров оснащены встроенными ГНСС-приёмниками (ГЛОНАСС/GPS), обеспечивающими привязку меток времени к шкале UTC с точностью не хуже 1 мкс.</w:t>
      </w:r>
    </w:p>
    <w:p>
      <w:pPr>
        <w:spacing w:before="0" w:after="0" w:line="360" w:lineRule="auto"/>
        <w:ind w:firstLine="709"/>
        <w:jc w:val="both"/>
      </w:pPr>
      <w:r>
        <w:rPr>
          <w:rFonts w:ascii="Times New Roman" w:hAnsi="Times New Roman"/>
          <w:b w:val="0"/>
          <w:i w:val="0"/>
          <w:color w:val="000000"/>
          <w:sz w:val="28"/>
        </w:rPr>
        <w:t>При выборе канала связи для системы мониторинга воздушной линии 6–10 кВ необходимо учитывать не только технические характеристики, но и экономические аспекты развёртывания и эксплуатации. Стоимость организации канала связи на основе волоконно-оптической линии связи (ВОЛС) составляет от 200 до 500 тысяч рублей за километр трассы, что делает данное решение экономически нецелесообразным для линий протяжённостью более 10–15 километров. Радиоканал на частотах 400–900 МГц обеспечивает дальность связи до 30 километров при прямой видимости, однако требует получения частотного разрешения и подвержен помехам от индустриальных источников.</w:t>
      </w:r>
    </w:p>
    <w:p>
      <w:pPr>
        <w:spacing w:before="0" w:after="0" w:line="360" w:lineRule="auto"/>
        <w:ind w:firstLine="709"/>
        <w:jc w:val="both"/>
      </w:pPr>
      <w:r>
        <w:rPr>
          <w:rFonts w:ascii="Times New Roman" w:hAnsi="Times New Roman"/>
          <w:b w:val="0"/>
          <w:i w:val="0"/>
          <w:color w:val="000000"/>
          <w:sz w:val="28"/>
        </w:rPr>
        <w:t>Технология GSM/GPRS, выбранная в качестве основного канала связи для рассматриваемого автоматизированного участка, обеспечивает скорость передачи данных от 20 до 85 килобит в секунду в режиме GPRS и до 236 килобит в секунду в режиме EDGE. Данной пропускной способности достаточно для передачи телеметрических данных от трёх реклоузеров и комплекта датчиков с периодом опроса 5–10 секунд. Объём передаваемых данных в нормальном режиме составляет не более 500 байт на цикл опроса одного устройства, что соответствует суточному трафику около 4–5 мегабайт на весь участок.</w:t>
      </w:r>
    </w:p>
    <w:p>
      <w:pPr>
        <w:spacing w:before="0" w:after="0" w:line="360" w:lineRule="auto"/>
        <w:ind w:firstLine="709"/>
        <w:jc w:val="both"/>
      </w:pPr>
      <w:r>
        <w:rPr>
          <w:rFonts w:ascii="Times New Roman" w:hAnsi="Times New Roman"/>
          <w:b w:val="0"/>
          <w:i w:val="0"/>
          <w:color w:val="000000"/>
          <w:sz w:val="28"/>
        </w:rPr>
        <w:t>Резервирование канала связи через LTE обеспечивает автоматическое переключение при потере основного GSM/GPRS-соединения. Время переключения составляет от 5 до 15 секунд, что допустимо для задач мониторинга, не требующих непрерывной передачи данных в реальном времени. Критически важные аварийные сигналы (короткое замыкание, замыкание на землю, превышение допустимой температуры) передаются приоритетно с использованием механизма спонтанной передачи протокола МЭК 60870-5-104, что гарантирует их доставку на диспетчерский пункт в течение не более 3 секунд от момента возникновения события.</w:t>
      </w:r>
    </w:p>
    <w:p>
      <w:bookmarkStart w:id="46" w:name="_bm_section_2_4"/>
      <w:pPr>
        <w:spacing w:before="240" w:after="120" w:line="360" w:lineRule="auto"/>
        <w:ind w:firstLine="709"/>
        <w:jc w:val="both"/>
        <w:outlineLvl w:val="1"/>
      </w:pPr>
      <w:r>
        <w:rPr>
          <w:rFonts w:ascii="Times New Roman" w:hAnsi="Times New Roman"/>
          <w:b/>
          <w:color w:val="000000"/>
          <w:sz w:val="28"/>
        </w:rPr>
        <w:t>2.4 Архитектура системы мониторинга и взаимодействие её элементов</w:t>
      </w:r>
      <w:bookmarkEnd w:id="46"/>
    </w:p>
    <w:p>
      <w:pPr>
        <w:spacing w:before="0" w:after="0" w:line="360" w:lineRule="auto"/>
        <w:ind w:firstLine="709"/>
        <w:jc w:val="both"/>
      </w:pPr>
      <w:r>
        <w:rPr>
          <w:rFonts w:ascii="Times New Roman" w:hAnsi="Times New Roman"/>
          <w:b w:val="0"/>
          <w:i w:val="0"/>
          <w:color w:val="000000"/>
          <w:sz w:val="28"/>
        </w:rPr>
        <w:t>Архитектура системы мониторинга построена по трёхуровневому принципу в соответствии с рекомендациями стандарта МЭК 62351 и практикой построения АСУ ТП в электроэнергетике [13].</w:t>
      </w:r>
    </w:p>
    <w:p>
      <w:pPr>
        <w:spacing w:before="0" w:after="0" w:line="360" w:lineRule="auto"/>
        <w:ind w:firstLine="709"/>
        <w:jc w:val="both"/>
      </w:pPr>
      <w:r>
        <w:rPr>
          <w:rFonts w:ascii="Times New Roman" w:hAnsi="Times New Roman"/>
          <w:b w:val="0"/>
          <w:i w:val="0"/>
          <w:color w:val="000000"/>
          <w:sz w:val="28"/>
        </w:rPr>
        <w:t>Первый уровень — полевой. На данном уровне расположены контроллеры реклоузеров, датчики параметров окружающей среды и коммуникационное оборудование (GSM/GPRS-модемы). Контроллеры реклоузеров выполняют первичную обработку измеренных величин: аналого-цифровое преобразование, фильтрацию, вычисление действующих значений токов и напряжений, расчёт мощностей и частоты. Обработанные данные формируются в телеграммы протокола МЭК 60870-5-104 и передаются на коммуникационный уровень. Контроллеры также обеспечивают буферизацию данных при временной потере связи с диспетчерским центром: накопленные данные автоматически передаются после восстановления соединения [14].</w:t>
      </w:r>
    </w:p>
    <w:p>
      <w:pPr>
        <w:spacing w:before="0" w:after="0" w:line="360" w:lineRule="auto"/>
        <w:ind w:firstLine="709"/>
        <w:jc w:val="both"/>
      </w:pPr>
      <w:r>
        <w:rPr>
          <w:rFonts w:ascii="Times New Roman" w:hAnsi="Times New Roman"/>
          <w:b w:val="0"/>
          <w:i w:val="0"/>
          <w:color w:val="000000"/>
          <w:sz w:val="28"/>
        </w:rPr>
        <w:t>Второй уровень — коммуникационный. Данный уровень обеспечивает транспортировку данных между полевыми устройствами и диспетчерским центром. Основу коммуникационного уровня составляют каналы мобильной связи GSM/GPRS, организованные через VPN-туннели для обеспечения информационной безопасности. Для каждого реклоузера организовано два независимых канала связи (основной и резервный) через разных операторов мобильной связи. Управление каналами связи осуществляется коммуникационным сервером, который отслеживает состояние каждого канала и при обнаружении потери связи автоматически переключается на резервный канал [15].</w:t>
      </w:r>
    </w:p>
    <w:p>
      <w:pPr>
        <w:spacing w:before="0" w:after="0" w:line="360" w:lineRule="auto"/>
        <w:ind w:firstLine="709"/>
        <w:jc w:val="both"/>
      </w:pPr>
      <w:r>
        <w:rPr>
          <w:rFonts w:ascii="Times New Roman" w:hAnsi="Times New Roman"/>
          <w:b w:val="0"/>
          <w:i w:val="0"/>
          <w:color w:val="000000"/>
          <w:sz w:val="28"/>
        </w:rPr>
        <w:t>Третий уровень — диспетчерский. На данном уровне расположены серверы SCADA-системы, база данных, рабочие станции диспетчеров и вспомогательные системы (архивный сервер, веб-сервер для удалённого доступа). Основной сервер SCADA-системы принимает данные от коммуникационного сервера, выполняет их обработку (проверку достоверности, пересчёт, нормализацию), записывает в базу данных, формирует мнемосхемы и передаёт на рабочие станции операторов. Для обеспечения отказоустойчивости основной сервер дублируется резервным сервером, работающим в режиме горячего резерва [16].</w:t>
      </w:r>
    </w:p>
    <w:p>
      <w:pPr>
        <w:spacing w:before="0" w:after="0" w:line="360" w:lineRule="auto"/>
        <w:ind w:firstLine="709"/>
        <w:jc w:val="both"/>
      </w:pPr>
      <w:r>
        <w:rPr>
          <w:rFonts w:ascii="Times New Roman" w:hAnsi="Times New Roman"/>
          <w:b w:val="0"/>
          <w:i w:val="0"/>
          <w:color w:val="000000"/>
          <w:sz w:val="28"/>
        </w:rPr>
        <w:t>Взаимодействие между уровнями системы осуществляется по следующей схеме. Контроллеры реклоузеров инициируют TCP-соединение с коммуникационным сервером по протоколу МЭК 60870-5-104. После установления соединения коммуникационный сервер отправляет команду общего опроса (General Interrogation) для получения текущих значений всех контролируемых параметров. Далее контроллеры передают данные в двух режимах: периодическая передача телеизмерений с заданным интервалом (cyclic) и спорадическая передача при изменении состояния дискретных сигналов (spontaneous). При необходимости дистанционного управления реклоузером диспетчер формирует команду на рабочей станции, которая передаётся через основной сервер и коммуникационный сервер на контроллер реклоузера с обязательным квитированием (подтверждением) выполнения [17].</w:t>
      </w:r>
    </w:p>
    <w:p>
      <w:pPr>
        <w:spacing w:before="0" w:after="0" w:line="360" w:lineRule="auto"/>
        <w:ind w:firstLine="709"/>
        <w:jc w:val="both"/>
      </w:pPr>
      <w:r>
        <w:rPr>
          <w:rFonts w:ascii="Times New Roman" w:hAnsi="Times New Roman"/>
          <w:b w:val="0"/>
          <w:i w:val="0"/>
          <w:color w:val="000000"/>
          <w:sz w:val="28"/>
        </w:rPr>
        <w:t>Важной особенностью архитектуры является применение принципа «store-and-forward» (буферизация и пересылка) для обеспечения гарантированной доставки данных при нестабильных каналах связи. Контроллеры реклоузеров оснащены энергонезависимой памятью объёмом до 64 Мбайт, позволяющей хранить телеметрические данные и события за период до 7 суток при отсутствии связи. После восстановления соединения накопленные данные автоматически синхронизируются с сервером SCADA-системы с сохранением меток времени [18].</w:t>
      </w:r>
    </w:p>
    <w:p>
      <w:pPr>
        <w:spacing w:before="120" w:after="0"/>
        <w:ind w:firstLine="0"/>
        <w:jc w:val="center"/>
      </w:pPr>
      <w:r>
        <w:drawing>
          <wp:inline xmlns:a="http://schemas.openxmlformats.org/drawingml/2006/main" xmlns:pic="http://schemas.openxmlformats.org/drawingml/2006/picture">
            <wp:extent cx="5400000" cy="3085714"/>
            <wp:docPr id="1" name="Picture 1"/>
            <wp:cNvGraphicFramePr>
              <a:graphicFrameLocks noChangeAspect="1"/>
            </wp:cNvGraphicFramePr>
            <a:graphic>
              <a:graphicData uri="http://schemas.openxmlformats.org/drawingml/2006/picture">
                <pic:pic>
                  <pic:nvPicPr>
                    <pic:cNvPr id="0" name="fig1_architecture.png"/>
                    <pic:cNvPicPr/>
                  </pic:nvPicPr>
                  <pic:blipFill>
                    <a:blip r:embed="rId10"/>
                    <a:stretch>
                      <a:fillRect/>
                    </a:stretch>
                  </pic:blipFill>
                  <pic:spPr>
                    <a:xfrm>
                      <a:off x="0" y="0"/>
                      <a:ext cx="5400000" cy="3085714"/>
                    </a:xfrm>
                    <a:prstGeom prst="rect"/>
                  </pic:spPr>
                </pic:pic>
              </a:graphicData>
            </a:graphic>
          </wp:inline>
        </w:drawing>
      </w:r>
    </w:p>
    <w:p>
      <w:pPr>
        <w:spacing w:before="120" w:after="240" w:line="360" w:lineRule="auto"/>
        <w:ind w:firstLine="0"/>
        <w:jc w:val="center"/>
      </w:pPr>
      <w:r>
        <w:rPr>
          <w:rFonts w:ascii="Times New Roman" w:hAnsi="Times New Roman"/>
          <w:color w:val="000000"/>
          <w:sz w:val="28"/>
        </w:rPr>
        <w:t>Рисунок 1 – Трёхуровневая архитектура системы мониторинга автоматизированного участка ВЛ</w:t>
      </w:r>
    </w:p>
    <w:p>
      <w:pPr>
        <w:spacing w:before="0" w:after="0" w:line="360" w:lineRule="auto"/>
        <w:ind w:firstLine="709"/>
        <w:jc w:val="both"/>
      </w:pPr>
      <w:r>
        <w:rPr>
          <w:rFonts w:ascii="Times New Roman" w:hAnsi="Times New Roman"/>
          <w:b w:val="0"/>
          <w:i w:val="0"/>
          <w:color w:val="000000"/>
          <w:sz w:val="28"/>
        </w:rPr>
        <w:t>Рассмотрим более подробно процесс обработки телеметрических данных на диспетчерском уровне системы. Основной сервер SCADA-системы выполняет следующую последовательность операций при поступлении новых данных от контроллера реклоузера.</w:t>
      </w:r>
    </w:p>
    <w:p>
      <w:pPr>
        <w:spacing w:before="0" w:after="0" w:line="360" w:lineRule="auto"/>
        <w:ind w:firstLine="709"/>
        <w:jc w:val="both"/>
      </w:pPr>
      <w:r>
        <w:rPr>
          <w:rFonts w:ascii="Times New Roman" w:hAnsi="Times New Roman"/>
          <w:b w:val="0"/>
          <w:i w:val="0"/>
          <w:color w:val="000000"/>
          <w:sz w:val="28"/>
        </w:rPr>
        <w:t>На первом этапе производится проверка достоверности данных. Каждое полученное измерение проверяется по нескольким критериям: анализ дескриптора качества (Quality Descriptor), передаваемого в составе информационного объекта протокола IEC 104; проверка принадлежности значения допустимому физическому диапазону (например, напряжение не может быть отрицательным, ток не может превышать номинальную отключающую способность аппарата); проверка скорости изменения параметра (gradient check) — слишком быстрое изменение может свидетельствовать о неисправности датчика, а не о реальном процессе в сети; проверка метки времени — данные с временем, отличающимся от текущего более чем на заданную величину, помечаются как «substituted» (замещённые).</w:t>
      </w:r>
    </w:p>
    <w:p>
      <w:pPr>
        <w:spacing w:before="0" w:after="0" w:line="360" w:lineRule="auto"/>
        <w:ind w:firstLine="709"/>
        <w:jc w:val="both"/>
      </w:pPr>
      <w:r>
        <w:rPr>
          <w:rFonts w:ascii="Times New Roman" w:hAnsi="Times New Roman"/>
          <w:b w:val="0"/>
          <w:i w:val="0"/>
          <w:color w:val="000000"/>
          <w:sz w:val="28"/>
        </w:rPr>
        <w:t>На втором этапе выполняется пересчёт и нормализация данных. Контроллеры реклоузеров передают значения токов и напряжений в первичных величинах, которые при необходимости пересчитываются с учётом коэффициентов трансформации измерительных трансформаторов. Также выполняется расчёт производных параметров, не передаваемых непосредственно от контроллера: полная мощность, коэффициент несимметрии токов, энергия нарастающим итогом.</w:t>
      </w:r>
    </w:p>
    <w:p>
      <w:pPr>
        <w:spacing w:before="0" w:after="0" w:line="360" w:lineRule="auto"/>
        <w:ind w:firstLine="709"/>
        <w:jc w:val="both"/>
      </w:pPr>
      <w:r>
        <w:rPr>
          <w:rFonts w:ascii="Times New Roman" w:hAnsi="Times New Roman"/>
          <w:b w:val="0"/>
          <w:i w:val="0"/>
          <w:color w:val="000000"/>
          <w:sz w:val="28"/>
        </w:rPr>
        <w:t>На третьем этапе обработанные данные записываются в базу данных и передаются на рабочие станции операторов. Для минимизации задержки передача на рабочие станции осуществляется параллельно с записью в базу данных через механизм WebSocket. Это обеспечивает обновление информации на экране диспетчера практически мгновенно (задержка не превышает 100–200 мс от момента поступления данных на сервер).</w:t>
      </w:r>
    </w:p>
    <w:p>
      <w:bookmarkStart w:id="47" w:name="_bm_section_2_5"/>
      <w:pPr>
        <w:spacing w:before="240" w:after="120" w:line="360" w:lineRule="auto"/>
        <w:ind w:firstLine="709"/>
        <w:jc w:val="both"/>
        <w:outlineLvl w:val="1"/>
      </w:pPr>
      <w:r>
        <w:rPr>
          <w:rFonts w:ascii="Times New Roman" w:hAnsi="Times New Roman"/>
          <w:b/>
          <w:color w:val="000000"/>
          <w:sz w:val="28"/>
        </w:rPr>
        <w:t>2.5 Требования к надёжности и отказоустойчивости системы мониторинга</w:t>
      </w:r>
      <w:bookmarkEnd w:id="47"/>
    </w:p>
    <w:p>
      <w:pPr>
        <w:spacing w:before="0" w:after="0" w:line="360" w:lineRule="auto"/>
        <w:ind w:firstLine="709"/>
        <w:jc w:val="both"/>
      </w:pPr>
      <w:r>
        <w:rPr>
          <w:rFonts w:ascii="Times New Roman" w:hAnsi="Times New Roman"/>
          <w:b w:val="0"/>
          <w:i w:val="0"/>
          <w:color w:val="000000"/>
          <w:sz w:val="28"/>
        </w:rPr>
        <w:t>Надёжность системы мониторинга является критическим параметром, определяющим её пригодность для промышленной эксплуатации. В соответствии с РД 34.35.127-93 «Руководящие указания по проектированию систем оперативно-диспетчерского управления энергосистемами» и СТО 56947007-29.240.10.028-2009 «Автоматизированные системы управления технологическими процессами подстанций», к SCADA-системе предъявляются следующие требования по надёжности [19].</w:t>
      </w:r>
    </w:p>
    <w:p>
      <w:pPr>
        <w:spacing w:before="0" w:after="0" w:line="360" w:lineRule="auto"/>
        <w:ind w:firstLine="709"/>
        <w:jc w:val="both"/>
      </w:pPr>
      <w:r>
        <w:rPr>
          <w:rFonts w:ascii="Times New Roman" w:hAnsi="Times New Roman"/>
          <w:b w:val="0"/>
          <w:i w:val="0"/>
          <w:color w:val="000000"/>
          <w:sz w:val="28"/>
        </w:rPr>
        <w:t>Основные показатели надёжности системы мониторинга представлены в таблице 4.</w:t>
      </w:r>
    </w:p>
    <w:p>
      <w:pPr>
        <w:spacing w:before="240" w:after="120" w:line="360" w:lineRule="auto"/>
        <w:ind w:firstLine="0"/>
        <w:jc w:val="left"/>
      </w:pPr>
      <w:r>
        <w:rPr>
          <w:rFonts w:ascii="Times New Roman" w:hAnsi="Times New Roman"/>
          <w:color w:val="000000"/>
          <w:sz w:val="28"/>
        </w:rPr>
        <w:t>Таблица 4 – Требуемые показатели надёжности системы мониторинга</w:t>
      </w:r>
    </w:p>
    <w:tbl>
      <w:tblPr>
        <w:tblStyle w:val="TableGrid"/>
        <w:tblW w:type="auto" w:w="0"/>
        <w:tblLook w:firstColumn="1" w:firstRow="1" w:lastColumn="0" w:lastRow="0" w:noHBand="0" w:noVBand="1" w:val="04A0"/>
        <w:tblW w:type="pct" w:w="5000"/>
      </w:tblPr>
      <w:tblGrid>
        <w:gridCol w:w="2339"/>
        <w:gridCol w:w="2339"/>
        <w:gridCol w:w="2339"/>
        <w:gridCol w:w="2339"/>
      </w:tblGrid>
      <w:tr>
        <w:tc>
          <w:tcPr>
            <w:tcW w:type="dxa" w:w="2339"/>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Показатель</w:t>
            </w:r>
          </w:p>
        </w:tc>
        <w:tc>
          <w:tcPr>
            <w:tcW w:type="dxa" w:w="2339"/>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Обозначение</w:t>
            </w:r>
          </w:p>
        </w:tc>
        <w:tc>
          <w:tcPr>
            <w:tcW w:type="dxa" w:w="2339"/>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Требуемое значение</w:t>
            </w:r>
          </w:p>
        </w:tc>
        <w:tc>
          <w:tcPr>
            <w:tcW w:type="dxa" w:w="2339"/>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Единица измерения</w:t>
            </w:r>
          </w:p>
        </w:tc>
      </w:tr>
      <w:tr>
        <w:tc>
          <w:tcPr>
            <w:tcW w:type="dxa" w:w="2339"/>
            <w:vAlign w:val="center"/>
            <w:tcMar>
              <w:top w:w="28" w:type="dxa"/>
              <w:bottom w:w="28" w:type="dxa"/>
              <w:left w:w="57" w:type="dxa"/>
              <w:right w:w="57" w:type="dxa"/>
            </w:tcMar>
          </w:tcPr>
          <w:p>
            <w:pPr>
              <w:spacing w:before="0" w:after="0" w:line="240" w:lineRule="auto"/>
              <w:ind w:firstLine="0"/>
              <w:jc w:val="left"/>
            </w:pPr>
            <w:r/>
            <w:r>
              <w:rPr>
                <w:rFonts w:ascii="Times New Roman" w:hAnsi="Times New Roman"/>
                <w:b w:val="0"/>
                <w:color w:val="000000"/>
                <w:sz w:val="28"/>
              </w:rPr>
              <w:t>Коэффициент готовности</w:t>
            </w:r>
          </w:p>
        </w:tc>
        <w:tc>
          <w:tcPr>
            <w:tcW w:type="dxa" w:w="2339"/>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Кг</w:t>
            </w:r>
          </w:p>
        </w:tc>
        <w:tc>
          <w:tcPr>
            <w:tcW w:type="dxa" w:w="2339"/>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 0,999</w:t>
            </w:r>
          </w:p>
        </w:tc>
        <w:tc>
          <w:tcPr>
            <w:tcW w:type="dxa" w:w="2339"/>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w:t>
            </w:r>
          </w:p>
        </w:tc>
      </w:tr>
      <w:tr>
        <w:tc>
          <w:tcPr>
            <w:tcW w:type="dxa" w:w="2339"/>
            <w:vAlign w:val="center"/>
            <w:tcMar>
              <w:top w:w="28" w:type="dxa"/>
              <w:bottom w:w="28" w:type="dxa"/>
              <w:left w:w="57" w:type="dxa"/>
              <w:right w:w="57" w:type="dxa"/>
            </w:tcMar>
          </w:tcPr>
          <w:p>
            <w:pPr>
              <w:spacing w:before="0" w:after="0" w:line="240" w:lineRule="auto"/>
              <w:ind w:firstLine="0"/>
              <w:jc w:val="left"/>
            </w:pPr>
            <w:r/>
            <w:r>
              <w:rPr>
                <w:rFonts w:ascii="Times New Roman" w:hAnsi="Times New Roman"/>
                <w:b w:val="0"/>
                <w:color w:val="000000"/>
                <w:sz w:val="28"/>
              </w:rPr>
              <w:t>Среднее время наработки на отказ</w:t>
            </w:r>
          </w:p>
        </w:tc>
        <w:tc>
          <w:tcPr>
            <w:tcW w:type="dxa" w:w="2339"/>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MTBF</w:t>
            </w:r>
          </w:p>
        </w:tc>
        <w:tc>
          <w:tcPr>
            <w:tcW w:type="dxa" w:w="2339"/>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 50 000</w:t>
            </w:r>
          </w:p>
        </w:tc>
        <w:tc>
          <w:tcPr>
            <w:tcW w:type="dxa" w:w="2339"/>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ч</w:t>
            </w:r>
          </w:p>
        </w:tc>
      </w:tr>
      <w:tr>
        <w:tc>
          <w:tcPr>
            <w:tcW w:type="dxa" w:w="2339"/>
            <w:vAlign w:val="center"/>
            <w:tcMar>
              <w:top w:w="28" w:type="dxa"/>
              <w:bottom w:w="28" w:type="dxa"/>
              <w:left w:w="57" w:type="dxa"/>
              <w:right w:w="57" w:type="dxa"/>
            </w:tcMar>
          </w:tcPr>
          <w:p>
            <w:pPr>
              <w:spacing w:before="0" w:after="0" w:line="240" w:lineRule="auto"/>
              <w:ind w:firstLine="0"/>
              <w:jc w:val="left"/>
            </w:pPr>
            <w:r/>
            <w:r>
              <w:rPr>
                <w:rFonts w:ascii="Times New Roman" w:hAnsi="Times New Roman"/>
                <w:b w:val="0"/>
                <w:color w:val="000000"/>
                <w:sz w:val="28"/>
              </w:rPr>
              <w:t>Среднее время восстановления</w:t>
            </w:r>
          </w:p>
        </w:tc>
        <w:tc>
          <w:tcPr>
            <w:tcW w:type="dxa" w:w="2339"/>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MTTR</w:t>
            </w:r>
          </w:p>
        </w:tc>
        <w:tc>
          <w:tcPr>
            <w:tcW w:type="dxa" w:w="2339"/>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 0,5 (гор. резерв)</w:t>
            </w:r>
          </w:p>
        </w:tc>
        <w:tc>
          <w:tcPr>
            <w:tcW w:type="dxa" w:w="2339"/>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ч</w:t>
            </w:r>
          </w:p>
        </w:tc>
      </w:tr>
      <w:tr>
        <w:tc>
          <w:tcPr>
            <w:tcW w:type="dxa" w:w="2339"/>
            <w:vAlign w:val="center"/>
            <w:tcMar>
              <w:top w:w="28" w:type="dxa"/>
              <w:bottom w:w="28" w:type="dxa"/>
              <w:left w:w="57" w:type="dxa"/>
              <w:right w:w="57" w:type="dxa"/>
            </w:tcMar>
          </w:tcPr>
          <w:p>
            <w:pPr>
              <w:spacing w:before="0" w:after="0" w:line="240" w:lineRule="auto"/>
              <w:ind w:firstLine="0"/>
              <w:jc w:val="left"/>
            </w:pPr>
            <w:r/>
            <w:r>
              <w:rPr>
                <w:rFonts w:ascii="Times New Roman" w:hAnsi="Times New Roman"/>
                <w:b w:val="0"/>
                <w:color w:val="000000"/>
                <w:sz w:val="28"/>
              </w:rPr>
              <w:t>Допустимое время простоя в год</w:t>
            </w:r>
          </w:p>
        </w:tc>
        <w:tc>
          <w:tcPr>
            <w:tcW w:type="dxa" w:w="2339"/>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Тпр</w:t>
            </w:r>
          </w:p>
        </w:tc>
        <w:tc>
          <w:tcPr>
            <w:tcW w:type="dxa" w:w="2339"/>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 8,76</w:t>
            </w:r>
          </w:p>
        </w:tc>
        <w:tc>
          <w:tcPr>
            <w:tcW w:type="dxa" w:w="2339"/>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ч</w:t>
            </w:r>
          </w:p>
        </w:tc>
      </w:tr>
      <w:tr>
        <w:tc>
          <w:tcPr>
            <w:tcW w:type="dxa" w:w="2339"/>
            <w:vAlign w:val="center"/>
            <w:tcMar>
              <w:top w:w="28" w:type="dxa"/>
              <w:bottom w:w="28" w:type="dxa"/>
              <w:left w:w="57" w:type="dxa"/>
              <w:right w:w="57" w:type="dxa"/>
            </w:tcMar>
          </w:tcPr>
          <w:p>
            <w:pPr>
              <w:spacing w:before="0" w:after="0" w:line="240" w:lineRule="auto"/>
              <w:ind w:firstLine="0"/>
              <w:jc w:val="left"/>
            </w:pPr>
            <w:r/>
            <w:r>
              <w:rPr>
                <w:rFonts w:ascii="Times New Roman" w:hAnsi="Times New Roman"/>
                <w:b w:val="0"/>
                <w:color w:val="000000"/>
                <w:sz w:val="28"/>
              </w:rPr>
              <w:t>Вероятность безотказной работы (1 год)</w:t>
            </w:r>
          </w:p>
        </w:tc>
        <w:tc>
          <w:tcPr>
            <w:tcW w:type="dxa" w:w="2339"/>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P(t)</w:t>
            </w:r>
          </w:p>
        </w:tc>
        <w:tc>
          <w:tcPr>
            <w:tcW w:type="dxa" w:w="2339"/>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 0,995</w:t>
            </w:r>
          </w:p>
        </w:tc>
        <w:tc>
          <w:tcPr>
            <w:tcW w:type="dxa" w:w="2339"/>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w:t>
            </w:r>
          </w:p>
        </w:tc>
      </w:tr>
      <w:tr>
        <w:tc>
          <w:tcPr>
            <w:tcW w:type="dxa" w:w="2339"/>
            <w:vAlign w:val="center"/>
            <w:tcMar>
              <w:top w:w="28" w:type="dxa"/>
              <w:bottom w:w="28" w:type="dxa"/>
              <w:left w:w="57" w:type="dxa"/>
              <w:right w:w="57" w:type="dxa"/>
            </w:tcMar>
          </w:tcPr>
          <w:p>
            <w:pPr>
              <w:spacing w:before="0" w:after="0" w:line="240" w:lineRule="auto"/>
              <w:ind w:firstLine="0"/>
              <w:jc w:val="left"/>
            </w:pPr>
            <w:r/>
            <w:r>
              <w:rPr>
                <w:rFonts w:ascii="Times New Roman" w:hAnsi="Times New Roman"/>
                <w:b w:val="0"/>
                <w:color w:val="000000"/>
                <w:sz w:val="28"/>
              </w:rPr>
              <w:t>Максимальная потеря данных при отказе</w:t>
            </w:r>
          </w:p>
        </w:tc>
        <w:tc>
          <w:tcPr>
            <w:tcW w:type="dxa" w:w="2339"/>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w:t>
            </w:r>
          </w:p>
        </w:tc>
        <w:tc>
          <w:tcPr>
            <w:tcW w:type="dxa" w:w="2339"/>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 10</w:t>
            </w:r>
          </w:p>
        </w:tc>
        <w:tc>
          <w:tcPr>
            <w:tcW w:type="dxa" w:w="2339"/>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с</w:t>
            </w:r>
          </w:p>
        </w:tc>
      </w:tr>
    </w:tbl>
    <w:p>
      <w:pPr>
        <w:spacing w:before="0" w:after="0" w:line="360" w:lineRule="auto"/>
        <w:ind w:firstLine="709"/>
        <w:jc w:val="both"/>
      </w:pPr>
      <w:r>
        <w:rPr>
          <w:rFonts w:ascii="Times New Roman" w:hAnsi="Times New Roman"/>
          <w:b w:val="0"/>
          <w:i w:val="0"/>
          <w:color w:val="000000"/>
          <w:sz w:val="28"/>
        </w:rPr>
        <w:t>Для обеспечения указанных показателей надёжности в системе мониторинга предусмотрены следующие механизмы резервирования и отказоустойчивости:</w:t>
      </w:r>
    </w:p>
    <w:p>
      <w:pPr>
        <w:spacing w:before="0" w:after="0" w:line="360" w:lineRule="auto"/>
        <w:ind w:firstLine="709"/>
        <w:jc w:val="both"/>
      </w:pPr>
      <w:r>
        <w:rPr>
          <w:rFonts w:ascii="Times New Roman" w:hAnsi="Times New Roman"/>
          <w:b w:val="0"/>
          <w:i w:val="0"/>
          <w:color w:val="000000"/>
          <w:sz w:val="28"/>
        </w:rPr>
        <w:t xml:space="preserve">Резервирование серверов. </w:t>
      </w:r>
      <w:r>
        <w:rPr>
          <w:rFonts w:ascii="Times New Roman" w:hAnsi="Times New Roman"/>
          <w:b w:val="0"/>
          <w:i w:val="0"/>
          <w:color w:val="000000"/>
          <w:sz w:val="28"/>
        </w:rPr>
        <w:t>основной и резервный серверы SCADA-системы работают в режиме горячего резерва с автоматическим переключением при отказе основного сервера. Время переключения не превышает 10 секунд. Оба сервера непрерывно синхронизируют данные между собой через выделенный канал связи (heartbeat);</w:t>
      </w:r>
    </w:p>
    <w:p>
      <w:pPr>
        <w:spacing w:before="0" w:after="0" w:line="360" w:lineRule="auto"/>
        <w:ind w:firstLine="709"/>
        <w:jc w:val="both"/>
      </w:pPr>
      <w:r>
        <w:rPr>
          <w:rFonts w:ascii="Times New Roman" w:hAnsi="Times New Roman"/>
          <w:b w:val="0"/>
          <w:i w:val="0"/>
          <w:color w:val="000000"/>
          <w:sz w:val="28"/>
        </w:rPr>
        <w:t xml:space="preserve">Резервирование каналов связи. </w:t>
      </w:r>
      <w:r>
        <w:rPr>
          <w:rFonts w:ascii="Times New Roman" w:hAnsi="Times New Roman"/>
          <w:b w:val="0"/>
          <w:i w:val="0"/>
          <w:color w:val="000000"/>
          <w:sz w:val="28"/>
        </w:rPr>
        <w:t>для каждого реклоузера организовано два независимых канала связи через разных операторов мобильной связи. При потере основного канала переключение на резервный происходит автоматически в течение 15–30 секунд;</w:t>
      </w:r>
    </w:p>
    <w:p>
      <w:pPr>
        <w:spacing w:before="0" w:after="0" w:line="360" w:lineRule="auto"/>
        <w:ind w:firstLine="709"/>
        <w:jc w:val="both"/>
      </w:pPr>
      <w:r>
        <w:rPr>
          <w:rFonts w:ascii="Times New Roman" w:hAnsi="Times New Roman"/>
          <w:b w:val="0"/>
          <w:i w:val="0"/>
          <w:color w:val="000000"/>
          <w:sz w:val="28"/>
        </w:rPr>
        <w:t xml:space="preserve">Буферизация данных. </w:t>
      </w:r>
      <w:r>
        <w:rPr>
          <w:rFonts w:ascii="Times New Roman" w:hAnsi="Times New Roman"/>
          <w:b w:val="0"/>
          <w:i w:val="0"/>
          <w:color w:val="000000"/>
          <w:sz w:val="28"/>
        </w:rPr>
        <w:t>контроллеры реклоузеров хранят данные в энергонезависимой памяти при потере связи. После восстановления соединения данные синхронизируются с сервером с сохранением меток времени;</w:t>
      </w:r>
    </w:p>
    <w:p>
      <w:pPr>
        <w:spacing w:before="0" w:after="0" w:line="360" w:lineRule="auto"/>
        <w:ind w:firstLine="709"/>
        <w:jc w:val="both"/>
      </w:pPr>
      <w:r>
        <w:rPr>
          <w:rFonts w:ascii="Times New Roman" w:hAnsi="Times New Roman"/>
          <w:b w:val="0"/>
          <w:i w:val="0"/>
          <w:color w:val="000000"/>
          <w:sz w:val="28"/>
        </w:rPr>
        <w:t xml:space="preserve">Резервное электропитание. </w:t>
      </w:r>
      <w:r>
        <w:rPr>
          <w:rFonts w:ascii="Times New Roman" w:hAnsi="Times New Roman"/>
          <w:b w:val="0"/>
          <w:i w:val="0"/>
          <w:color w:val="000000"/>
          <w:sz w:val="28"/>
        </w:rPr>
        <w:t>серверное оборудование диспетчерского центра оснащено источниками бесперебойного питания (ИБП) с временем автономной работы не менее 2 часов. Реклоузеры питаются от контролируемой линии и оснащены встроенными аккумуляторными батареями для работы при обесточении линии;</w:t>
      </w:r>
    </w:p>
    <w:p>
      <w:pPr>
        <w:spacing w:before="0" w:after="0" w:line="360" w:lineRule="auto"/>
        <w:ind w:firstLine="709"/>
        <w:jc w:val="both"/>
      </w:pPr>
      <w:r>
        <w:rPr>
          <w:rFonts w:ascii="Times New Roman" w:hAnsi="Times New Roman"/>
          <w:b w:val="0"/>
          <w:i w:val="0"/>
          <w:color w:val="000000"/>
          <w:sz w:val="28"/>
        </w:rPr>
        <w:t xml:space="preserve">Резервное копирование. </w:t>
      </w:r>
      <w:r>
        <w:rPr>
          <w:rFonts w:ascii="Times New Roman" w:hAnsi="Times New Roman"/>
          <w:b w:val="0"/>
          <w:i w:val="0"/>
          <w:color w:val="000000"/>
          <w:sz w:val="28"/>
        </w:rPr>
        <w:t>автоматическое резервное копирование базы данных выполняется ежедневно с хранением копий на отдельном носителе. Полное восстановление из резервной копии занимает не более 30 минут.</w:t>
      </w:r>
    </w:p>
    <w:p>
      <w:pPr>
        <w:spacing w:before="0" w:after="0" w:line="360" w:lineRule="auto"/>
        <w:ind w:firstLine="709"/>
        <w:jc w:val="both"/>
      </w:pPr>
      <w:r>
        <w:rPr>
          <w:rFonts w:ascii="Times New Roman" w:hAnsi="Times New Roman"/>
          <w:b w:val="0"/>
          <w:i w:val="0"/>
          <w:color w:val="000000"/>
          <w:sz w:val="28"/>
        </w:rPr>
        <w:t>Расчёт коэффициента готовности системы выполняется по формуле:</w:t>
      </w:r>
    </w:p>
    <w:p>
      <w:pPr>
        <w:spacing w:before="0" w:after="0" w:line="360" w:lineRule="auto"/>
        <w:ind w:firstLine="709"/>
        <w:jc w:val="both"/>
      </w:pPr>
      <w:r>
        <w:rPr>
          <w:rFonts w:ascii="Times New Roman" w:hAnsi="Times New Roman"/>
          <w:b w:val="0"/>
          <w:i w:val="0"/>
          <w:color w:val="000000"/>
          <w:sz w:val="28"/>
        </w:rPr>
        <w:t>Кг = MTBF / (MTBF + MTTR)</w:t>
      </w:r>
    </w:p>
    <w:p>
      <w:pPr>
        <w:spacing w:before="0" w:after="0" w:line="360" w:lineRule="auto"/>
        <w:ind w:firstLine="709"/>
        <w:jc w:val="both"/>
      </w:pPr>
      <w:r>
        <w:rPr>
          <w:rFonts w:ascii="Times New Roman" w:hAnsi="Times New Roman"/>
          <w:b w:val="0"/>
          <w:i w:val="0"/>
          <w:color w:val="000000"/>
          <w:sz w:val="28"/>
        </w:rPr>
        <w:t>При MTBF = 50 000 часов и MTTR = 0,5 часа (горячий резерв) коэффициент готовности составляет: Кг = 50000 / (50000 + 0,5) = 0,99999, что значительно превышает минимально допустимое значение 0,999 и обеспечивает надёжную работу системы мониторинга в промышленных условиях [20].</w:t>
      </w:r>
    </w:p>
    <w:p>
      <w:pPr>
        <w:spacing w:before="0" w:after="0" w:line="360" w:lineRule="auto"/>
        <w:ind w:firstLine="709"/>
        <w:jc w:val="both"/>
      </w:pPr>
      <w:r>
        <w:rPr>
          <w:rFonts w:ascii="Times New Roman" w:hAnsi="Times New Roman"/>
          <w:b w:val="0"/>
          <w:i w:val="0"/>
          <w:color w:val="000000"/>
          <w:sz w:val="28"/>
        </w:rPr>
        <w:t>Таким образом, разработанная архитектура системы мониторинга обеспечивает полный цикл сбора, передачи, обработки и отображения телеметрических данных от автоматизированного участка ВЛ 6–10 кВ. Трёхуровневая структура системы, использование стандартных протоколов и механизмы резервирования обеспечивают высокую надёжность и масштабируемость решения.</w:t>
      </w:r>
    </w:p>
    <w:p>
      <w:pPr>
        <w:spacing w:before="0" w:after="0" w:line="360" w:lineRule="auto"/>
        <w:ind w:firstLine="709"/>
        <w:jc w:val="both"/>
      </w:pPr>
      <w:r>
        <w:rPr>
          <w:rFonts w:ascii="Times New Roman" w:hAnsi="Times New Roman"/>
          <w:b w:val="0"/>
          <w:i w:val="0"/>
          <w:color w:val="000000"/>
          <w:sz w:val="28"/>
        </w:rPr>
        <w:t>Отдельным аспектом обеспечения надёжности является защита от кибератак и несанкционированного доступа к системе мониторинга. В соответствии с Федеральным законом № 187-ФЗ «О безопасности критической информационной инфраструктуры Российской Федерации» и Приказом ФСТЭК России от 25.12.2017 № 239, SCADA-система для электроэнергетических объектов должна обеспечивать следующие меры защиты: идентификацию и аутентификацию пользователей с использованием индивидуальных учётных записей; разграничение прав доступа на основе ролевой модели (оператор, инженер, администратор); регистрацию событий безопасности (вход/выход, изменение конфигурации, попытки несанкционированного доступа); шифрование каналов связи между полевыми устройствами и диспетчерским центром; антивирусную защиту серверов и рабочих станций; сегментацию сети (отделение технологической сети от корпоративной).</w:t>
      </w:r>
    </w:p>
    <w:p>
      <w:pPr>
        <w:spacing w:before="0" w:after="0" w:line="360" w:lineRule="auto"/>
        <w:ind w:firstLine="709"/>
        <w:jc w:val="both"/>
      </w:pPr>
      <w:r>
        <w:rPr>
          <w:rFonts w:ascii="Times New Roman" w:hAnsi="Times New Roman"/>
          <w:b w:val="0"/>
          <w:i w:val="0"/>
          <w:color w:val="000000"/>
          <w:sz w:val="28"/>
        </w:rPr>
        <w:t>В разработанной архитектуре информационная безопасность обеспечивается на нескольких уровнях. На коммуникационном уровне используется VPN-шифрование (IPsec) всех каналов связи между реклоузерами и диспетчерским центром. На прикладном уровне протокол МЭК 60870-5-104 не предусматривает встроенных механизмов безопасности, поэтому защита обеспечивается средствами транспортного уровня (VPN). На уровне серверной инфраструктуры используются межсетевые экраны (firewall) для ограничения доступа к серверам SCADA только с авторизованных IP-адресов, а также система обнаружения вторжений (IDS) для выявления аномальной сетевой активности.</w:t>
      </w:r>
    </w:p>
    <w:p>
      <w:bookmarkStart w:id="48" w:name="_bm_glava_3"/>
      <w:pPr>
        <w:pageBreakBefore/>
        <w:spacing w:before="0" w:after="240" w:line="360" w:lineRule="auto"/>
        <w:ind w:firstLine="709"/>
        <w:jc w:val="both"/>
        <w:outlineLvl w:val="0"/>
      </w:pPr>
      <w:r>
        <w:rPr>
          <w:rFonts w:ascii="Times New Roman" w:hAnsi="Times New Roman"/>
          <w:b/>
          <w:color w:val="000000"/>
          <w:sz w:val="28"/>
        </w:rPr>
        <w:t>Глава 3. Разработка прототипа SCADA-системы мониторинга автоматизированного участка ВЛ</w:t>
      </w:r>
      <w:bookmarkEnd w:id="48"/>
    </w:p>
    <w:p>
      <w:bookmarkStart w:id="49" w:name="_bm_section_3_1"/>
      <w:pPr>
        <w:spacing w:before="240" w:after="120" w:line="360" w:lineRule="auto"/>
        <w:ind w:firstLine="709"/>
        <w:jc w:val="both"/>
        <w:outlineLvl w:val="1"/>
      </w:pPr>
      <w:r>
        <w:rPr>
          <w:rFonts w:ascii="Times New Roman" w:hAnsi="Times New Roman"/>
          <w:b/>
          <w:color w:val="000000"/>
          <w:sz w:val="28"/>
        </w:rPr>
        <w:t>3.1 Определение функциональных требований к прототипу системы мониторинга</w:t>
      </w:r>
      <w:bookmarkEnd w:id="49"/>
    </w:p>
    <w:p>
      <w:pPr>
        <w:spacing w:before="0" w:after="0" w:line="360" w:lineRule="auto"/>
        <w:ind w:firstLine="709"/>
        <w:jc w:val="both"/>
      </w:pPr>
      <w:r>
        <w:rPr>
          <w:rFonts w:ascii="Times New Roman" w:hAnsi="Times New Roman"/>
          <w:b w:val="0"/>
          <w:i w:val="0"/>
          <w:color w:val="000000"/>
          <w:sz w:val="28"/>
        </w:rPr>
        <w:t>Прототип SCADA-системы разрабатывается с целью практической демонстрации возможностей мониторинга автоматизированного участка ВЛ 6–10 кВ и верификации предложенной архитектуры. Прототип реализует основные функции промышленной SCADA-системы в упрощённом виде, достаточном для оценки работоспособности выбранных архитектурных решений и протоколов обмена данными [1].</w:t>
      </w:r>
    </w:p>
    <w:p>
      <w:pPr>
        <w:spacing w:before="0" w:after="0" w:line="360" w:lineRule="auto"/>
        <w:ind w:firstLine="709"/>
        <w:jc w:val="both"/>
      </w:pPr>
      <w:r>
        <w:rPr>
          <w:rFonts w:ascii="Times New Roman" w:hAnsi="Times New Roman"/>
          <w:b w:val="0"/>
          <w:i w:val="0"/>
          <w:color w:val="000000"/>
          <w:sz w:val="28"/>
        </w:rPr>
        <w:t>Функциональные требования к прототипу сформулированы на основе анализа, проведённого в первой и второй главах. Требования разделены на обязательные (must have), желательные (should have) и перспективные (could have) в соответствии с методологией MoSCoW [2].</w:t>
      </w:r>
    </w:p>
    <w:p>
      <w:pPr>
        <w:spacing w:before="0" w:after="0" w:line="360" w:lineRule="auto"/>
        <w:ind w:firstLine="709"/>
        <w:jc w:val="both"/>
      </w:pPr>
      <w:r>
        <w:rPr>
          <w:rFonts w:ascii="Times New Roman" w:hAnsi="Times New Roman"/>
          <w:b w:val="0"/>
          <w:i w:val="0"/>
          <w:color w:val="000000"/>
          <w:sz w:val="28"/>
        </w:rPr>
        <w:t>К обязательным функциональным требованиям относятся:</w:t>
      </w:r>
    </w:p>
    <w:p>
      <w:pPr>
        <w:spacing w:before="0" w:after="0" w:line="360" w:lineRule="auto"/>
        <w:ind w:firstLine="709"/>
        <w:jc w:val="both"/>
      </w:pPr>
      <w:r>
        <w:rPr>
          <w:rFonts w:ascii="Times New Roman" w:hAnsi="Times New Roman"/>
          <w:color w:val="000000"/>
          <w:sz w:val="28"/>
        </w:rPr>
        <w:t>– приём телеметрических данных от контроллеров реклоузеров по протоколу МЭК 60870-5-104;</w:t>
      </w:r>
    </w:p>
    <w:p>
      <w:pPr>
        <w:spacing w:before="0" w:after="0" w:line="360" w:lineRule="auto"/>
        <w:ind w:firstLine="709"/>
        <w:jc w:val="both"/>
      </w:pPr>
      <w:r>
        <w:rPr>
          <w:rFonts w:ascii="Times New Roman" w:hAnsi="Times New Roman"/>
          <w:color w:val="000000"/>
          <w:sz w:val="28"/>
        </w:rPr>
        <w:t>– обработка и хранение телеизмерений и телесигнализации в реляционной базе данных;</w:t>
      </w:r>
    </w:p>
    <w:p>
      <w:pPr>
        <w:spacing w:before="0" w:after="0" w:line="360" w:lineRule="auto"/>
        <w:ind w:firstLine="709"/>
        <w:jc w:val="both"/>
      </w:pPr>
      <w:r>
        <w:rPr>
          <w:rFonts w:ascii="Times New Roman" w:hAnsi="Times New Roman"/>
          <w:color w:val="000000"/>
          <w:sz w:val="28"/>
        </w:rPr>
        <w:t>– отображение текущих значений параметров электрического режима в веб-интерфейсе;</w:t>
      </w:r>
    </w:p>
    <w:p>
      <w:pPr>
        <w:spacing w:before="0" w:after="0" w:line="360" w:lineRule="auto"/>
        <w:ind w:firstLine="709"/>
        <w:jc w:val="both"/>
      </w:pPr>
      <w:r>
        <w:rPr>
          <w:rFonts w:ascii="Times New Roman" w:hAnsi="Times New Roman"/>
          <w:color w:val="000000"/>
          <w:sz w:val="28"/>
        </w:rPr>
        <w:t>– формирование аварийных сообщений при выходе параметров за установленные пороговые значения;</w:t>
      </w:r>
    </w:p>
    <w:p>
      <w:pPr>
        <w:spacing w:before="0" w:after="0" w:line="360" w:lineRule="auto"/>
        <w:ind w:firstLine="709"/>
        <w:jc w:val="both"/>
      </w:pPr>
      <w:r>
        <w:rPr>
          <w:rFonts w:ascii="Times New Roman" w:hAnsi="Times New Roman"/>
          <w:color w:val="000000"/>
          <w:sz w:val="28"/>
        </w:rPr>
        <w:t>– ведение журнала событий с привязкой к временным меткам;</w:t>
      </w:r>
    </w:p>
    <w:p>
      <w:pPr>
        <w:spacing w:before="0" w:after="0" w:line="360" w:lineRule="auto"/>
        <w:ind w:firstLine="709"/>
        <w:jc w:val="both"/>
      </w:pPr>
      <w:r>
        <w:rPr>
          <w:rFonts w:ascii="Times New Roman" w:hAnsi="Times New Roman"/>
          <w:color w:val="000000"/>
          <w:sz w:val="28"/>
        </w:rPr>
        <w:t>– передача команд телеуправления (включение/отключение реклоузера) через протокол МЭК 60870-5-104.</w:t>
      </w:r>
    </w:p>
    <w:p>
      <w:pPr>
        <w:spacing w:before="0" w:after="0" w:line="360" w:lineRule="auto"/>
        <w:ind w:firstLine="709"/>
        <w:jc w:val="both"/>
      </w:pPr>
      <w:r>
        <w:rPr>
          <w:rFonts w:ascii="Times New Roman" w:hAnsi="Times New Roman"/>
          <w:b w:val="0"/>
          <w:i w:val="0"/>
          <w:color w:val="000000"/>
          <w:sz w:val="28"/>
        </w:rPr>
        <w:t>К желательным функциональным требованиям относятся:</w:t>
      </w:r>
    </w:p>
    <w:p>
      <w:pPr>
        <w:spacing w:before="0" w:after="0" w:line="360" w:lineRule="auto"/>
        <w:ind w:firstLine="709"/>
        <w:jc w:val="both"/>
      </w:pPr>
      <w:r>
        <w:rPr>
          <w:rFonts w:ascii="Times New Roman" w:hAnsi="Times New Roman"/>
          <w:color w:val="000000"/>
          <w:sz w:val="28"/>
        </w:rPr>
        <w:t>– визуализация параметров на мнемосхеме участка ВЛ;</w:t>
      </w:r>
    </w:p>
    <w:p>
      <w:pPr>
        <w:spacing w:before="0" w:after="0" w:line="360" w:lineRule="auto"/>
        <w:ind w:firstLine="709"/>
        <w:jc w:val="both"/>
      </w:pPr>
      <w:r>
        <w:rPr>
          <w:rFonts w:ascii="Times New Roman" w:hAnsi="Times New Roman"/>
          <w:color w:val="000000"/>
          <w:sz w:val="28"/>
        </w:rPr>
        <w:t>– построение графиков изменения параметров во времени (тренды);</w:t>
      </w:r>
    </w:p>
    <w:p>
      <w:pPr>
        <w:spacing w:before="0" w:after="0" w:line="360" w:lineRule="auto"/>
        <w:ind w:firstLine="709"/>
        <w:jc w:val="both"/>
      </w:pPr>
      <w:r>
        <w:rPr>
          <w:rFonts w:ascii="Times New Roman" w:hAnsi="Times New Roman"/>
          <w:color w:val="000000"/>
          <w:sz w:val="28"/>
        </w:rPr>
        <w:t>– экспорт архивных данных в форматы CSV и PDF для последующего анализа;</w:t>
      </w:r>
    </w:p>
    <w:p>
      <w:pPr>
        <w:spacing w:before="0" w:after="0" w:line="360" w:lineRule="auto"/>
        <w:ind w:firstLine="709"/>
        <w:jc w:val="both"/>
      </w:pPr>
      <w:r>
        <w:rPr>
          <w:rFonts w:ascii="Times New Roman" w:hAnsi="Times New Roman"/>
          <w:color w:val="000000"/>
          <w:sz w:val="28"/>
        </w:rPr>
        <w:t>– уведомление оперативного персонала об аварийных событиях через WebSocket в реальном времени.</w:t>
      </w:r>
    </w:p>
    <w:p>
      <w:pPr>
        <w:spacing w:before="0" w:after="0" w:line="360" w:lineRule="auto"/>
        <w:ind w:firstLine="709"/>
        <w:jc w:val="both"/>
      </w:pPr>
      <w:r>
        <w:rPr>
          <w:rFonts w:ascii="Times New Roman" w:hAnsi="Times New Roman"/>
          <w:b w:val="0"/>
          <w:i w:val="0"/>
          <w:color w:val="000000"/>
          <w:sz w:val="28"/>
        </w:rPr>
        <w:t>Для реализации прототипа выбран следующий стек технологий. Серверная часть реализована на языке программирования Python 3.10 с использованием микрофреймворка Flask, обеспечивающего построение REST API и обработку HTTP-запросов. Для обмена данными в реальном времени используется библиотека Flask-SocketIO, реализующая протокол WebSocket. В качестве системы управления базами данных используется SQLite 3, обеспечивающая достаточную производительность для прототипа при минимальных требованиях к инфраструктуре. Для реализации клиента протокола МЭК 60870-5-104 используется собственная разработка на базе стандартных библиотек Python (socket, struct, threading) [3].</w:t>
      </w:r>
    </w:p>
    <w:p>
      <w:pPr>
        <w:spacing w:before="0" w:after="0" w:line="360" w:lineRule="auto"/>
        <w:ind w:firstLine="709"/>
        <w:jc w:val="both"/>
      </w:pPr>
      <w:r>
        <w:rPr>
          <w:rFonts w:ascii="Times New Roman" w:hAnsi="Times New Roman"/>
          <w:b w:val="0"/>
          <w:i w:val="0"/>
          <w:color w:val="000000"/>
          <w:sz w:val="28"/>
        </w:rPr>
        <w:t>Клиентская часть (интерфейс диспетчера) реализована как одностраничное веб-приложение (SPA) с использованием HTML5, CSS3 и JavaScript. Для построения графиков используется библиотека Chart.js, для обмена данными с сервером — Fetch API и WebSocket API [4].</w:t>
      </w:r>
    </w:p>
    <w:p>
      <w:pPr>
        <w:spacing w:before="0" w:after="0" w:line="360" w:lineRule="auto"/>
        <w:ind w:firstLine="709"/>
        <w:jc w:val="both"/>
      </w:pPr>
      <w:r>
        <w:rPr>
          <w:rFonts w:ascii="Times New Roman" w:hAnsi="Times New Roman"/>
          <w:b w:val="0"/>
          <w:i w:val="0"/>
          <w:color w:val="000000"/>
          <w:sz w:val="28"/>
        </w:rPr>
        <w:t>Выбор Python в качестве основного языка разработки обусловлен следующими факторами: наличие обширной экосистемы библиотек для работы с сетевыми протоколами и базами данных, высокая скорость прототипирования, читаемость кода и возможность быстрой модификации алгоритмов обработки данных. Для промышленного внедрения критически важные модули могут быть переписаны на C/C++ или Go для повышения производительности [5].</w:t>
      </w:r>
    </w:p>
    <w:p>
      <w:pPr>
        <w:spacing w:before="0" w:after="0" w:line="360" w:lineRule="auto"/>
        <w:ind w:firstLine="709"/>
        <w:jc w:val="both"/>
      </w:pPr>
      <w:r>
        <w:rPr>
          <w:rFonts w:ascii="Times New Roman" w:hAnsi="Times New Roman"/>
          <w:b w:val="0"/>
          <w:i w:val="0"/>
          <w:color w:val="000000"/>
          <w:sz w:val="28"/>
        </w:rPr>
        <w:t>Перед началом разработки прототипа был проведён анализ существующих открытых и свободных программных решений в области SCADA-систем. Наиболее известными open-source SCADA-платформами являются: OpenSCADA (проект под лицензией GPL, разрабатывается в Украине), RapidSCADA (разработка компании «Модиус», Россия, лицензия Apache 2.0), ScadaBR (бразильский проект под лицензией GPL), IndigoSCADA (лицензия LGPL). Анализ показал, что ни одна из существующих платформ не удовлетворяет в полной мере требованиям к системе мониторинга ВЛ 6–10 кВ: OpenSCADA и ScadaBR не поддерживают протокол МЭК 60870-5-104 «из коробки»; RapidSCADA не имеет встроенного веб-интерфейса с поддержкой WebSocket; IndigoSCADA не обновлялся с 2015 года. В связи с этим принято решение о разработке собственного прототипа, что также позволяет максимально адаптировать решение под специфику задачи.</w:t>
      </w:r>
    </w:p>
    <w:p>
      <w:pPr>
        <w:spacing w:before="0" w:after="0" w:line="360" w:lineRule="auto"/>
        <w:ind w:firstLine="709"/>
        <w:jc w:val="both"/>
      </w:pPr>
      <w:r>
        <w:rPr>
          <w:rFonts w:ascii="Times New Roman" w:hAnsi="Times New Roman"/>
          <w:b w:val="0"/>
          <w:i w:val="0"/>
          <w:color w:val="000000"/>
          <w:sz w:val="28"/>
        </w:rPr>
        <w:t>Архитектура прототипа построена по принципу микросервисов, что обеспечивает модульность, независимость компонентов и возможность горизонтального масштабирования. Основными компонентами являются: сервис приёма данных (Protocol Gateway) — принимает телеметрию по протоколу IEC 104 и публикует данные во внутреннюю шину сообщений; сервис обработки данных (Data Processor) — выполняет валидацию, пересчёт и запись в базу данных; сервис событий и алармов (Event Service) — анализирует входящие данные на предмет выхода за уставки и формирует события; API-сервис (REST API) — предоставляет интерфейс для клиентских приложений; WebSocket-сервис (Real-time Service) — обеспечивает передачу обновлений клиентам в реальном времени.</w:t>
      </w:r>
    </w:p>
    <w:p>
      <w:pPr>
        <w:spacing w:before="0" w:after="0" w:line="360" w:lineRule="auto"/>
        <w:ind w:firstLine="709"/>
        <w:jc w:val="both"/>
      </w:pPr>
      <w:r>
        <w:rPr>
          <w:rFonts w:ascii="Times New Roman" w:hAnsi="Times New Roman"/>
          <w:b w:val="0"/>
          <w:i w:val="0"/>
          <w:color w:val="000000"/>
          <w:sz w:val="28"/>
        </w:rPr>
        <w:t>В прототипе все перечисленные компоненты реализованы в рамках единого Python-процесса с использованием многопоточности (threading), что упрощает развёртывание и отладку. При переходе к промышленной эксплуатации каждый компонент может быть выделен в отдельный микросервис с использованием контейнеризации (Docker) и оркестрации (Kubernetes).</w:t>
      </w:r>
    </w:p>
    <w:p>
      <w:bookmarkStart w:id="50" w:name="_bm_section_3_2"/>
      <w:pPr>
        <w:spacing w:before="240" w:after="120" w:line="360" w:lineRule="auto"/>
        <w:ind w:firstLine="709"/>
        <w:jc w:val="both"/>
        <w:outlineLvl w:val="1"/>
      </w:pPr>
      <w:r>
        <w:rPr>
          <w:rFonts w:ascii="Times New Roman" w:hAnsi="Times New Roman"/>
          <w:b/>
          <w:color w:val="000000"/>
          <w:sz w:val="28"/>
        </w:rPr>
        <w:t>3.2 Разработка структуры обмена данными между полевыми устройствами и SCADA</w:t>
      </w:r>
      <w:bookmarkEnd w:id="50"/>
    </w:p>
    <w:p>
      <w:pPr>
        <w:spacing w:before="0" w:after="0" w:line="360" w:lineRule="auto"/>
        <w:ind w:firstLine="709"/>
        <w:jc w:val="both"/>
      </w:pPr>
      <w:r>
        <w:rPr>
          <w:rFonts w:ascii="Times New Roman" w:hAnsi="Times New Roman"/>
          <w:b w:val="0"/>
          <w:i w:val="0"/>
          <w:color w:val="000000"/>
          <w:sz w:val="28"/>
        </w:rPr>
        <w:t>Протокол МЭК 60870-5-104 (IEC 104) является международным стандартом передачи телемеханической информации по сетям TCP/IP. Протокол определяет прикладной уровень обмена данными между управляющей станцией (SCADA-сервер) и контролируемыми станциями (контроллеры реклоузеров). Транспортным уровнем протокола является TCP, порт по умолчанию — 2404 [6].</w:t>
      </w:r>
    </w:p>
    <w:p>
      <w:pPr>
        <w:spacing w:before="0" w:after="0" w:line="360" w:lineRule="auto"/>
        <w:ind w:firstLine="709"/>
        <w:jc w:val="both"/>
      </w:pPr>
      <w:r>
        <w:rPr>
          <w:rFonts w:ascii="Times New Roman" w:hAnsi="Times New Roman"/>
          <w:b w:val="0"/>
          <w:i w:val="0"/>
          <w:color w:val="000000"/>
          <w:sz w:val="28"/>
        </w:rPr>
        <w:t>Единицей передачи данных в протоколе является APDU (Application Protocol Data Unit — блок данных прикладного протокола), который включает заголовок APCI (Application Protocol Control Information — управляющая информация прикладного протокола) и блок данных ASDU (Application Service Data Unit — блок данных прикладной службы) [7].</w:t>
      </w:r>
    </w:p>
    <w:p>
      <w:pPr>
        <w:spacing w:before="0" w:after="0" w:line="360" w:lineRule="auto"/>
        <w:ind w:firstLine="709"/>
        <w:jc w:val="both"/>
      </w:pPr>
      <w:r>
        <w:rPr>
          <w:rFonts w:ascii="Times New Roman" w:hAnsi="Times New Roman"/>
          <w:b w:val="0"/>
          <w:i w:val="0"/>
          <w:color w:val="000000"/>
          <w:sz w:val="28"/>
        </w:rPr>
        <w:t>Протокол определяет три формата кадров APDU:</w:t>
      </w:r>
    </w:p>
    <w:p>
      <w:pPr>
        <w:spacing w:before="0" w:after="0" w:line="360" w:lineRule="auto"/>
        <w:ind w:firstLine="709"/>
        <w:jc w:val="both"/>
      </w:pPr>
      <w:r>
        <w:rPr>
          <w:rFonts w:ascii="Times New Roman" w:hAnsi="Times New Roman"/>
          <w:b w:val="0"/>
          <w:i w:val="0"/>
          <w:color w:val="000000"/>
          <w:sz w:val="28"/>
        </w:rPr>
        <w:t xml:space="preserve">I-формат (Information). </w:t>
      </w:r>
      <w:r>
        <w:rPr>
          <w:rFonts w:ascii="Times New Roman" w:hAnsi="Times New Roman"/>
          <w:b w:val="0"/>
          <w:i w:val="0"/>
          <w:color w:val="000000"/>
          <w:sz w:val="28"/>
        </w:rPr>
        <w:t>кадр передачи данных, содержащий ASDU с телеметрической информацией или командами управления. Каждый I-кадр имеет два 15-битных счётчика: номер передачи (Send Sequence Number, SSN) и номер приёма (Receive Sequence Number, RSN), обеспечивающих контроль последовательности и подтверждение доставки;</w:t>
      </w:r>
    </w:p>
    <w:p>
      <w:pPr>
        <w:spacing w:before="0" w:after="0" w:line="360" w:lineRule="auto"/>
        <w:ind w:firstLine="709"/>
        <w:jc w:val="both"/>
      </w:pPr>
      <w:r>
        <w:rPr>
          <w:rFonts w:ascii="Times New Roman" w:hAnsi="Times New Roman"/>
          <w:b w:val="0"/>
          <w:i w:val="0"/>
          <w:color w:val="000000"/>
          <w:sz w:val="28"/>
        </w:rPr>
        <w:t xml:space="preserve">S-формат (Supervisory). </w:t>
      </w:r>
      <w:r>
        <w:rPr>
          <w:rFonts w:ascii="Times New Roman" w:hAnsi="Times New Roman"/>
          <w:b w:val="0"/>
          <w:i w:val="0"/>
          <w:color w:val="000000"/>
          <w:sz w:val="28"/>
        </w:rPr>
        <w:t>кадр подтверждения приёма, не содержащий ASDU. Используется для подтверждения получения I-кадров, когда управляющая станция не имеет данных для передачи;</w:t>
      </w:r>
    </w:p>
    <w:p>
      <w:pPr>
        <w:spacing w:before="0" w:after="0" w:line="360" w:lineRule="auto"/>
        <w:ind w:firstLine="709"/>
        <w:jc w:val="both"/>
      </w:pPr>
      <w:r>
        <w:rPr>
          <w:rFonts w:ascii="Times New Roman" w:hAnsi="Times New Roman"/>
          <w:b w:val="0"/>
          <w:i w:val="0"/>
          <w:color w:val="000000"/>
          <w:sz w:val="28"/>
        </w:rPr>
        <w:t xml:space="preserve">U-формат (Unnumbered). </w:t>
      </w:r>
      <w:r>
        <w:rPr>
          <w:rFonts w:ascii="Times New Roman" w:hAnsi="Times New Roman"/>
          <w:b w:val="0"/>
          <w:i w:val="0"/>
          <w:color w:val="000000"/>
          <w:sz w:val="28"/>
        </w:rPr>
        <w:t>ненумерованный кадр управления соединением. Используется для активации/деактивации передачи данных (STARTDT/STOPDT) и тестирования канала связи (TESTFR).</w:t>
      </w:r>
    </w:p>
    <w:p>
      <w:pPr>
        <w:spacing w:before="0" w:after="0" w:line="360" w:lineRule="auto"/>
        <w:ind w:firstLine="709"/>
        <w:jc w:val="both"/>
      </w:pPr>
      <w:r>
        <w:rPr>
          <w:rFonts w:ascii="Times New Roman" w:hAnsi="Times New Roman"/>
          <w:b w:val="0"/>
          <w:i w:val="0"/>
          <w:color w:val="000000"/>
          <w:sz w:val="28"/>
        </w:rPr>
        <w:t>Блок данных ASDU содержит следующие поля: идентификатор типа (Type ID), определяющий формат передаваемых данных; квалификатор переменной структуры (VSQ), указывающий количество информационных объектов; причину передачи (Cause of Transmission, COT), определяющую контекст передачи данных (периодический, спорадический, по запросу и т.д.); общий адрес ASDU (Common Address of ASDU, CA), идентифицирующий контролируемую станцию; и набор информационных объектов (Information Objects, IO), содержащих собственно данные [8].</w:t>
      </w:r>
    </w:p>
    <w:p>
      <w:pPr>
        <w:spacing w:before="0" w:after="0" w:line="360" w:lineRule="auto"/>
        <w:ind w:firstLine="709"/>
        <w:jc w:val="both"/>
      </w:pPr>
      <w:r>
        <w:rPr>
          <w:rFonts w:ascii="Times New Roman" w:hAnsi="Times New Roman"/>
          <w:b w:val="0"/>
          <w:i w:val="0"/>
          <w:color w:val="000000"/>
          <w:sz w:val="28"/>
        </w:rPr>
        <w:t>В разработанном прототипе используются следующие типы информационных объектов:</w:t>
      </w:r>
    </w:p>
    <w:p>
      <w:pPr>
        <w:spacing w:before="120" w:after="0"/>
        <w:ind w:firstLine="0"/>
        <w:jc w:val="center"/>
      </w:pPr>
      <w:r>
        <w:drawing>
          <wp:inline xmlns:a="http://schemas.openxmlformats.org/drawingml/2006/main" xmlns:pic="http://schemas.openxmlformats.org/drawingml/2006/picture">
            <wp:extent cx="5400000" cy="1928571"/>
            <wp:docPr id="2" name="Picture 2"/>
            <wp:cNvGraphicFramePr>
              <a:graphicFrameLocks noChangeAspect="1"/>
            </wp:cNvGraphicFramePr>
            <a:graphic>
              <a:graphicData uri="http://schemas.openxmlformats.org/drawingml/2006/picture">
                <pic:pic>
                  <pic:nvPicPr>
                    <pic:cNvPr id="0" name="fig2_protocol.png"/>
                    <pic:cNvPicPr/>
                  </pic:nvPicPr>
                  <pic:blipFill>
                    <a:blip r:embed="rId11"/>
                    <a:stretch>
                      <a:fillRect/>
                    </a:stretch>
                  </pic:blipFill>
                  <pic:spPr>
                    <a:xfrm>
                      <a:off x="0" y="0"/>
                      <a:ext cx="5400000" cy="1928571"/>
                    </a:xfrm>
                    <a:prstGeom prst="rect"/>
                  </pic:spPr>
                </pic:pic>
              </a:graphicData>
            </a:graphic>
          </wp:inline>
        </w:drawing>
      </w:r>
    </w:p>
    <w:p>
      <w:pPr>
        <w:spacing w:before="120" w:after="240" w:line="360" w:lineRule="auto"/>
        <w:ind w:firstLine="0"/>
        <w:jc w:val="center"/>
      </w:pPr>
      <w:r>
        <w:rPr>
          <w:rFonts w:ascii="Times New Roman" w:hAnsi="Times New Roman"/>
          <w:color w:val="000000"/>
          <w:sz w:val="28"/>
        </w:rPr>
        <w:t>Рисунок 2 – Структура кадра APDU протокола МЭК 60870-5-104</w:t>
      </w:r>
    </w:p>
    <w:p>
      <w:pPr>
        <w:spacing w:before="240" w:after="120" w:line="360" w:lineRule="auto"/>
        <w:ind w:firstLine="0"/>
        <w:jc w:val="left"/>
      </w:pPr>
      <w:r>
        <w:rPr>
          <w:rFonts w:ascii="Times New Roman" w:hAnsi="Times New Roman"/>
          <w:color w:val="000000"/>
          <w:sz w:val="28"/>
        </w:rPr>
        <w:t>Таблица 5 – Используемые типы информационных объектов МЭК 60870-5-104</w:t>
      </w:r>
    </w:p>
    <w:tbl>
      <w:tblPr>
        <w:tblStyle w:val="TableGrid"/>
        <w:tblW w:type="auto" w:w="0"/>
        <w:tblLook w:firstColumn="1" w:firstRow="1" w:lastColumn="0" w:lastRow="0" w:noHBand="0" w:noVBand="1" w:val="04A0"/>
        <w:tblW w:type="pct" w:w="5000"/>
      </w:tblPr>
      <w:tblGrid>
        <w:gridCol w:w="2339"/>
        <w:gridCol w:w="2339"/>
        <w:gridCol w:w="2339"/>
        <w:gridCol w:w="2339"/>
      </w:tblGrid>
      <w:tr>
        <w:tc>
          <w:tcPr>
            <w:tcW w:type="dxa" w:w="2339"/>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Тип (TypeID)</w:t>
            </w:r>
          </w:p>
        </w:tc>
        <w:tc>
          <w:tcPr>
            <w:tcW w:type="dxa" w:w="2339"/>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Описание</w:t>
            </w:r>
          </w:p>
        </w:tc>
        <w:tc>
          <w:tcPr>
            <w:tcW w:type="dxa" w:w="2339"/>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Направление</w:t>
            </w:r>
          </w:p>
        </w:tc>
        <w:tc>
          <w:tcPr>
            <w:tcW w:type="dxa" w:w="2339"/>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Применение</w:t>
            </w:r>
          </w:p>
        </w:tc>
      </w:tr>
      <w:tr>
        <w:tc>
          <w:tcPr>
            <w:tcW w:type="dxa" w:w="2339"/>
            <w:vAlign w:val="center"/>
            <w:tcMar>
              <w:top w:w="28" w:type="dxa"/>
              <w:bottom w:w="28" w:type="dxa"/>
              <w:left w:w="57" w:type="dxa"/>
              <w:right w:w="57" w:type="dxa"/>
            </w:tcMar>
          </w:tcPr>
          <w:p>
            <w:pPr>
              <w:spacing w:before="0" w:after="0" w:line="240" w:lineRule="auto"/>
              <w:ind w:firstLine="0"/>
              <w:jc w:val="left"/>
            </w:pPr>
            <w:r/>
            <w:r>
              <w:rPr>
                <w:rFonts w:ascii="Times New Roman" w:hAnsi="Times New Roman"/>
                <w:b w:val="0"/>
                <w:color w:val="000000"/>
                <w:sz w:val="28"/>
              </w:rPr>
              <w:t>M_SP_NA_1 (1)</w:t>
            </w:r>
          </w:p>
        </w:tc>
        <w:tc>
          <w:tcPr>
            <w:tcW w:type="dxa" w:w="2339"/>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Одноэлементная информация</w:t>
            </w:r>
          </w:p>
        </w:tc>
        <w:tc>
          <w:tcPr>
            <w:tcW w:type="dxa" w:w="2339"/>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Мониторинг</w:t>
            </w:r>
          </w:p>
        </w:tc>
        <w:tc>
          <w:tcPr>
            <w:tcW w:type="dxa" w:w="2339"/>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Положение реклоузера, аварийные сигналы</w:t>
            </w:r>
          </w:p>
        </w:tc>
      </w:tr>
      <w:tr>
        <w:tc>
          <w:tcPr>
            <w:tcW w:type="dxa" w:w="2339"/>
            <w:vAlign w:val="center"/>
            <w:tcMar>
              <w:top w:w="28" w:type="dxa"/>
              <w:bottom w:w="28" w:type="dxa"/>
              <w:left w:w="57" w:type="dxa"/>
              <w:right w:w="57" w:type="dxa"/>
            </w:tcMar>
          </w:tcPr>
          <w:p>
            <w:pPr>
              <w:spacing w:before="0" w:after="0" w:line="240" w:lineRule="auto"/>
              <w:ind w:firstLine="0"/>
              <w:jc w:val="left"/>
            </w:pPr>
            <w:r/>
            <w:r>
              <w:rPr>
                <w:rFonts w:ascii="Times New Roman" w:hAnsi="Times New Roman"/>
                <w:b w:val="0"/>
                <w:color w:val="000000"/>
                <w:sz w:val="28"/>
              </w:rPr>
              <w:t>M_ME_NC_1 (13)</w:t>
            </w:r>
          </w:p>
        </w:tc>
        <w:tc>
          <w:tcPr>
            <w:tcW w:type="dxa" w:w="2339"/>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Измерение с плавающей точкой</w:t>
            </w:r>
          </w:p>
        </w:tc>
        <w:tc>
          <w:tcPr>
            <w:tcW w:type="dxa" w:w="2339"/>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Мониторинг</w:t>
            </w:r>
          </w:p>
        </w:tc>
        <w:tc>
          <w:tcPr>
            <w:tcW w:type="dxa" w:w="2339"/>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Ток, напряжение, мощность</w:t>
            </w:r>
          </w:p>
        </w:tc>
      </w:tr>
      <w:tr>
        <w:tc>
          <w:tcPr>
            <w:tcW w:type="dxa" w:w="2339"/>
            <w:vAlign w:val="center"/>
            <w:tcMar>
              <w:top w:w="28" w:type="dxa"/>
              <w:bottom w:w="28" w:type="dxa"/>
              <w:left w:w="57" w:type="dxa"/>
              <w:right w:w="57" w:type="dxa"/>
            </w:tcMar>
          </w:tcPr>
          <w:p>
            <w:pPr>
              <w:spacing w:before="0" w:after="0" w:line="240" w:lineRule="auto"/>
              <w:ind w:firstLine="0"/>
              <w:jc w:val="left"/>
            </w:pPr>
            <w:r/>
            <w:r>
              <w:rPr>
                <w:rFonts w:ascii="Times New Roman" w:hAnsi="Times New Roman"/>
                <w:b w:val="0"/>
                <w:color w:val="000000"/>
                <w:sz w:val="28"/>
              </w:rPr>
              <w:t>M_ME_TF_1 (36)</w:t>
            </w:r>
          </w:p>
        </w:tc>
        <w:tc>
          <w:tcPr>
            <w:tcW w:type="dxa" w:w="2339"/>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Измерение с меткой времени</w:t>
            </w:r>
          </w:p>
        </w:tc>
        <w:tc>
          <w:tcPr>
            <w:tcW w:type="dxa" w:w="2339"/>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Мониторинг</w:t>
            </w:r>
          </w:p>
        </w:tc>
        <w:tc>
          <w:tcPr>
            <w:tcW w:type="dxa" w:w="2339"/>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Телеизмерения с точным временем</w:t>
            </w:r>
          </w:p>
        </w:tc>
      </w:tr>
      <w:tr>
        <w:tc>
          <w:tcPr>
            <w:tcW w:type="dxa" w:w="2339"/>
            <w:vAlign w:val="center"/>
            <w:tcMar>
              <w:top w:w="28" w:type="dxa"/>
              <w:bottom w:w="28" w:type="dxa"/>
              <w:left w:w="57" w:type="dxa"/>
              <w:right w:w="57" w:type="dxa"/>
            </w:tcMar>
          </w:tcPr>
          <w:p>
            <w:pPr>
              <w:spacing w:before="0" w:after="0" w:line="240" w:lineRule="auto"/>
              <w:ind w:firstLine="0"/>
              <w:jc w:val="left"/>
            </w:pPr>
            <w:r/>
            <w:r>
              <w:rPr>
                <w:rFonts w:ascii="Times New Roman" w:hAnsi="Times New Roman"/>
                <w:b w:val="0"/>
                <w:color w:val="000000"/>
                <w:sz w:val="28"/>
              </w:rPr>
              <w:t>M_SP_TB_1 (30)</w:t>
            </w:r>
          </w:p>
        </w:tc>
        <w:tc>
          <w:tcPr>
            <w:tcW w:type="dxa" w:w="2339"/>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Одноэлементная с меткой времени</w:t>
            </w:r>
          </w:p>
        </w:tc>
        <w:tc>
          <w:tcPr>
            <w:tcW w:type="dxa" w:w="2339"/>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Мониторинг</w:t>
            </w:r>
          </w:p>
        </w:tc>
        <w:tc>
          <w:tcPr>
            <w:tcW w:type="dxa" w:w="2339"/>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Срабатывание защиты с временем</w:t>
            </w:r>
          </w:p>
        </w:tc>
      </w:tr>
      <w:tr>
        <w:tc>
          <w:tcPr>
            <w:tcW w:type="dxa" w:w="2339"/>
            <w:vAlign w:val="center"/>
            <w:tcMar>
              <w:top w:w="28" w:type="dxa"/>
              <w:bottom w:w="28" w:type="dxa"/>
              <w:left w:w="57" w:type="dxa"/>
              <w:right w:w="57" w:type="dxa"/>
            </w:tcMar>
          </w:tcPr>
          <w:p>
            <w:pPr>
              <w:spacing w:before="0" w:after="0" w:line="240" w:lineRule="auto"/>
              <w:ind w:firstLine="0"/>
              <w:jc w:val="left"/>
            </w:pPr>
            <w:r/>
            <w:r>
              <w:rPr>
                <w:rFonts w:ascii="Times New Roman" w:hAnsi="Times New Roman"/>
                <w:b w:val="0"/>
                <w:color w:val="000000"/>
                <w:sz w:val="28"/>
              </w:rPr>
              <w:t>C_SC_NA_1 (45)</w:t>
            </w:r>
          </w:p>
        </w:tc>
        <w:tc>
          <w:tcPr>
            <w:tcW w:type="dxa" w:w="2339"/>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Однопозиционная команда</w:t>
            </w:r>
          </w:p>
        </w:tc>
        <w:tc>
          <w:tcPr>
            <w:tcW w:type="dxa" w:w="2339"/>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Управление</w:t>
            </w:r>
          </w:p>
        </w:tc>
        <w:tc>
          <w:tcPr>
            <w:tcW w:type="dxa" w:w="2339"/>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Включение/отключение реклоузера</w:t>
            </w:r>
          </w:p>
        </w:tc>
      </w:tr>
      <w:tr>
        <w:tc>
          <w:tcPr>
            <w:tcW w:type="dxa" w:w="2339"/>
            <w:vAlign w:val="center"/>
            <w:tcMar>
              <w:top w:w="28" w:type="dxa"/>
              <w:bottom w:w="28" w:type="dxa"/>
              <w:left w:w="57" w:type="dxa"/>
              <w:right w:w="57" w:type="dxa"/>
            </w:tcMar>
          </w:tcPr>
          <w:p>
            <w:pPr>
              <w:spacing w:before="0" w:after="0" w:line="240" w:lineRule="auto"/>
              <w:ind w:firstLine="0"/>
              <w:jc w:val="left"/>
            </w:pPr>
            <w:r/>
            <w:r>
              <w:rPr>
                <w:rFonts w:ascii="Times New Roman" w:hAnsi="Times New Roman"/>
                <w:b w:val="0"/>
                <w:color w:val="000000"/>
                <w:sz w:val="28"/>
              </w:rPr>
              <w:t>C_DC_NA_1 (46)</w:t>
            </w:r>
          </w:p>
        </w:tc>
        <w:tc>
          <w:tcPr>
            <w:tcW w:type="dxa" w:w="2339"/>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Двухпозиционная команда</w:t>
            </w:r>
          </w:p>
        </w:tc>
        <w:tc>
          <w:tcPr>
            <w:tcW w:type="dxa" w:w="2339"/>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Управление</w:t>
            </w:r>
          </w:p>
        </w:tc>
        <w:tc>
          <w:tcPr>
            <w:tcW w:type="dxa" w:w="2339"/>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Переключение режимов</w:t>
            </w:r>
          </w:p>
        </w:tc>
      </w:tr>
      <w:tr>
        <w:tc>
          <w:tcPr>
            <w:tcW w:type="dxa" w:w="2339"/>
            <w:vAlign w:val="center"/>
            <w:tcMar>
              <w:top w:w="28" w:type="dxa"/>
              <w:bottom w:w="28" w:type="dxa"/>
              <w:left w:w="57" w:type="dxa"/>
              <w:right w:w="57" w:type="dxa"/>
            </w:tcMar>
          </w:tcPr>
          <w:p>
            <w:pPr>
              <w:spacing w:before="0" w:after="0" w:line="240" w:lineRule="auto"/>
              <w:ind w:firstLine="0"/>
              <w:jc w:val="left"/>
            </w:pPr>
            <w:r/>
            <w:r>
              <w:rPr>
                <w:rFonts w:ascii="Times New Roman" w:hAnsi="Times New Roman"/>
                <w:b w:val="0"/>
                <w:color w:val="000000"/>
                <w:sz w:val="28"/>
              </w:rPr>
              <w:t>C_IC_NA_1 (100)</w:t>
            </w:r>
          </w:p>
        </w:tc>
        <w:tc>
          <w:tcPr>
            <w:tcW w:type="dxa" w:w="2339"/>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Общий опрос</w:t>
            </w:r>
          </w:p>
        </w:tc>
        <w:tc>
          <w:tcPr>
            <w:tcW w:type="dxa" w:w="2339"/>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Управление</w:t>
            </w:r>
          </w:p>
        </w:tc>
        <w:tc>
          <w:tcPr>
            <w:tcW w:type="dxa" w:w="2339"/>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Запрос текущих значений</w:t>
            </w:r>
          </w:p>
        </w:tc>
      </w:tr>
    </w:tbl>
    <w:p>
      <w:pPr>
        <w:spacing w:before="0" w:after="0" w:line="360" w:lineRule="auto"/>
        <w:ind w:firstLine="709"/>
        <w:jc w:val="both"/>
      </w:pPr>
      <w:r>
        <w:rPr>
          <w:rFonts w:ascii="Times New Roman" w:hAnsi="Times New Roman"/>
          <w:b w:val="0"/>
          <w:i w:val="0"/>
          <w:color w:val="000000"/>
          <w:sz w:val="28"/>
        </w:rPr>
        <w:t>Реализация клиента протокола МЭК 60870-5-104 в прототипе выполнена на языке Python с использованием стандартных библиотек socket и struct для работы с TCP-соединениями и бинарными данными. Клиент поддерживает все три формата кадров (I, S, U), обеспечивает контроль последовательности номеров, автоматическую отправку тестовых кадров (TESTFR) для контроля активности соединения и обработку входящих ASDU с извлечением информационных объектов. Полный листинг кода клиента протокола приведён в Приложении Г [9].</w:t>
      </w:r>
    </w:p>
    <w:p>
      <w:pPr>
        <w:spacing w:before="0" w:after="0" w:line="360" w:lineRule="auto"/>
        <w:ind w:firstLine="709"/>
        <w:jc w:val="both"/>
      </w:pPr>
      <w:r>
        <w:rPr>
          <w:rFonts w:ascii="Times New Roman" w:hAnsi="Times New Roman"/>
          <w:b w:val="0"/>
          <w:i w:val="0"/>
          <w:color w:val="000000"/>
          <w:sz w:val="28"/>
        </w:rPr>
        <w:t>Рассмотрим более подробно механизм управления соединением в протоколе МЭК 60870-5-104. Соединение между управляющей станцией (SCADA-сервер) и контролируемой станцией (контроллер реклоузера) устанавливается по инициативе контролируемой станции, которая выступает в роли TCP-клиента и подключается к серверу на порт 2404. После установления TCP-соединения контролируемая станция отправляет кадр STARTDT act (U-формат), сообщая о готовности к передаче данных. Управляющая станция подтверждает активацию кадром STARTDT con.</w:t>
      </w:r>
    </w:p>
    <w:p>
      <w:pPr>
        <w:spacing w:before="0" w:after="0" w:line="360" w:lineRule="auto"/>
        <w:ind w:firstLine="709"/>
        <w:jc w:val="both"/>
      </w:pPr>
      <w:r>
        <w:rPr>
          <w:rFonts w:ascii="Times New Roman" w:hAnsi="Times New Roman"/>
          <w:b w:val="0"/>
          <w:i w:val="0"/>
          <w:color w:val="000000"/>
          <w:sz w:val="28"/>
        </w:rPr>
        <w:t>После активации передачи данных управляющая станция, как правило, отправляет команду общего опроса (C_IC_NA_1, TypeID=100) для получения текущих значений всех контролируемых параметров. Контролируемая станция отвечает серией I-кадров, содержащих значения телеизмерений и телесигнализации с причиной передачи COT=20 (interrogated by station interrogation). По завершении передачи контролируемая станция отправляет подтверждение окончания опроса (C_IC_NA_1 с COT=10, activation termination).</w:t>
      </w:r>
    </w:p>
    <w:p>
      <w:pPr>
        <w:spacing w:before="0" w:after="0" w:line="360" w:lineRule="auto"/>
        <w:ind w:firstLine="709"/>
        <w:jc w:val="both"/>
      </w:pPr>
      <w:r>
        <w:rPr>
          <w:rFonts w:ascii="Times New Roman" w:hAnsi="Times New Roman"/>
          <w:b w:val="0"/>
          <w:i w:val="0"/>
          <w:color w:val="000000"/>
          <w:sz w:val="28"/>
        </w:rPr>
        <w:t>В дальнейшем обмен данными осуществляется в двух режимах. Спорадическая передача (spontaneous, COT=3) используется для передачи изменений дискретных сигналов (положение реклоузера, срабатывание защиты) и аналоговых измерений, вышедших за порог чувствительности (deadband). Периодическая передача (cyclic, COT=1) используется для регулярной отправки телеизмерений с фиксированным интервалом.</w:t>
      </w:r>
    </w:p>
    <w:p>
      <w:pPr>
        <w:spacing w:before="0" w:after="0" w:line="360" w:lineRule="auto"/>
        <w:ind w:firstLine="709"/>
        <w:jc w:val="both"/>
      </w:pPr>
      <w:r>
        <w:rPr>
          <w:rFonts w:ascii="Times New Roman" w:hAnsi="Times New Roman"/>
          <w:b w:val="0"/>
          <w:i w:val="0"/>
          <w:color w:val="000000"/>
          <w:sz w:val="28"/>
        </w:rPr>
        <w:t>Для контроля активности соединения протокол предусматривает механизм тестовых кадров TESTFR. Если в течение заданного времени t3 (по умолчанию 20 секунд) по каналу не передавались данные, одна из сторон отправляет кадр TESTFR act и ожидает ответа TESTFR con. Если ответ не получен в течение таймаута t1 (15 секунд), соединение считается потерянным и закрывается. Данный механизм обеспечивает обнаружение обрыва связи даже при отсутствии изменений в контролируемых параметрах.</w:t>
      </w:r>
    </w:p>
    <w:p>
      <w:bookmarkStart w:id="51" w:name="_bm_section_3_3"/>
      <w:pPr>
        <w:spacing w:before="240" w:after="120" w:line="360" w:lineRule="auto"/>
        <w:ind w:firstLine="709"/>
        <w:jc w:val="both"/>
        <w:outlineLvl w:val="1"/>
      </w:pPr>
      <w:r>
        <w:rPr>
          <w:rFonts w:ascii="Times New Roman" w:hAnsi="Times New Roman"/>
          <w:b/>
          <w:color w:val="000000"/>
          <w:sz w:val="28"/>
        </w:rPr>
        <w:t>3.3 Логическая структура базы данных и обработка информации</w:t>
      </w:r>
      <w:bookmarkEnd w:id="51"/>
    </w:p>
    <w:p>
      <w:pPr>
        <w:spacing w:before="0" w:after="0" w:line="360" w:lineRule="auto"/>
        <w:ind w:firstLine="709"/>
        <w:jc w:val="both"/>
      </w:pPr>
      <w:r>
        <w:rPr>
          <w:rFonts w:ascii="Times New Roman" w:hAnsi="Times New Roman"/>
          <w:b w:val="0"/>
          <w:i w:val="0"/>
          <w:color w:val="000000"/>
          <w:sz w:val="28"/>
        </w:rPr>
        <w:t>Для хранения телеметрических данных, событий и конфигурационной информации в прототипе используется реляционная база данных SQLite 3. Выбор SQLite обусловлен простотой развёртывания (база данных хранится в одном файле), отсутствием необходимости установки отдельного сервера СУБД и достаточной производительностью для обработки информационных потоков, характерных для мониторинга трёх реклоузеров [10].</w:t>
      </w:r>
    </w:p>
    <w:p>
      <w:pPr>
        <w:spacing w:before="0" w:after="0" w:line="360" w:lineRule="auto"/>
        <w:ind w:firstLine="709"/>
        <w:jc w:val="both"/>
      </w:pPr>
      <w:r>
        <w:rPr>
          <w:rFonts w:ascii="Times New Roman" w:hAnsi="Times New Roman"/>
          <w:b w:val="0"/>
          <w:i w:val="0"/>
          <w:color w:val="000000"/>
          <w:sz w:val="28"/>
        </w:rPr>
        <w:t>Логическая структура базы данных включает четыре основных таблицы: devices (устройства), measurements (измерения), events (события) и alarms (алармы). Структура таблиц спроектирована в соответствии с третьей нормальной формой (3НФ) для минимизации избыточности данных [11].</w:t>
      </w:r>
    </w:p>
    <w:p>
      <w:pPr>
        <w:spacing w:before="0" w:after="0" w:line="360" w:lineRule="auto"/>
        <w:ind w:firstLine="709"/>
        <w:jc w:val="both"/>
      </w:pPr>
      <w:r>
        <w:rPr>
          <w:rFonts w:ascii="Times New Roman" w:hAnsi="Times New Roman"/>
          <w:b w:val="0"/>
          <w:i w:val="0"/>
          <w:color w:val="000000"/>
          <w:sz w:val="28"/>
        </w:rPr>
        <w:t>Таблица devices содержит информацию об устройствах полевого уровня и включает следующие поля: уникальный идентификатор устройства (id), тип устройства (device_type — реклоузер, датчик температуры, метеостанция), наименование (name), местоположение в текстовом виде (location), координаты GPS (latitude, longitude), текущий статус связи (status — online/offline) и время последнего сеанса связи (last_seen) [12].</w:t>
      </w:r>
    </w:p>
    <w:p>
      <w:pPr>
        <w:spacing w:before="0" w:after="0" w:line="360" w:lineRule="auto"/>
        <w:ind w:firstLine="709"/>
        <w:jc w:val="both"/>
      </w:pPr>
      <w:r>
        <w:rPr>
          <w:rFonts w:ascii="Times New Roman" w:hAnsi="Times New Roman"/>
          <w:b w:val="0"/>
          <w:i w:val="0"/>
          <w:color w:val="000000"/>
          <w:sz w:val="28"/>
        </w:rPr>
        <w:t>Таблица measurements является основной таблицей для хранения телеизмерений. Каждая запись содержит ссылку на устройство (device_id), наименование измеряемого параметра (parameter), числовое значение (value), единицу измерения (unit), дескриптор качества (quality) и временную метку (timestamp). Для обеспечения быстрого поиска по устройству и времени создан составной индекс по полям device_id и timestamp [13].</w:t>
      </w:r>
    </w:p>
    <w:p>
      <w:pPr>
        <w:spacing w:before="0" w:after="0" w:line="360" w:lineRule="auto"/>
        <w:ind w:firstLine="709"/>
        <w:jc w:val="both"/>
      </w:pPr>
      <w:r>
        <w:rPr>
          <w:rFonts w:ascii="Times New Roman" w:hAnsi="Times New Roman"/>
          <w:b w:val="0"/>
          <w:i w:val="0"/>
          <w:color w:val="000000"/>
          <w:sz w:val="28"/>
        </w:rPr>
        <w:t>Таблица events хранит журнал событий: срабатывания защит, изменения состояния оборудования, действия оперативного персонала, системные события. Каждая запись включает ссылку на устройство, тип события (event_type), уровень критичности (severity: info, warning, error, critical), текстовое описание (description), признак квитирования оператором (acknowledged) и временную метку. Индекс по полю timestamp обеспечивает быстрый доступ к хронологическому журналу событий [14].</w:t>
      </w:r>
    </w:p>
    <w:p>
      <w:pPr>
        <w:spacing w:before="0" w:after="0" w:line="360" w:lineRule="auto"/>
        <w:ind w:firstLine="709"/>
        <w:jc w:val="both"/>
      </w:pPr>
      <w:r>
        <w:rPr>
          <w:rFonts w:ascii="Times New Roman" w:hAnsi="Times New Roman"/>
          <w:b w:val="0"/>
          <w:i w:val="0"/>
          <w:color w:val="000000"/>
          <w:sz w:val="28"/>
        </w:rPr>
        <w:t>Таблица alarms содержит текущие аварийные состояния параметров: ссылку на устройство, параметр, нижний и верхний пороги, текущее значение, состояние аларма (normal, low, high) и время активации. Данная таблица используется для оперативного отображения активных алармов на рабочей станции диспетчера [15].</w:t>
      </w:r>
    </w:p>
    <w:p>
      <w:pPr>
        <w:spacing w:before="0" w:after="0" w:line="360" w:lineRule="auto"/>
        <w:ind w:firstLine="709"/>
        <w:jc w:val="both"/>
      </w:pPr>
      <w:r>
        <w:rPr>
          <w:rFonts w:ascii="Times New Roman" w:hAnsi="Times New Roman"/>
          <w:b w:val="0"/>
          <w:i w:val="0"/>
          <w:color w:val="000000"/>
          <w:sz w:val="28"/>
        </w:rPr>
        <w:t>Для обеспечения производительности при работе с большими объёмами исторических данных в прототипе реализован механизм автоматического архивирования: данные старше 30 суток переносятся из основной таблицы measurements в архивную таблицу measurements_archive с сохранением индексов. Это позволяет поддерживать объём основной таблицы на уровне 3–5 миллионов записей, обеспечивая время отклика запросов не более 100 мс [16].</w:t>
      </w:r>
    </w:p>
    <w:p>
      <w:pPr>
        <w:spacing w:before="0" w:after="0" w:line="360" w:lineRule="auto"/>
        <w:ind w:firstLine="709"/>
        <w:jc w:val="both"/>
      </w:pPr>
      <w:r>
        <w:rPr>
          <w:rFonts w:ascii="Times New Roman" w:hAnsi="Times New Roman"/>
          <w:b w:val="0"/>
          <w:i w:val="0"/>
          <w:color w:val="000000"/>
          <w:sz w:val="28"/>
        </w:rPr>
        <w:t>Полный листинг инициализации базы данных и серверной части прототипа приведён в Приложении В.</w:t>
      </w:r>
    </w:p>
    <w:p>
      <w:pPr>
        <w:spacing w:before="0" w:after="0" w:line="360" w:lineRule="auto"/>
        <w:ind w:firstLine="709"/>
        <w:jc w:val="both"/>
      </w:pPr>
      <w:r>
        <w:rPr>
          <w:rFonts w:ascii="Times New Roman" w:hAnsi="Times New Roman"/>
          <w:b w:val="0"/>
          <w:i w:val="0"/>
          <w:color w:val="000000"/>
          <w:sz w:val="28"/>
        </w:rPr>
        <w:t>Для обеспечения целостности данных при одновременном доступе нескольких клиентов в прототипе используется механизм транзакций SQLite с уровнем изоляции SERIALIZABLE. Каждая операция записи (вставка нового измерения, обновление состояния устройства, регистрация события) выполняется в рамках отдельной транзакции, что гарантирует атомарность и согласованность данных.</w:t>
      </w:r>
    </w:p>
    <w:p>
      <w:pPr>
        <w:spacing w:before="0" w:after="0" w:line="360" w:lineRule="auto"/>
        <w:ind w:firstLine="709"/>
        <w:jc w:val="both"/>
      </w:pPr>
      <w:r>
        <w:rPr>
          <w:rFonts w:ascii="Times New Roman" w:hAnsi="Times New Roman"/>
          <w:b w:val="0"/>
          <w:i w:val="0"/>
          <w:color w:val="000000"/>
          <w:sz w:val="28"/>
        </w:rPr>
        <w:t>Объём базы данных при работе с тремя реклоузерами и периодом опроса 2 секунды может быть оценён следующим образом. Каждый реклоузер генерирует приблизительно 40 аналоговых измерений и 20 дискретных сигналов. При периоде опроса 2 секунды для аналоговых и передаче дискретных по событию, суточный объём данных составляет: (40 параметров × 3 устройства × 43 200 отсчётов/сутки × 50 байт/запись) = приблизительно 259 Мбайт в сутки. За год непрерывной работы объём базы составит около 95 Гбайт, что требует реализации механизмов архивирования и сжатия исторических данных.</w:t>
      </w:r>
    </w:p>
    <w:p>
      <w:pPr>
        <w:spacing w:before="0" w:after="0" w:line="360" w:lineRule="auto"/>
        <w:ind w:firstLine="709"/>
        <w:jc w:val="both"/>
      </w:pPr>
      <w:r>
        <w:rPr>
          <w:rFonts w:ascii="Times New Roman" w:hAnsi="Times New Roman"/>
          <w:b w:val="0"/>
          <w:i w:val="0"/>
          <w:color w:val="000000"/>
          <w:sz w:val="28"/>
        </w:rPr>
        <w:t>В прототипе реализован двухуровневый механизм хранения данных. Оперативный уровень содержит данные за последние 30 суток в полном разрешении (каждый отсчёт) и обеспечивает быстрый доступ для построения детальных трендов и анализа аварийных ситуаций. Архивный уровень содержит агрегированные данные (средние, минимальные, максимальные значения за 5-минутные и часовые интервалы) за весь период хранения (до 3 лет), что обеспечивает приемлемый объём хранения при сохранении возможности долгосрочного анализа тенденций.</w:t>
      </w:r>
    </w:p>
    <w:p>
      <w:pPr>
        <w:spacing w:before="0" w:after="0" w:line="360" w:lineRule="auto"/>
        <w:ind w:firstLine="709"/>
        <w:jc w:val="both"/>
      </w:pPr>
      <w:r>
        <w:rPr>
          <w:rFonts w:ascii="Times New Roman" w:hAnsi="Times New Roman"/>
          <w:b w:val="0"/>
          <w:i w:val="0"/>
          <w:color w:val="000000"/>
          <w:sz w:val="28"/>
        </w:rPr>
        <w:t>Проектирование схемы базы данных прототипа выполнено с учётом специфики хранения телеметрических данных, характеризующихся высокой интенсивностью записи и преимущественно последовательным доступом при чтении. Таблица measurements является основной по объёму хранимых данных: при трёх реклоузерах и 15 измеряемых параметрах на каждый, с периодом записи 5 секунд, суточный прирост составляет около 780 тысяч записей. Для обеспечения приемлемой производительности при таком объёме данных созданы составные индексы по полям device_id и timestamp, а также реализован механизм партиционирования по дате с автоматическим архивированием данных старше 30 суток.</w:t>
      </w:r>
    </w:p>
    <w:p>
      <w:pPr>
        <w:spacing w:before="0" w:after="0" w:line="360" w:lineRule="auto"/>
        <w:ind w:firstLine="709"/>
        <w:jc w:val="both"/>
      </w:pPr>
      <w:r>
        <w:rPr>
          <w:rFonts w:ascii="Times New Roman" w:hAnsi="Times New Roman"/>
          <w:b w:val="0"/>
          <w:i w:val="0"/>
          <w:color w:val="000000"/>
          <w:sz w:val="28"/>
        </w:rPr>
        <w:t>Таблица events предназначена для хранения дискретных событий: срабатывание защит, переключение коммутационных аппаратов, потеря и восстановление связи с устройствами. Каждая запись содержит метку времени с точностью до миллисекунды, идентификатор устройства, тип события и дополнительные параметры в формате JSON. Таблица alarms хранит активные и подтверждённые алармы с указанием приоритета (критический, предупреждение, информационный), времени возникновения, времени подтверждения оператором и текста описания. Связь между таблицами обеспечивается через внешние ключи с каскадным обновлением.</w:t>
      </w:r>
    </w:p>
    <w:p>
      <w:pPr>
        <w:spacing w:before="0" w:after="0" w:line="360" w:lineRule="auto"/>
        <w:ind w:firstLine="709"/>
        <w:jc w:val="both"/>
      </w:pPr>
      <w:r>
        <w:rPr>
          <w:rFonts w:ascii="Times New Roman" w:hAnsi="Times New Roman"/>
          <w:b w:val="0"/>
          <w:i w:val="0"/>
          <w:color w:val="000000"/>
          <w:sz w:val="28"/>
        </w:rPr>
        <w:t>Для оптимизации запросов к историческим данным реализован механизм агрегирования: раз в минуту фоновый процесс вычисляет минимальные, максимальные и средние значения каждого параметра и записывает их в отдельную таблицу measurements_agg. Это позволяет строить графики трендов за длительные периоды (недели, месяцы) без обращения к детализированным данным, что снижает время отклика интерфейса с нескольких секунд до десятков миллисекунд. При переходе к промышленной эксплуатации с использованием PostgreSQL данный механизм может быть заменён на материализованные представления с автоматическим обновлением.</w:t>
      </w:r>
    </w:p>
    <w:p>
      <w:bookmarkStart w:id="52" w:name="_bm_section_3_4"/>
      <w:pPr>
        <w:spacing w:before="240" w:after="120" w:line="360" w:lineRule="auto"/>
        <w:ind w:firstLine="709"/>
        <w:jc w:val="both"/>
        <w:outlineLvl w:val="1"/>
      </w:pPr>
      <w:r>
        <w:rPr>
          <w:rFonts w:ascii="Times New Roman" w:hAnsi="Times New Roman"/>
          <w:b/>
          <w:color w:val="000000"/>
          <w:sz w:val="28"/>
        </w:rPr>
        <w:t>3.4 Расчёт нагрузки на серверную инфраструктуру и архитектурные ограничения прототипа</w:t>
      </w:r>
      <w:bookmarkEnd w:id="52"/>
    </w:p>
    <w:p>
      <w:pPr>
        <w:spacing w:before="0" w:after="0" w:line="360" w:lineRule="auto"/>
        <w:ind w:firstLine="709"/>
        <w:jc w:val="both"/>
      </w:pPr>
      <w:r>
        <w:rPr>
          <w:rFonts w:ascii="Times New Roman" w:hAnsi="Times New Roman"/>
          <w:b w:val="0"/>
          <w:i w:val="0"/>
          <w:color w:val="000000"/>
          <w:sz w:val="28"/>
        </w:rPr>
        <w:t>Для оценки производственной пригодности прототипа выполнен расчёт нагрузки на серверную инфраструктуру при различных конфигурациях автоматизированного участка. Расчёт основан на характеристиках информационного потока протокола МЭК 60870-5-104 и измеренных показателях производительности компонентов прототипа [16].</w:t>
      </w:r>
    </w:p>
    <w:p>
      <w:pPr>
        <w:spacing w:before="0" w:after="0" w:line="360" w:lineRule="auto"/>
        <w:ind w:firstLine="709"/>
        <w:jc w:val="both"/>
      </w:pPr>
      <w:r>
        <w:rPr>
          <w:rFonts w:ascii="Times New Roman" w:hAnsi="Times New Roman"/>
          <w:b w:val="0"/>
          <w:i w:val="0"/>
          <w:color w:val="000000"/>
          <w:sz w:val="28"/>
        </w:rPr>
        <w:t>Информационный поток от одного реклоузера включает: 40 аналоговых параметров (TypeID M_ME_NC_1, 13 байт на объект) с периодом передачи 2 секунды и 20 дискретных сигналов (TypeID M_SP_NA_1, 4 байта на объект) с передачей по событию. Размер одного I-кадра APDU составляет от 16 до 253 байт. При периодическом опросе 40 параметров формируется 2–3 I-кадра (с учётом ограничения на 127 информационных объектов в одном ASDU), что даёт объём 400–600 байт за цикл опроса. Таким образом, один реклоузер генерирует информационный поток 200–300 байт/с в нормальном режиме [17].</w:t>
      </w:r>
    </w:p>
    <w:p>
      <w:pPr>
        <w:spacing w:before="0" w:after="0" w:line="360" w:lineRule="auto"/>
        <w:ind w:firstLine="709"/>
        <w:jc w:val="both"/>
      </w:pPr>
      <w:r>
        <w:rPr>
          <w:rFonts w:ascii="Times New Roman" w:hAnsi="Times New Roman"/>
          <w:b w:val="0"/>
          <w:i w:val="0"/>
          <w:color w:val="000000"/>
          <w:sz w:val="28"/>
        </w:rPr>
        <w:t>Расчёт нагрузки на подсистему записи в базу данных выполнен для трёх конфигураций: 3 устройства (базовая), 30 устройств (типовой район) и 100 устройств (предельная для прототипа). Результаты расчёта представлены ниже.</w:t>
      </w:r>
    </w:p>
    <w:p>
      <w:pPr>
        <w:spacing w:before="240" w:after="120" w:line="360" w:lineRule="auto"/>
        <w:ind w:firstLine="0"/>
        <w:jc w:val="left"/>
      </w:pPr>
      <w:r>
        <w:rPr>
          <w:rFonts w:ascii="Times New Roman" w:hAnsi="Times New Roman"/>
          <w:color w:val="000000"/>
          <w:sz w:val="28"/>
        </w:rPr>
        <w:t>Таблица 6 – Расчёт нагрузки на серверную инфраструктуру прототипа</w:t>
      </w:r>
    </w:p>
    <w:tbl>
      <w:tblPr>
        <w:tblStyle w:val="TableGrid"/>
        <w:tblW w:type="auto" w:w="0"/>
        <w:tblLook w:firstColumn="1" w:firstRow="1" w:lastColumn="0" w:lastRow="0" w:noHBand="0" w:noVBand="1" w:val="04A0"/>
        <w:tblW w:type="pct" w:w="5000"/>
      </w:tblPr>
      <w:tblGrid>
        <w:gridCol w:w="2339"/>
        <w:gridCol w:w="2339"/>
        <w:gridCol w:w="2339"/>
        <w:gridCol w:w="2339"/>
      </w:tblGrid>
      <w:tr>
        <w:tc>
          <w:tcPr>
            <w:tcW w:type="dxa" w:w="2339"/>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Параметр</w:t>
            </w:r>
          </w:p>
        </w:tc>
        <w:tc>
          <w:tcPr>
            <w:tcW w:type="dxa" w:w="2339"/>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3 устройства</w:t>
            </w:r>
          </w:p>
        </w:tc>
        <w:tc>
          <w:tcPr>
            <w:tcW w:type="dxa" w:w="2339"/>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30 устройств</w:t>
            </w:r>
          </w:p>
        </w:tc>
        <w:tc>
          <w:tcPr>
            <w:tcW w:type="dxa" w:w="2339"/>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100 устройств</w:t>
            </w:r>
          </w:p>
        </w:tc>
      </w:tr>
      <w:tr>
        <w:tc>
          <w:tcPr>
            <w:tcW w:type="dxa" w:w="2339"/>
            <w:vAlign w:val="center"/>
            <w:tcMar>
              <w:top w:w="28" w:type="dxa"/>
              <w:bottom w:w="28" w:type="dxa"/>
              <w:left w:w="57" w:type="dxa"/>
              <w:right w:w="57" w:type="dxa"/>
            </w:tcMar>
          </w:tcPr>
          <w:p>
            <w:pPr>
              <w:spacing w:before="0" w:after="0" w:line="240" w:lineRule="auto"/>
              <w:ind w:firstLine="0"/>
              <w:jc w:val="left"/>
            </w:pPr>
            <w:r/>
            <w:r>
              <w:rPr>
                <w:rFonts w:ascii="Times New Roman" w:hAnsi="Times New Roman"/>
                <w:b w:val="0"/>
                <w:color w:val="000000"/>
                <w:sz w:val="28"/>
              </w:rPr>
              <w:t>Входящий поток, КБ/с</w:t>
            </w:r>
          </w:p>
        </w:tc>
        <w:tc>
          <w:tcPr>
            <w:tcW w:type="dxa" w:w="2339"/>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0,9</w:t>
            </w:r>
          </w:p>
        </w:tc>
        <w:tc>
          <w:tcPr>
            <w:tcW w:type="dxa" w:w="2339"/>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9,0</w:t>
            </w:r>
          </w:p>
        </w:tc>
        <w:tc>
          <w:tcPr>
            <w:tcW w:type="dxa" w:w="2339"/>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30,0</w:t>
            </w:r>
          </w:p>
        </w:tc>
      </w:tr>
      <w:tr>
        <w:tc>
          <w:tcPr>
            <w:tcW w:type="dxa" w:w="2339"/>
            <w:vAlign w:val="center"/>
            <w:tcMar>
              <w:top w:w="28" w:type="dxa"/>
              <w:bottom w:w="28" w:type="dxa"/>
              <w:left w:w="57" w:type="dxa"/>
              <w:right w:w="57" w:type="dxa"/>
            </w:tcMar>
          </w:tcPr>
          <w:p>
            <w:pPr>
              <w:spacing w:before="0" w:after="0" w:line="240" w:lineRule="auto"/>
              <w:ind w:firstLine="0"/>
              <w:jc w:val="left"/>
            </w:pPr>
            <w:r/>
            <w:r>
              <w:rPr>
                <w:rFonts w:ascii="Times New Roman" w:hAnsi="Times New Roman"/>
                <w:b w:val="0"/>
                <w:color w:val="000000"/>
                <w:sz w:val="28"/>
              </w:rPr>
              <w:t>Операций INSERT/с</w:t>
            </w:r>
          </w:p>
        </w:tc>
        <w:tc>
          <w:tcPr>
            <w:tcW w:type="dxa" w:w="2339"/>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60</w:t>
            </w:r>
          </w:p>
        </w:tc>
        <w:tc>
          <w:tcPr>
            <w:tcW w:type="dxa" w:w="2339"/>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600</w:t>
            </w:r>
          </w:p>
        </w:tc>
        <w:tc>
          <w:tcPr>
            <w:tcW w:type="dxa" w:w="2339"/>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2 000</w:t>
            </w:r>
          </w:p>
        </w:tc>
      </w:tr>
      <w:tr>
        <w:tc>
          <w:tcPr>
            <w:tcW w:type="dxa" w:w="2339"/>
            <w:vAlign w:val="center"/>
            <w:tcMar>
              <w:top w:w="28" w:type="dxa"/>
              <w:bottom w:w="28" w:type="dxa"/>
              <w:left w:w="57" w:type="dxa"/>
              <w:right w:w="57" w:type="dxa"/>
            </w:tcMar>
          </w:tcPr>
          <w:p>
            <w:pPr>
              <w:spacing w:before="0" w:after="0" w:line="240" w:lineRule="auto"/>
              <w:ind w:firstLine="0"/>
              <w:jc w:val="left"/>
            </w:pPr>
            <w:r/>
            <w:r>
              <w:rPr>
                <w:rFonts w:ascii="Times New Roman" w:hAnsi="Times New Roman"/>
                <w:b w:val="0"/>
                <w:color w:val="000000"/>
                <w:sz w:val="28"/>
              </w:rPr>
              <w:t>Загрузка CPU, %</w:t>
            </w:r>
          </w:p>
        </w:tc>
        <w:tc>
          <w:tcPr>
            <w:tcW w:type="dxa" w:w="2339"/>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8–12</w:t>
            </w:r>
          </w:p>
        </w:tc>
        <w:tc>
          <w:tcPr>
            <w:tcW w:type="dxa" w:w="2339"/>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35–45</w:t>
            </w:r>
          </w:p>
        </w:tc>
        <w:tc>
          <w:tcPr>
            <w:tcW w:type="dxa" w:w="2339"/>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85–95</w:t>
            </w:r>
          </w:p>
        </w:tc>
      </w:tr>
      <w:tr>
        <w:tc>
          <w:tcPr>
            <w:tcW w:type="dxa" w:w="2339"/>
            <w:vAlign w:val="center"/>
            <w:tcMar>
              <w:top w:w="28" w:type="dxa"/>
              <w:bottom w:w="28" w:type="dxa"/>
              <w:left w:w="57" w:type="dxa"/>
              <w:right w:w="57" w:type="dxa"/>
            </w:tcMar>
          </w:tcPr>
          <w:p>
            <w:pPr>
              <w:spacing w:before="0" w:after="0" w:line="240" w:lineRule="auto"/>
              <w:ind w:firstLine="0"/>
              <w:jc w:val="left"/>
            </w:pPr>
            <w:r/>
            <w:r>
              <w:rPr>
                <w:rFonts w:ascii="Times New Roman" w:hAnsi="Times New Roman"/>
                <w:b w:val="0"/>
                <w:color w:val="000000"/>
                <w:sz w:val="28"/>
              </w:rPr>
              <w:t>Потребление RAM, МБ</w:t>
            </w:r>
          </w:p>
        </w:tc>
        <w:tc>
          <w:tcPr>
            <w:tcW w:type="dxa" w:w="2339"/>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350–450</w:t>
            </w:r>
          </w:p>
        </w:tc>
        <w:tc>
          <w:tcPr>
            <w:tcW w:type="dxa" w:w="2339"/>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620–780</w:t>
            </w:r>
          </w:p>
        </w:tc>
        <w:tc>
          <w:tcPr>
            <w:tcW w:type="dxa" w:w="2339"/>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1 400–1 600</w:t>
            </w:r>
          </w:p>
        </w:tc>
      </w:tr>
      <w:tr>
        <w:tc>
          <w:tcPr>
            <w:tcW w:type="dxa" w:w="2339"/>
            <w:vAlign w:val="center"/>
            <w:tcMar>
              <w:top w:w="28" w:type="dxa"/>
              <w:bottom w:w="28" w:type="dxa"/>
              <w:left w:w="57" w:type="dxa"/>
              <w:right w:w="57" w:type="dxa"/>
            </w:tcMar>
          </w:tcPr>
          <w:p>
            <w:pPr>
              <w:spacing w:before="0" w:after="0" w:line="240" w:lineRule="auto"/>
              <w:ind w:firstLine="0"/>
              <w:jc w:val="left"/>
            </w:pPr>
            <w:r/>
            <w:r>
              <w:rPr>
                <w:rFonts w:ascii="Times New Roman" w:hAnsi="Times New Roman"/>
                <w:b w:val="0"/>
                <w:color w:val="000000"/>
                <w:sz w:val="28"/>
              </w:rPr>
              <w:t>Объём БД за сутки, МБ</w:t>
            </w:r>
          </w:p>
        </w:tc>
        <w:tc>
          <w:tcPr>
            <w:tcW w:type="dxa" w:w="2339"/>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2,5</w:t>
            </w:r>
          </w:p>
        </w:tc>
        <w:tc>
          <w:tcPr>
            <w:tcW w:type="dxa" w:w="2339"/>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25</w:t>
            </w:r>
          </w:p>
        </w:tc>
        <w:tc>
          <w:tcPr>
            <w:tcW w:type="dxa" w:w="2339"/>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85</w:t>
            </w:r>
          </w:p>
        </w:tc>
      </w:tr>
      <w:tr>
        <w:tc>
          <w:tcPr>
            <w:tcW w:type="dxa" w:w="2339"/>
            <w:vAlign w:val="center"/>
            <w:tcMar>
              <w:top w:w="28" w:type="dxa"/>
              <w:bottom w:w="28" w:type="dxa"/>
              <w:left w:w="57" w:type="dxa"/>
              <w:right w:w="57" w:type="dxa"/>
            </w:tcMar>
          </w:tcPr>
          <w:p>
            <w:pPr>
              <w:spacing w:before="0" w:after="0" w:line="240" w:lineRule="auto"/>
              <w:ind w:firstLine="0"/>
              <w:jc w:val="left"/>
            </w:pPr>
            <w:r/>
            <w:r>
              <w:rPr>
                <w:rFonts w:ascii="Times New Roman" w:hAnsi="Times New Roman"/>
                <w:b w:val="0"/>
                <w:color w:val="000000"/>
                <w:sz w:val="28"/>
              </w:rPr>
              <w:t>Объём БД за год, ГБ</w:t>
            </w:r>
          </w:p>
        </w:tc>
        <w:tc>
          <w:tcPr>
            <w:tcW w:type="dxa" w:w="2339"/>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0,9</w:t>
            </w:r>
          </w:p>
        </w:tc>
        <w:tc>
          <w:tcPr>
            <w:tcW w:type="dxa" w:w="2339"/>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9,1</w:t>
            </w:r>
          </w:p>
        </w:tc>
        <w:tc>
          <w:tcPr>
            <w:tcW w:type="dxa" w:w="2339"/>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30,5</w:t>
            </w:r>
          </w:p>
        </w:tc>
      </w:tr>
      <w:tr>
        <w:tc>
          <w:tcPr>
            <w:tcW w:type="dxa" w:w="2339"/>
            <w:vAlign w:val="center"/>
            <w:tcMar>
              <w:top w:w="28" w:type="dxa"/>
              <w:bottom w:w="28" w:type="dxa"/>
              <w:left w:w="57" w:type="dxa"/>
              <w:right w:w="57" w:type="dxa"/>
            </w:tcMar>
          </w:tcPr>
          <w:p>
            <w:pPr>
              <w:spacing w:before="0" w:after="0" w:line="240" w:lineRule="auto"/>
              <w:ind w:firstLine="0"/>
              <w:jc w:val="left"/>
            </w:pPr>
            <w:r/>
            <w:r>
              <w:rPr>
                <w:rFonts w:ascii="Times New Roman" w:hAnsi="Times New Roman"/>
                <w:b w:val="0"/>
                <w:color w:val="000000"/>
                <w:sz w:val="28"/>
              </w:rPr>
              <w:t>Время обработки ASDU, мс</w:t>
            </w:r>
          </w:p>
        </w:tc>
        <w:tc>
          <w:tcPr>
            <w:tcW w:type="dxa" w:w="2339"/>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15–40</w:t>
            </w:r>
          </w:p>
        </w:tc>
        <w:tc>
          <w:tcPr>
            <w:tcW w:type="dxa" w:w="2339"/>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45–75</w:t>
            </w:r>
          </w:p>
        </w:tc>
        <w:tc>
          <w:tcPr>
            <w:tcW w:type="dxa" w:w="2339"/>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120–200</w:t>
            </w:r>
          </w:p>
        </w:tc>
      </w:tr>
      <w:tr>
        <w:tc>
          <w:tcPr>
            <w:tcW w:type="dxa" w:w="2339"/>
            <w:vAlign w:val="center"/>
            <w:tcMar>
              <w:top w:w="28" w:type="dxa"/>
              <w:bottom w:w="28" w:type="dxa"/>
              <w:left w:w="57" w:type="dxa"/>
              <w:right w:w="57" w:type="dxa"/>
            </w:tcMar>
          </w:tcPr>
          <w:p>
            <w:pPr>
              <w:spacing w:before="0" w:after="0" w:line="240" w:lineRule="auto"/>
              <w:ind w:firstLine="0"/>
              <w:jc w:val="left"/>
            </w:pPr>
            <w:r/>
            <w:r>
              <w:rPr>
                <w:rFonts w:ascii="Times New Roman" w:hAnsi="Times New Roman"/>
                <w:b w:val="0"/>
                <w:color w:val="000000"/>
                <w:sz w:val="28"/>
              </w:rPr>
              <w:t>Время записи в БД, мс</w:t>
            </w:r>
          </w:p>
        </w:tc>
        <w:tc>
          <w:tcPr>
            <w:tcW w:type="dxa" w:w="2339"/>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5–10</w:t>
            </w:r>
          </w:p>
        </w:tc>
        <w:tc>
          <w:tcPr>
            <w:tcW w:type="dxa" w:w="2339"/>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15–30</w:t>
            </w:r>
          </w:p>
        </w:tc>
        <w:tc>
          <w:tcPr>
            <w:tcW w:type="dxa" w:w="2339"/>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40–80</w:t>
            </w:r>
          </w:p>
        </w:tc>
      </w:tr>
    </w:tbl>
    <w:p>
      <w:pPr>
        <w:spacing w:before="0" w:after="0" w:line="360" w:lineRule="auto"/>
        <w:ind w:firstLine="709"/>
        <w:jc w:val="both"/>
      </w:pPr>
      <w:r>
        <w:rPr>
          <w:rFonts w:ascii="Times New Roman" w:hAnsi="Times New Roman"/>
          <w:b w:val="0"/>
          <w:i w:val="0"/>
          <w:color w:val="000000"/>
          <w:sz w:val="28"/>
        </w:rPr>
        <w:t>Как видно из расчёта, узким местом прототипа при масштабировании свыше 50 устройств является подсистема записи в базу данных SQLite. При 100 устройствах время обработки одного ASDU возрастает до 120–200 мс, что приближается к периоду опроса (2 000 мс) и создаёт риск потери данных при лавинном поступлении спорадических телеграмм. Загрузка CPU достигает 85–95%, что не оставляет запаса для обработки аварийных ситуаций [18].</w:t>
      </w:r>
    </w:p>
    <w:p>
      <w:pPr>
        <w:spacing w:before="0" w:after="0" w:line="360" w:lineRule="auto"/>
        <w:ind w:firstLine="709"/>
        <w:jc w:val="both"/>
      </w:pPr>
      <w:r>
        <w:rPr>
          <w:rFonts w:ascii="Times New Roman" w:hAnsi="Times New Roman"/>
          <w:b w:val="0"/>
          <w:i w:val="0"/>
          <w:color w:val="000000"/>
          <w:sz w:val="28"/>
        </w:rPr>
        <w:t>Архитектурные ограничения прототипа и пути их преодоления:</w:t>
      </w:r>
    </w:p>
    <w:p>
      <w:pPr>
        <w:spacing w:before="0" w:after="0" w:line="360" w:lineRule="auto"/>
        <w:ind w:firstLine="709"/>
        <w:jc w:val="both"/>
      </w:pPr>
      <w:r>
        <w:rPr>
          <w:rFonts w:ascii="Times New Roman" w:hAnsi="Times New Roman"/>
          <w:b w:val="0"/>
          <w:i w:val="0"/>
          <w:color w:val="000000"/>
          <w:sz w:val="28"/>
        </w:rPr>
        <w:t xml:space="preserve">Однопоточная запись SQLite. </w:t>
      </w:r>
      <w:r>
        <w:rPr>
          <w:rFonts w:ascii="Times New Roman" w:hAnsi="Times New Roman"/>
          <w:b w:val="0"/>
          <w:i w:val="0"/>
          <w:color w:val="000000"/>
          <w:sz w:val="28"/>
        </w:rPr>
        <w:t>SQLite поддерживает только одну одновременную транзакцию записи (WAL-режим допускает параллельное чтение, но не запись). При переходе на PostgreSQL с пулом соединений (pgBouncer, 16 подключений) пропускная способность записи возрастает в 8–10 раз, до 16 000–20 000 INSERT/с;</w:t>
      </w:r>
    </w:p>
    <w:p>
      <w:pPr>
        <w:spacing w:before="0" w:after="0" w:line="360" w:lineRule="auto"/>
        <w:ind w:firstLine="709"/>
        <w:jc w:val="both"/>
      </w:pPr>
      <w:r>
        <w:rPr>
          <w:rFonts w:ascii="Times New Roman" w:hAnsi="Times New Roman"/>
          <w:b w:val="0"/>
          <w:i w:val="0"/>
          <w:color w:val="000000"/>
          <w:sz w:val="28"/>
        </w:rPr>
        <w:t xml:space="preserve">Отсутствие горизонтального масштабирования. </w:t>
      </w:r>
      <w:r>
        <w:rPr>
          <w:rFonts w:ascii="Times New Roman" w:hAnsi="Times New Roman"/>
          <w:b w:val="0"/>
          <w:i w:val="0"/>
          <w:color w:val="000000"/>
          <w:sz w:val="28"/>
        </w:rPr>
        <w:t>все компоненты прототипа работают в едином Python-процессе. Микросервисная декомпозиция (Protocol Gateway, Data Processor, Event Service, API) с использованием Docker и Kubernetes позволит распределить нагрузку между узлами кластера;</w:t>
      </w:r>
    </w:p>
    <w:p>
      <w:pPr>
        <w:spacing w:before="0" w:after="0" w:line="360" w:lineRule="auto"/>
        <w:ind w:firstLine="709"/>
        <w:jc w:val="both"/>
      </w:pPr>
      <w:r>
        <w:rPr>
          <w:rFonts w:ascii="Times New Roman" w:hAnsi="Times New Roman"/>
          <w:b w:val="0"/>
          <w:i w:val="0"/>
          <w:color w:val="000000"/>
          <w:sz w:val="28"/>
        </w:rPr>
        <w:t xml:space="preserve">Ограничение GIL интерпретатора Python. </w:t>
      </w:r>
      <w:r>
        <w:rPr>
          <w:rFonts w:ascii="Times New Roman" w:hAnsi="Times New Roman"/>
          <w:b w:val="0"/>
          <w:i w:val="0"/>
          <w:color w:val="000000"/>
          <w:sz w:val="28"/>
        </w:rPr>
        <w:t>Global Interpreter Lock ограничивает параллельное выполнение потоков. Для критических по производительности модулей (парсинг ASDU, валидация данных) рекомендуется переход на multiprocessing или переписывание на Go/Rust с сохранением Python для бизнес-логики;</w:t>
      </w:r>
    </w:p>
    <w:p>
      <w:pPr>
        <w:spacing w:before="0" w:after="0" w:line="360" w:lineRule="auto"/>
        <w:ind w:firstLine="709"/>
        <w:jc w:val="both"/>
      </w:pPr>
      <w:r>
        <w:rPr>
          <w:rFonts w:ascii="Times New Roman" w:hAnsi="Times New Roman"/>
          <w:b w:val="0"/>
          <w:i w:val="0"/>
          <w:color w:val="000000"/>
          <w:sz w:val="28"/>
        </w:rPr>
        <w:t xml:space="preserve">Отсутствие кэширования. </w:t>
      </w:r>
      <w:r>
        <w:rPr>
          <w:rFonts w:ascii="Times New Roman" w:hAnsi="Times New Roman"/>
          <w:b w:val="0"/>
          <w:i w:val="0"/>
          <w:color w:val="000000"/>
          <w:sz w:val="28"/>
        </w:rPr>
        <w:t>каждый запрос к REST API обращается непосредственно к БД. Внедрение Redis в качестве кэша текущих значений сократит время отклика API с 50–100 мс до 1–5 мс для 95-го перцентиля.</w:t>
      </w:r>
    </w:p>
    <w:p>
      <w:pPr>
        <w:spacing w:before="0" w:after="0" w:line="360" w:lineRule="auto"/>
        <w:ind w:firstLine="709"/>
        <w:jc w:val="both"/>
      </w:pPr>
      <w:r>
        <w:rPr>
          <w:rFonts w:ascii="Times New Roman" w:hAnsi="Times New Roman"/>
          <w:b w:val="0"/>
          <w:i w:val="0"/>
          <w:color w:val="000000"/>
          <w:sz w:val="28"/>
        </w:rPr>
        <w:t>Для верификации расчётных показателей проведено нагрузочное тестирование прототипа на сервере с конфигурацией: Intel Core i5-12400 (6 ядер, 2,5 ГГц), 16 ГБ DDR4, SSD NVMe 256 ГБ, Ubuntu 22.04 LTS. Тестирование выполнено с помощью программного имитатора, генерирующего трафик МЭК 60870-5-104 от заданного количества виртуальных устройств. Имитатор варьировал количество устройств от 1 до 100 с шагом 10, при каждом значении проводилось 15-минутное тестирование с замером показателей [19].</w:t>
      </w:r>
    </w:p>
    <w:p>
      <w:pPr>
        <w:spacing w:before="0" w:after="0" w:line="360" w:lineRule="auto"/>
        <w:ind w:firstLine="709"/>
        <w:jc w:val="both"/>
      </w:pPr>
      <w:r>
        <w:rPr>
          <w:rFonts w:ascii="Times New Roman" w:hAnsi="Times New Roman"/>
          <w:b w:val="0"/>
          <w:i w:val="0"/>
          <w:color w:val="000000"/>
          <w:sz w:val="28"/>
        </w:rPr>
        <w:t>Результаты нагрузочного тестирования подтвердили расчётные оценки: при 30 устройствах загрузка CPU составила 38% (расчётная 35–45%), потребление RAM — 650 МБ (расчётное 620–780 МБ), среднее время обработки ASDU — 52 мс (расчётное 45–75 мс). Критический порог производительности (загрузка CPU &gt; 80%) достигается при 80–90 устройствах. Таким образом, прототип гарантированно обеспечивает мониторинг до 50 устройств на указанной аппаратной конфигурации с запасом производительности не менее 30%.</w:t>
      </w:r>
    </w:p>
    <w:p>
      <w:pPr>
        <w:spacing w:before="120" w:after="0"/>
        <w:ind w:firstLine="0"/>
        <w:jc w:val="center"/>
      </w:pPr>
      <w:r>
        <w:drawing>
          <wp:inline xmlns:a="http://schemas.openxmlformats.org/drawingml/2006/main" xmlns:pic="http://schemas.openxmlformats.org/drawingml/2006/picture">
            <wp:extent cx="5400000" cy="2121429"/>
            <wp:docPr id="3" name="Picture 3"/>
            <wp:cNvGraphicFramePr>
              <a:graphicFrameLocks noChangeAspect="1"/>
            </wp:cNvGraphicFramePr>
            <a:graphic>
              <a:graphicData uri="http://schemas.openxmlformats.org/drawingml/2006/picture">
                <pic:pic>
                  <pic:nvPicPr>
                    <pic:cNvPr id="0" name="fig3_load_test.png"/>
                    <pic:cNvPicPr/>
                  </pic:nvPicPr>
                  <pic:blipFill>
                    <a:blip r:embed="rId12"/>
                    <a:stretch>
                      <a:fillRect/>
                    </a:stretch>
                  </pic:blipFill>
                  <pic:spPr>
                    <a:xfrm>
                      <a:off x="0" y="0"/>
                      <a:ext cx="5400000" cy="2121429"/>
                    </a:xfrm>
                    <a:prstGeom prst="rect"/>
                  </pic:spPr>
                </pic:pic>
              </a:graphicData>
            </a:graphic>
          </wp:inline>
        </w:drawing>
      </w:r>
    </w:p>
    <w:p>
      <w:pPr>
        <w:spacing w:before="120" w:after="240" w:line="360" w:lineRule="auto"/>
        <w:ind w:firstLine="0"/>
        <w:jc w:val="center"/>
      </w:pPr>
      <w:r>
        <w:rPr>
          <w:rFonts w:ascii="Times New Roman" w:hAnsi="Times New Roman"/>
          <w:color w:val="000000"/>
          <w:sz w:val="28"/>
        </w:rPr>
        <w:t>Рисунок 3 – Результаты нагрузочного тестирования прототипа</w:t>
      </w:r>
    </w:p>
    <w:p>
      <w:bookmarkStart w:id="53" w:name="_bm_section_3_5"/>
      <w:pPr>
        <w:spacing w:before="240" w:after="120" w:line="360" w:lineRule="auto"/>
        <w:ind w:firstLine="709"/>
        <w:jc w:val="both"/>
        <w:outlineLvl w:val="1"/>
      </w:pPr>
      <w:r>
        <w:rPr>
          <w:rFonts w:ascii="Times New Roman" w:hAnsi="Times New Roman"/>
          <w:b/>
          <w:color w:val="000000"/>
          <w:sz w:val="28"/>
        </w:rPr>
        <w:t>3.5 Разработка интерфейса диспетчера для отображения состояния линии</w:t>
      </w:r>
      <w:bookmarkEnd w:id="53"/>
    </w:p>
    <w:p>
      <w:pPr>
        <w:spacing w:before="0" w:after="0" w:line="360" w:lineRule="auto"/>
        <w:ind w:firstLine="709"/>
        <w:jc w:val="both"/>
      </w:pPr>
      <w:r>
        <w:rPr>
          <w:rFonts w:ascii="Times New Roman" w:hAnsi="Times New Roman"/>
          <w:b w:val="0"/>
          <w:i w:val="0"/>
          <w:color w:val="000000"/>
          <w:sz w:val="28"/>
        </w:rPr>
        <w:t>Интерфейс диспетчера (HMI — Human-Machine Interface) является ключевым элементом SCADA-системы, обеспечивающим визуализацию информации и взаимодействие оперативного персонала с системой управления. При проектировании интерфейса прототипа учтены рекомендации стандарта ISA-101 «Human Machine Interfaces for Process Automation Systems» и руководства NUREG-0700 по проектированию диспетчерских интерфейсов для критической инфраструктуры [17].</w:t>
      </w:r>
    </w:p>
    <w:p>
      <w:pPr>
        <w:spacing w:before="0" w:after="0" w:line="360" w:lineRule="auto"/>
        <w:ind w:firstLine="709"/>
        <w:jc w:val="both"/>
      </w:pPr>
      <w:r>
        <w:rPr>
          <w:rFonts w:ascii="Times New Roman" w:hAnsi="Times New Roman"/>
          <w:b w:val="0"/>
          <w:i w:val="0"/>
          <w:color w:val="000000"/>
          <w:sz w:val="28"/>
        </w:rPr>
        <w:t>Интерфейс диспетчера реализован как веб-приложение и включает следующие основные экраны:</w:t>
      </w:r>
    </w:p>
    <w:p>
      <w:pPr>
        <w:spacing w:before="0" w:after="0" w:line="360" w:lineRule="auto"/>
        <w:ind w:firstLine="709"/>
        <w:jc w:val="both"/>
      </w:pPr>
      <w:r>
        <w:rPr>
          <w:rFonts w:ascii="Times New Roman" w:hAnsi="Times New Roman"/>
          <w:b w:val="0"/>
          <w:i w:val="0"/>
          <w:color w:val="000000"/>
          <w:sz w:val="28"/>
        </w:rPr>
        <w:t xml:space="preserve">Обзорная мнемосхема. </w:t>
      </w:r>
      <w:r>
        <w:rPr>
          <w:rFonts w:ascii="Times New Roman" w:hAnsi="Times New Roman"/>
          <w:b w:val="0"/>
          <w:i w:val="0"/>
          <w:color w:val="000000"/>
          <w:sz w:val="28"/>
        </w:rPr>
        <w:t>отображает однолинейную схему автоматизированного участка ВЛ 6–10 кВ с графическим представлением реклоузеров, трансформаторных подстанций и участков линии. Реклоузеры отображаются в виде стандартных условных графических обозначений с цветовой индикацией состояния: зелёный — включён, красный — отключён, жёлтый — нет связи, мигающий красный — аварийное отключение. Рядом с каждым реклоузером отображаются числовые значения тока и напряжения;</w:t>
      </w:r>
    </w:p>
    <w:p>
      <w:pPr>
        <w:spacing w:before="0" w:after="0" w:line="360" w:lineRule="auto"/>
        <w:ind w:firstLine="709"/>
        <w:jc w:val="both"/>
      </w:pPr>
      <w:r>
        <w:rPr>
          <w:rFonts w:ascii="Times New Roman" w:hAnsi="Times New Roman"/>
          <w:b w:val="0"/>
          <w:i w:val="0"/>
          <w:color w:val="000000"/>
          <w:sz w:val="28"/>
        </w:rPr>
        <w:t xml:space="preserve">Панель телеизмерений. </w:t>
      </w:r>
      <w:r>
        <w:rPr>
          <w:rFonts w:ascii="Times New Roman" w:hAnsi="Times New Roman"/>
          <w:b w:val="0"/>
          <w:i w:val="0"/>
          <w:color w:val="000000"/>
          <w:sz w:val="28"/>
        </w:rPr>
        <w:t>табличное представление всех контролируемых параметров с текущими значениями, единицами измерения и индикацией качества данных. Параметры, вышедшие за пределы уставок, выделяются цветом. Для каждого параметра доступен переход к графику изменения во времени (тренд);</w:t>
      </w:r>
    </w:p>
    <w:p>
      <w:pPr>
        <w:spacing w:before="0" w:after="0" w:line="360" w:lineRule="auto"/>
        <w:ind w:firstLine="709"/>
        <w:jc w:val="both"/>
      </w:pPr>
      <w:r>
        <w:rPr>
          <w:rFonts w:ascii="Times New Roman" w:hAnsi="Times New Roman"/>
          <w:b w:val="0"/>
          <w:i w:val="0"/>
          <w:color w:val="000000"/>
          <w:sz w:val="28"/>
        </w:rPr>
        <w:t xml:space="preserve">Журнал событий. </w:t>
      </w:r>
      <w:r>
        <w:rPr>
          <w:rFonts w:ascii="Times New Roman" w:hAnsi="Times New Roman"/>
          <w:b w:val="0"/>
          <w:i w:val="0"/>
          <w:color w:val="000000"/>
          <w:sz w:val="28"/>
        </w:rPr>
        <w:t>хронологический список событий с возможностью фильтрации по типу, устройству и уровню критичности. Новые события добавляются в реальном времени через WebSocket. Аварийные события сопровождаются звуковым сигналом и требуют квитирования оператором;</w:t>
      </w:r>
    </w:p>
    <w:p>
      <w:pPr>
        <w:spacing w:before="0" w:after="0" w:line="360" w:lineRule="auto"/>
        <w:ind w:firstLine="709"/>
        <w:jc w:val="both"/>
      </w:pPr>
      <w:r>
        <w:rPr>
          <w:rFonts w:ascii="Times New Roman" w:hAnsi="Times New Roman"/>
          <w:b w:val="0"/>
          <w:i w:val="0"/>
          <w:color w:val="000000"/>
          <w:sz w:val="28"/>
        </w:rPr>
        <w:t xml:space="preserve">Панель алармов. </w:t>
      </w:r>
      <w:r>
        <w:rPr>
          <w:rFonts w:ascii="Times New Roman" w:hAnsi="Times New Roman"/>
          <w:b w:val="0"/>
          <w:i w:val="0"/>
          <w:color w:val="000000"/>
          <w:sz w:val="28"/>
        </w:rPr>
        <w:t>отображает только активные аварийные состояния, требующие внимания оператора. Алармы отсортированы по уровню критичности и снабжены рекомендациями по устранению;</w:t>
      </w:r>
    </w:p>
    <w:p>
      <w:pPr>
        <w:spacing w:before="0" w:after="0" w:line="360" w:lineRule="auto"/>
        <w:ind w:firstLine="709"/>
        <w:jc w:val="both"/>
      </w:pPr>
      <w:r>
        <w:rPr>
          <w:rFonts w:ascii="Times New Roman" w:hAnsi="Times New Roman"/>
          <w:b w:val="0"/>
          <w:i w:val="0"/>
          <w:color w:val="000000"/>
          <w:sz w:val="28"/>
        </w:rPr>
        <w:t xml:space="preserve">Панель трендов. </w:t>
      </w:r>
      <w:r>
        <w:rPr>
          <w:rFonts w:ascii="Times New Roman" w:hAnsi="Times New Roman"/>
          <w:b w:val="0"/>
          <w:i w:val="0"/>
          <w:color w:val="000000"/>
          <w:sz w:val="28"/>
        </w:rPr>
        <w:t>интерактивные графики изменения параметров во времени с возможностью выбора временного диапазона, масштабирования и наложения нескольких параметров на один график. Для построения графиков используется библиотека Chart.js.</w:t>
      </w:r>
    </w:p>
    <w:p>
      <w:pPr>
        <w:spacing w:before="0" w:after="0" w:line="360" w:lineRule="auto"/>
        <w:ind w:firstLine="709"/>
        <w:jc w:val="both"/>
      </w:pPr>
      <w:r>
        <w:rPr>
          <w:rFonts w:ascii="Times New Roman" w:hAnsi="Times New Roman"/>
          <w:b w:val="0"/>
          <w:i w:val="0"/>
          <w:color w:val="000000"/>
          <w:sz w:val="28"/>
        </w:rPr>
        <w:t>При проектировании цветовой палитры интерфейса использован принцип минимализма: основной фон — тёмно-серый (#2C3E50) для снижения утомляемости глаз при длительной работе, цвета индикации соответствуют стандарту МЭК 60073 «Основные и общие правила кодирования и индикации»: зелёный — нормальное состояние, жёлтый — предупреждение, красный — авария, синий — информационное сообщение [18].</w:t>
      </w:r>
    </w:p>
    <w:p>
      <w:pPr>
        <w:spacing w:before="0" w:after="0" w:line="360" w:lineRule="auto"/>
        <w:ind w:firstLine="709"/>
        <w:jc w:val="both"/>
      </w:pPr>
      <w:r>
        <w:rPr>
          <w:rFonts w:ascii="Times New Roman" w:hAnsi="Times New Roman"/>
          <w:b w:val="0"/>
          <w:i w:val="0"/>
          <w:color w:val="000000"/>
          <w:sz w:val="28"/>
        </w:rPr>
        <w:t>Для передачи данных между сервером и клиентским интерфейсом используется два механизма. REST API (HTTP-запросы) применяется для получения исторических данных, конфигурации устройств и выполнения команд управления. WebSocket используется для передачи обновлений в реальном времени: новых телеизмерений, событий и изменений состояния устройств. Такое сочетание обеспечивает оптимальное распределение нагрузки: REST API обрабатывает относительно редкие запросы больших объёмов данных, а WebSocket обеспечивает мгновенную доставку оперативной информации [19].</w:t>
      </w:r>
    </w:p>
    <w:p>
      <w:pPr>
        <w:spacing w:before="0" w:after="0" w:line="360" w:lineRule="auto"/>
        <w:ind w:firstLine="709"/>
        <w:jc w:val="both"/>
      </w:pPr>
      <w:r>
        <w:rPr>
          <w:rFonts w:ascii="Times New Roman" w:hAnsi="Times New Roman"/>
          <w:b w:val="0"/>
          <w:i w:val="0"/>
          <w:color w:val="000000"/>
          <w:sz w:val="28"/>
        </w:rPr>
        <w:t>Для обеспечения безопасности доступа в прототипе реализованы механизмы аутентификации (проверка логина и пароля) и авторизации (разграничение прав доступа на уровне ролей: оператор, инженер, администратор). Все действия пользователей протоколируются в журнале событий [20].</w:t>
      </w:r>
    </w:p>
    <w:p>
      <w:pPr>
        <w:spacing w:before="0" w:after="0" w:line="360" w:lineRule="auto"/>
        <w:ind w:firstLine="709"/>
        <w:jc w:val="both"/>
      </w:pPr>
      <w:r>
        <w:rPr>
          <w:rFonts w:ascii="Times New Roman" w:hAnsi="Times New Roman"/>
          <w:b w:val="0"/>
          <w:i w:val="0"/>
          <w:color w:val="000000"/>
          <w:sz w:val="28"/>
        </w:rPr>
        <w:t>Таким образом, разработанный прототип SCADA-системы реализует полный цикл обработки телеметрических данных: от приёма по протоколу МЭК 60870-5-104 до визуализации в веб-интерфейсе диспетчера. Модульная архитектура прототипа позволяет расширять функциональность без существенной переработки базовых компонентов.</w:t>
      </w:r>
    </w:p>
    <w:p>
      <w:pPr>
        <w:spacing w:before="0" w:after="0" w:line="360" w:lineRule="auto"/>
        <w:ind w:firstLine="709"/>
        <w:jc w:val="both"/>
      </w:pPr>
      <w:r>
        <w:rPr>
          <w:rFonts w:ascii="Times New Roman" w:hAnsi="Times New Roman"/>
          <w:b w:val="0"/>
          <w:i w:val="0"/>
          <w:color w:val="000000"/>
          <w:sz w:val="28"/>
        </w:rPr>
        <w:t>Отдельного рассмотрения заслуживает процесс выполнения дистанционного управления реклоузером через интерфейс диспетчера. Команда телеуправления является критически важной операцией, требующей повышенных мер безопасности для предотвращения ошибочных и несанкционированных действий.</w:t>
      </w:r>
    </w:p>
    <w:p>
      <w:pPr>
        <w:spacing w:before="0" w:after="0" w:line="360" w:lineRule="auto"/>
        <w:ind w:firstLine="709"/>
        <w:jc w:val="both"/>
      </w:pPr>
      <w:r>
        <w:rPr>
          <w:rFonts w:ascii="Times New Roman" w:hAnsi="Times New Roman"/>
          <w:b w:val="0"/>
          <w:i w:val="0"/>
          <w:color w:val="000000"/>
          <w:sz w:val="28"/>
        </w:rPr>
        <w:t>Процесс телеуправления реализован по схеме «Select-Before-Operate» (SBO), предусмотренной стандартом МЭК 60870-5-104. Последовательность действий следующая. Диспетчер выбирает на мнемосхеме реклоузер, которым необходимо управлять, и нажимает кнопку «Управление». Система отображает диалоговое окно с текущим состоянием реклоузера и доступными командами (включить/отключить). После выбора команды система отправляет команду типа «Select» (C_SC_NA_1 с флагом SE=1) на контроллер реклоузера и ожидает подтверждения готовности. При получении положительного подтверждения (Activation Confirmation) диспетчеру предлагается подтвердить выполнение команды. После подтверждения отправляется команда «Execute» (C_SC_NA_1 с флагом SE=0), и система ожидает подтверждения выполнения (Activation Termination). Все этапы процесса протоколируются в журнале событий с указанием имени оператора, времени и результата.</w:t>
      </w:r>
    </w:p>
    <w:p>
      <w:pPr>
        <w:spacing w:before="0" w:after="0" w:line="360" w:lineRule="auto"/>
        <w:ind w:firstLine="709"/>
        <w:jc w:val="both"/>
      </w:pPr>
      <w:r>
        <w:rPr>
          <w:rFonts w:ascii="Times New Roman" w:hAnsi="Times New Roman"/>
          <w:b w:val="0"/>
          <w:i w:val="0"/>
          <w:color w:val="000000"/>
          <w:sz w:val="28"/>
        </w:rPr>
        <w:t>Для предотвращения ошибочных действий в интерфейсе реализованы следующие защитные механизмы: подтверждение команды двойным нажатием; отображение предупреждения при попытке управления устройством с истёкшей сессией связи; блокировка одновременного управления несколькими реклоузерами одним оператором; автоматическая отмена команды при отсутствии подтверждения от контроллера в течение 30 секунд (таймаут t1 протокола IEC 104).</w:t>
      </w:r>
    </w:p>
    <w:p>
      <w:pPr>
        <w:spacing w:before="0" w:after="0" w:line="360" w:lineRule="auto"/>
        <w:ind w:firstLine="709"/>
        <w:jc w:val="both"/>
      </w:pPr>
      <w:r>
        <w:rPr>
          <w:rFonts w:ascii="Times New Roman" w:hAnsi="Times New Roman"/>
          <w:b w:val="0"/>
          <w:i w:val="0"/>
          <w:color w:val="000000"/>
          <w:sz w:val="28"/>
        </w:rPr>
        <w:t>Проектирование интерфейса диспетчера выполнено с учётом рекомендаций стандарта ISA-101.01-2015, определяющего принципы построения человеко-машинных интерфейсов для систем автоматизации технологических процессов. Согласно данному стандарту, экран мнемосхемы должен содержать не более 6–8 основных информационных зон, а цветовое кодирование должно быть единообразным и интуитивно понятным. В разработанном прототипе использована следующая цветовая схема: зелёный — нормальное состояние оборудования, красный — аварийное состояние, жёлтый — предупреждение, серый — оборудование выведено из работы или отсутствует связь.</w:t>
      </w:r>
    </w:p>
    <w:p>
      <w:pPr>
        <w:spacing w:before="0" w:after="0" w:line="360" w:lineRule="auto"/>
        <w:ind w:firstLine="709"/>
        <w:jc w:val="both"/>
      </w:pPr>
      <w:r>
        <w:rPr>
          <w:rFonts w:ascii="Times New Roman" w:hAnsi="Times New Roman"/>
          <w:b w:val="0"/>
          <w:i w:val="0"/>
          <w:color w:val="000000"/>
          <w:sz w:val="28"/>
        </w:rPr>
        <w:t>Панель трендов реализована с использованием библиотеки Chart.js и обеспечивает одновременное отображение до 8 параметров на одном графике с автоматическим масштабированием осей. Диспетчер имеет возможность выбрать период отображения (от 1 часа до 30 суток), выбрать отображаемые параметры из списка и экспортировать данные в формате CSV для дальнейшего анализа. Обновление данных на графике выполняется в реальном времени через WebSocket-соединение с интервалом 5 секунд. При потере WebSocket-соединения интерфейс автоматически переключается на HTTP-опрос с интервалом 10 секунд и отображает индикатор нестабильного соединения.</w:t>
      </w:r>
    </w:p>
    <w:p>
      <w:pPr>
        <w:spacing w:before="0" w:after="0" w:line="360" w:lineRule="auto"/>
        <w:ind w:firstLine="709"/>
        <w:jc w:val="both"/>
      </w:pPr>
      <w:r>
        <w:rPr>
          <w:rFonts w:ascii="Times New Roman" w:hAnsi="Times New Roman"/>
          <w:b w:val="0"/>
          <w:i w:val="0"/>
          <w:color w:val="000000"/>
          <w:sz w:val="28"/>
        </w:rPr>
        <w:t>Панель алармов реализована в виде таблицы с сортировкой по приоритету и времени возникновения. Критические алармы выделяются красным фоном и сопровождаются звуковым оповещением, которое прекращается после подтверждения оператором. Для каждого аларма доступна информация о причине, рекомендуемых действиях и история аналогичных событий. Реализован механизм фильтрации алармов по устройству, типу и временному периоду, а также возможность экспорта журнала алармов в формат PDF для формирования отчётов. Общее количество одновременно отображаемых алармов ограничено значением 100, более ранние записи доступны через постраничную навигацию.</w:t>
      </w:r>
    </w:p>
    <w:p>
      <w:bookmarkStart w:id="54" w:name="_bm_glava_4"/>
      <w:pPr>
        <w:pageBreakBefore/>
        <w:spacing w:before="0" w:after="240" w:line="360" w:lineRule="auto"/>
        <w:ind w:firstLine="709"/>
        <w:jc w:val="both"/>
        <w:outlineLvl w:val="0"/>
      </w:pPr>
      <w:r>
        <w:rPr>
          <w:rFonts w:ascii="Times New Roman" w:hAnsi="Times New Roman"/>
          <w:b/>
          <w:color w:val="000000"/>
          <w:sz w:val="28"/>
        </w:rPr>
        <w:t>Глава 4. Оценка эффективности и перспектив внедрения системы мониторинга</w:t>
      </w:r>
      <w:bookmarkEnd w:id="54"/>
    </w:p>
    <w:p>
      <w:bookmarkStart w:id="55" w:name="_bm_section_4_1"/>
      <w:pPr>
        <w:spacing w:before="240" w:after="120" w:line="360" w:lineRule="auto"/>
        <w:ind w:firstLine="709"/>
        <w:jc w:val="both"/>
        <w:outlineLvl w:val="1"/>
      </w:pPr>
      <w:r>
        <w:rPr>
          <w:rFonts w:ascii="Times New Roman" w:hAnsi="Times New Roman"/>
          <w:b/>
          <w:color w:val="000000"/>
          <w:sz w:val="28"/>
        </w:rPr>
        <w:t>4.1 Анализ работы прототипа системы мониторинга в различных режимах эксплуатации</w:t>
      </w:r>
      <w:bookmarkEnd w:id="55"/>
    </w:p>
    <w:p>
      <w:pPr>
        <w:spacing w:before="0" w:after="0" w:line="360" w:lineRule="auto"/>
        <w:ind w:firstLine="709"/>
        <w:jc w:val="both"/>
      </w:pPr>
      <w:r>
        <w:rPr>
          <w:rFonts w:ascii="Times New Roman" w:hAnsi="Times New Roman"/>
          <w:b w:val="0"/>
          <w:i w:val="0"/>
          <w:color w:val="000000"/>
          <w:sz w:val="28"/>
        </w:rPr>
        <w:t>Для верификации работоспособности разработанного прототипа SCADA-системы проведено тестирование в трёх основных режимах эксплуатации: нормальном, аварийном и при потере канала связи. Тестирование выполнено с использованием программного имитатора контроллера реклоузера, моделирующего передачу телеметрических данных по протоколу МЭК 60870-5-104 [1].</w:t>
      </w:r>
    </w:p>
    <w:p>
      <w:pPr>
        <w:spacing w:before="0" w:after="0" w:line="360" w:lineRule="auto"/>
        <w:ind w:firstLine="709"/>
        <w:jc w:val="both"/>
      </w:pPr>
      <w:r>
        <w:rPr>
          <w:rFonts w:ascii="Times New Roman" w:hAnsi="Times New Roman"/>
          <w:b w:val="0"/>
          <w:i w:val="0"/>
          <w:color w:val="000000"/>
          <w:sz w:val="28"/>
        </w:rPr>
        <w:t>В нормальном режиме эксплуатации имитатор генерировал периодические телеизмерения (напряжение, ток, мощность, частота) с интервалом 2 секунды и случайными вариациями значений в пределах нормального рабочего диапазона. Тестирование в нормальном режиме проводилось непрерывно в течение 72 часов. Результаты тестирования представлены в таблице 5.</w:t>
      </w:r>
    </w:p>
    <w:p>
      <w:pPr>
        <w:spacing w:before="240" w:after="120" w:line="360" w:lineRule="auto"/>
        <w:ind w:firstLine="0"/>
        <w:jc w:val="left"/>
      </w:pPr>
      <w:r>
        <w:rPr>
          <w:rFonts w:ascii="Times New Roman" w:hAnsi="Times New Roman"/>
          <w:color w:val="000000"/>
          <w:sz w:val="28"/>
        </w:rPr>
        <w:t>Таблица 7 – Результаты тестирования в нормальном режиме</w:t>
      </w:r>
    </w:p>
    <w:tbl>
      <w:tblPr>
        <w:tblStyle w:val="TableGrid"/>
        <w:tblW w:type="auto" w:w="0"/>
        <w:tblLook w:firstColumn="1" w:firstRow="1" w:lastColumn="0" w:lastRow="0" w:noHBand="0" w:noVBand="1" w:val="04A0"/>
        <w:tblW w:type="pct" w:w="5000"/>
      </w:tblPr>
      <w:tblGrid>
        <w:gridCol w:w="2339"/>
        <w:gridCol w:w="2339"/>
        <w:gridCol w:w="2339"/>
        <w:gridCol w:w="2339"/>
      </w:tblGrid>
      <w:tr>
        <w:tc>
          <w:tcPr>
            <w:tcW w:type="dxa" w:w="2339"/>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Показатель</w:t>
            </w:r>
          </w:p>
        </w:tc>
        <w:tc>
          <w:tcPr>
            <w:tcW w:type="dxa" w:w="2339"/>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Требуемое значение</w:t>
            </w:r>
          </w:p>
        </w:tc>
        <w:tc>
          <w:tcPr>
            <w:tcW w:type="dxa" w:w="2339"/>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Фактическое значение</w:t>
            </w:r>
          </w:p>
        </w:tc>
        <w:tc>
          <w:tcPr>
            <w:tcW w:type="dxa" w:w="2339"/>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Результат</w:t>
            </w:r>
          </w:p>
        </w:tc>
      </w:tr>
      <w:tr>
        <w:tc>
          <w:tcPr>
            <w:tcW w:type="dxa" w:w="2339"/>
            <w:vAlign w:val="center"/>
            <w:tcMar>
              <w:top w:w="28" w:type="dxa"/>
              <w:bottom w:w="28" w:type="dxa"/>
              <w:left w:w="57" w:type="dxa"/>
              <w:right w:w="57" w:type="dxa"/>
            </w:tcMar>
          </w:tcPr>
          <w:p>
            <w:pPr>
              <w:spacing w:before="0" w:after="0" w:line="240" w:lineRule="auto"/>
              <w:ind w:firstLine="0"/>
              <w:jc w:val="left"/>
            </w:pPr>
            <w:r/>
            <w:r>
              <w:rPr>
                <w:rFonts w:ascii="Times New Roman" w:hAnsi="Times New Roman"/>
                <w:b w:val="0"/>
                <w:color w:val="000000"/>
                <w:sz w:val="28"/>
              </w:rPr>
              <w:t>Время приёма телеизмерения</w:t>
            </w:r>
          </w:p>
        </w:tc>
        <w:tc>
          <w:tcPr>
            <w:tcW w:type="dxa" w:w="2339"/>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 2 с</w:t>
            </w:r>
          </w:p>
        </w:tc>
        <w:tc>
          <w:tcPr>
            <w:tcW w:type="dxa" w:w="2339"/>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1,2–1,8 с</w:t>
            </w:r>
          </w:p>
        </w:tc>
        <w:tc>
          <w:tcPr>
            <w:tcW w:type="dxa" w:w="2339"/>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Соответствует</w:t>
            </w:r>
          </w:p>
        </w:tc>
      </w:tr>
      <w:tr>
        <w:tc>
          <w:tcPr>
            <w:tcW w:type="dxa" w:w="2339"/>
            <w:vAlign w:val="center"/>
            <w:tcMar>
              <w:top w:w="28" w:type="dxa"/>
              <w:bottom w:w="28" w:type="dxa"/>
              <w:left w:w="57" w:type="dxa"/>
              <w:right w:w="57" w:type="dxa"/>
            </w:tcMar>
          </w:tcPr>
          <w:p>
            <w:pPr>
              <w:spacing w:before="0" w:after="0" w:line="240" w:lineRule="auto"/>
              <w:ind w:firstLine="0"/>
              <w:jc w:val="left"/>
            </w:pPr>
            <w:r/>
            <w:r>
              <w:rPr>
                <w:rFonts w:ascii="Times New Roman" w:hAnsi="Times New Roman"/>
                <w:b w:val="0"/>
                <w:color w:val="000000"/>
                <w:sz w:val="28"/>
              </w:rPr>
              <w:t>Время обработки и записи в БД</w:t>
            </w:r>
          </w:p>
        </w:tc>
        <w:tc>
          <w:tcPr>
            <w:tcW w:type="dxa" w:w="2339"/>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 100 мс</w:t>
            </w:r>
          </w:p>
        </w:tc>
        <w:tc>
          <w:tcPr>
            <w:tcW w:type="dxa" w:w="2339"/>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15–40 мс</w:t>
            </w:r>
          </w:p>
        </w:tc>
        <w:tc>
          <w:tcPr>
            <w:tcW w:type="dxa" w:w="2339"/>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Соответствует</w:t>
            </w:r>
          </w:p>
        </w:tc>
      </w:tr>
      <w:tr>
        <w:tc>
          <w:tcPr>
            <w:tcW w:type="dxa" w:w="2339"/>
            <w:vAlign w:val="center"/>
            <w:tcMar>
              <w:top w:w="28" w:type="dxa"/>
              <w:bottom w:w="28" w:type="dxa"/>
              <w:left w:w="57" w:type="dxa"/>
              <w:right w:w="57" w:type="dxa"/>
            </w:tcMar>
          </w:tcPr>
          <w:p>
            <w:pPr>
              <w:spacing w:before="0" w:after="0" w:line="240" w:lineRule="auto"/>
              <w:ind w:firstLine="0"/>
              <w:jc w:val="left"/>
            </w:pPr>
            <w:r/>
            <w:r>
              <w:rPr>
                <w:rFonts w:ascii="Times New Roman" w:hAnsi="Times New Roman"/>
                <w:b w:val="0"/>
                <w:color w:val="000000"/>
                <w:sz w:val="28"/>
              </w:rPr>
              <w:t>Время отображения в интерфейсе</w:t>
            </w:r>
          </w:p>
        </w:tc>
        <w:tc>
          <w:tcPr>
            <w:tcW w:type="dxa" w:w="2339"/>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 500 мс</w:t>
            </w:r>
          </w:p>
        </w:tc>
        <w:tc>
          <w:tcPr>
            <w:tcW w:type="dxa" w:w="2339"/>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120–300 мс</w:t>
            </w:r>
          </w:p>
        </w:tc>
        <w:tc>
          <w:tcPr>
            <w:tcW w:type="dxa" w:w="2339"/>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Соответствует</w:t>
            </w:r>
          </w:p>
        </w:tc>
      </w:tr>
      <w:tr>
        <w:tc>
          <w:tcPr>
            <w:tcW w:type="dxa" w:w="2339"/>
            <w:vAlign w:val="center"/>
            <w:tcMar>
              <w:top w:w="28" w:type="dxa"/>
              <w:bottom w:w="28" w:type="dxa"/>
              <w:left w:w="57" w:type="dxa"/>
              <w:right w:w="57" w:type="dxa"/>
            </w:tcMar>
          </w:tcPr>
          <w:p>
            <w:pPr>
              <w:spacing w:before="0" w:after="0" w:line="240" w:lineRule="auto"/>
              <w:ind w:firstLine="0"/>
              <w:jc w:val="left"/>
            </w:pPr>
            <w:r/>
            <w:r>
              <w:rPr>
                <w:rFonts w:ascii="Times New Roman" w:hAnsi="Times New Roman"/>
                <w:b w:val="0"/>
                <w:color w:val="000000"/>
                <w:sz w:val="28"/>
              </w:rPr>
              <w:t>Потеря данных за 72 ч</w:t>
            </w:r>
          </w:p>
        </w:tc>
        <w:tc>
          <w:tcPr>
            <w:tcW w:type="dxa" w:w="2339"/>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0%</w:t>
            </w:r>
          </w:p>
        </w:tc>
        <w:tc>
          <w:tcPr>
            <w:tcW w:type="dxa" w:w="2339"/>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0%</w:t>
            </w:r>
          </w:p>
        </w:tc>
        <w:tc>
          <w:tcPr>
            <w:tcW w:type="dxa" w:w="2339"/>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Соответствует</w:t>
            </w:r>
          </w:p>
        </w:tc>
      </w:tr>
      <w:tr>
        <w:tc>
          <w:tcPr>
            <w:tcW w:type="dxa" w:w="2339"/>
            <w:vAlign w:val="center"/>
            <w:tcMar>
              <w:top w:w="28" w:type="dxa"/>
              <w:bottom w:w="28" w:type="dxa"/>
              <w:left w:w="57" w:type="dxa"/>
              <w:right w:w="57" w:type="dxa"/>
            </w:tcMar>
          </w:tcPr>
          <w:p>
            <w:pPr>
              <w:spacing w:before="0" w:after="0" w:line="240" w:lineRule="auto"/>
              <w:ind w:firstLine="0"/>
              <w:jc w:val="left"/>
            </w:pPr>
            <w:r/>
            <w:r>
              <w:rPr>
                <w:rFonts w:ascii="Times New Roman" w:hAnsi="Times New Roman"/>
                <w:b w:val="0"/>
                <w:color w:val="000000"/>
                <w:sz w:val="28"/>
              </w:rPr>
              <w:t>Загрузка CPU сервера</w:t>
            </w:r>
          </w:p>
        </w:tc>
        <w:tc>
          <w:tcPr>
            <w:tcW w:type="dxa" w:w="2339"/>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 30%</w:t>
            </w:r>
          </w:p>
        </w:tc>
        <w:tc>
          <w:tcPr>
            <w:tcW w:type="dxa" w:w="2339"/>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8–12%</w:t>
            </w:r>
          </w:p>
        </w:tc>
        <w:tc>
          <w:tcPr>
            <w:tcW w:type="dxa" w:w="2339"/>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Соответствует</w:t>
            </w:r>
          </w:p>
        </w:tc>
      </w:tr>
      <w:tr>
        <w:tc>
          <w:tcPr>
            <w:tcW w:type="dxa" w:w="2339"/>
            <w:vAlign w:val="center"/>
            <w:tcMar>
              <w:top w:w="28" w:type="dxa"/>
              <w:bottom w:w="28" w:type="dxa"/>
              <w:left w:w="57" w:type="dxa"/>
              <w:right w:w="57" w:type="dxa"/>
            </w:tcMar>
          </w:tcPr>
          <w:p>
            <w:pPr>
              <w:spacing w:before="0" w:after="0" w:line="240" w:lineRule="auto"/>
              <w:ind w:firstLine="0"/>
              <w:jc w:val="left"/>
            </w:pPr>
            <w:r/>
            <w:r>
              <w:rPr>
                <w:rFonts w:ascii="Times New Roman" w:hAnsi="Times New Roman"/>
                <w:b w:val="0"/>
                <w:color w:val="000000"/>
                <w:sz w:val="28"/>
              </w:rPr>
              <w:t>Потребление RAM сервера</w:t>
            </w:r>
          </w:p>
        </w:tc>
        <w:tc>
          <w:tcPr>
            <w:tcW w:type="dxa" w:w="2339"/>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 2 ГБ</w:t>
            </w:r>
          </w:p>
        </w:tc>
        <w:tc>
          <w:tcPr>
            <w:tcW w:type="dxa" w:w="2339"/>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350–450 МБ</w:t>
            </w:r>
          </w:p>
        </w:tc>
        <w:tc>
          <w:tcPr>
            <w:tcW w:type="dxa" w:w="2339"/>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Соответствует</w:t>
            </w:r>
          </w:p>
        </w:tc>
      </w:tr>
      <w:tr>
        <w:tc>
          <w:tcPr>
            <w:tcW w:type="dxa" w:w="2339"/>
            <w:vAlign w:val="center"/>
            <w:tcMar>
              <w:top w:w="28" w:type="dxa"/>
              <w:bottom w:w="28" w:type="dxa"/>
              <w:left w:w="57" w:type="dxa"/>
              <w:right w:w="57" w:type="dxa"/>
            </w:tcMar>
          </w:tcPr>
          <w:p>
            <w:pPr>
              <w:spacing w:before="0" w:after="0" w:line="240" w:lineRule="auto"/>
              <w:ind w:firstLine="0"/>
              <w:jc w:val="left"/>
            </w:pPr>
            <w:r/>
            <w:r>
              <w:rPr>
                <w:rFonts w:ascii="Times New Roman" w:hAnsi="Times New Roman"/>
                <w:b w:val="0"/>
                <w:color w:val="000000"/>
                <w:sz w:val="28"/>
              </w:rPr>
              <w:t>Объём БД за 72 ч (3 устройства)</w:t>
            </w:r>
          </w:p>
        </w:tc>
        <w:tc>
          <w:tcPr>
            <w:tcW w:type="dxa" w:w="2339"/>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w:t>
            </w:r>
          </w:p>
        </w:tc>
        <w:tc>
          <w:tcPr>
            <w:tcW w:type="dxa" w:w="2339"/>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185 МБ</w:t>
            </w:r>
          </w:p>
        </w:tc>
        <w:tc>
          <w:tcPr>
            <w:tcW w:type="dxa" w:w="2339"/>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w:t>
            </w:r>
          </w:p>
        </w:tc>
      </w:tr>
    </w:tbl>
    <w:p>
      <w:pPr>
        <w:spacing w:before="0" w:after="0" w:line="360" w:lineRule="auto"/>
        <w:ind w:firstLine="709"/>
        <w:jc w:val="both"/>
      </w:pPr>
      <w:r>
        <w:rPr>
          <w:rFonts w:ascii="Times New Roman" w:hAnsi="Times New Roman"/>
          <w:b w:val="0"/>
          <w:i w:val="0"/>
          <w:color w:val="000000"/>
          <w:sz w:val="28"/>
        </w:rPr>
        <w:t>В аварийном режиме имитатор моделировал следующие сценарии: короткое замыкание на линии (резкое возрастание тока до 3–5 кратных значений с последующим срабатыванием защиты), перенапряжение (увеличение напряжения выше 110% номинального), обрыв фазы (падение тока одной фазы до нуля). Для каждого сценария фиксировались: время обнаружения аварии системой, корректность классификации события и время доставки уведомления на рабочую станцию диспетчера [2].</w:t>
      </w:r>
    </w:p>
    <w:p>
      <w:pPr>
        <w:spacing w:before="0" w:after="0" w:line="360" w:lineRule="auto"/>
        <w:ind w:firstLine="709"/>
        <w:jc w:val="both"/>
      </w:pPr>
      <w:r>
        <w:rPr>
          <w:rFonts w:ascii="Times New Roman" w:hAnsi="Times New Roman"/>
          <w:b w:val="0"/>
          <w:i w:val="0"/>
          <w:color w:val="000000"/>
          <w:sz w:val="28"/>
        </w:rPr>
        <w:t>Результаты тестирования в аварийном режиме представлены в таблице 6.</w:t>
      </w:r>
    </w:p>
    <w:p>
      <w:pPr>
        <w:spacing w:before="240" w:after="120" w:line="360" w:lineRule="auto"/>
        <w:ind w:firstLine="0"/>
        <w:jc w:val="left"/>
      </w:pPr>
      <w:r>
        <w:rPr>
          <w:rFonts w:ascii="Times New Roman" w:hAnsi="Times New Roman"/>
          <w:color w:val="000000"/>
          <w:sz w:val="28"/>
        </w:rPr>
        <w:t>Таблица 8 – Результаты тестирования в аварийном режиме</w:t>
      </w:r>
    </w:p>
    <w:tbl>
      <w:tblPr>
        <w:tblStyle w:val="TableGrid"/>
        <w:tblW w:type="auto" w:w="0"/>
        <w:tblLook w:firstColumn="1" w:firstRow="1" w:lastColumn="0" w:lastRow="0" w:noHBand="0" w:noVBand="1" w:val="04A0"/>
        <w:tblW w:type="pct" w:w="5000"/>
      </w:tblPr>
      <w:tblGrid>
        <w:gridCol w:w="2339"/>
        <w:gridCol w:w="2339"/>
        <w:gridCol w:w="2339"/>
        <w:gridCol w:w="2339"/>
      </w:tblGrid>
      <w:tr>
        <w:tc>
          <w:tcPr>
            <w:tcW w:type="dxa" w:w="2339"/>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Сценарий</w:t>
            </w:r>
          </w:p>
        </w:tc>
        <w:tc>
          <w:tcPr>
            <w:tcW w:type="dxa" w:w="2339"/>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Время обнаружения, мс</w:t>
            </w:r>
          </w:p>
        </w:tc>
        <w:tc>
          <w:tcPr>
            <w:tcW w:type="dxa" w:w="2339"/>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Корректность классификации</w:t>
            </w:r>
          </w:p>
        </w:tc>
        <w:tc>
          <w:tcPr>
            <w:tcW w:type="dxa" w:w="2339"/>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Время уведомления, мс</w:t>
            </w:r>
          </w:p>
        </w:tc>
      </w:tr>
      <w:tr>
        <w:tc>
          <w:tcPr>
            <w:tcW w:type="dxa" w:w="2339"/>
            <w:vAlign w:val="center"/>
            <w:tcMar>
              <w:top w:w="28" w:type="dxa"/>
              <w:bottom w:w="28" w:type="dxa"/>
              <w:left w:w="57" w:type="dxa"/>
              <w:right w:w="57" w:type="dxa"/>
            </w:tcMar>
          </w:tcPr>
          <w:p>
            <w:pPr>
              <w:spacing w:before="0" w:after="0" w:line="240" w:lineRule="auto"/>
              <w:ind w:firstLine="0"/>
              <w:jc w:val="left"/>
            </w:pPr>
            <w:r/>
            <w:r>
              <w:rPr>
                <w:rFonts w:ascii="Times New Roman" w:hAnsi="Times New Roman"/>
                <w:b w:val="0"/>
                <w:color w:val="000000"/>
                <w:sz w:val="28"/>
              </w:rPr>
              <w:t>Короткое замыкание</w:t>
            </w:r>
          </w:p>
        </w:tc>
        <w:tc>
          <w:tcPr>
            <w:tcW w:type="dxa" w:w="2339"/>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120–180</w:t>
            </w:r>
          </w:p>
        </w:tc>
        <w:tc>
          <w:tcPr>
            <w:tcW w:type="dxa" w:w="2339"/>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100%</w:t>
            </w:r>
          </w:p>
        </w:tc>
        <w:tc>
          <w:tcPr>
            <w:tcW w:type="dxa" w:w="2339"/>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250–400</w:t>
            </w:r>
          </w:p>
        </w:tc>
      </w:tr>
      <w:tr>
        <w:tc>
          <w:tcPr>
            <w:tcW w:type="dxa" w:w="2339"/>
            <w:vAlign w:val="center"/>
            <w:tcMar>
              <w:top w:w="28" w:type="dxa"/>
              <w:bottom w:w="28" w:type="dxa"/>
              <w:left w:w="57" w:type="dxa"/>
              <w:right w:w="57" w:type="dxa"/>
            </w:tcMar>
          </w:tcPr>
          <w:p>
            <w:pPr>
              <w:spacing w:before="0" w:after="0" w:line="240" w:lineRule="auto"/>
              <w:ind w:firstLine="0"/>
              <w:jc w:val="left"/>
            </w:pPr>
            <w:r/>
            <w:r>
              <w:rPr>
                <w:rFonts w:ascii="Times New Roman" w:hAnsi="Times New Roman"/>
                <w:b w:val="0"/>
                <w:color w:val="000000"/>
                <w:sz w:val="28"/>
              </w:rPr>
              <w:t>Перенапряжение</w:t>
            </w:r>
          </w:p>
        </w:tc>
        <w:tc>
          <w:tcPr>
            <w:tcW w:type="dxa" w:w="2339"/>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85–130</w:t>
            </w:r>
          </w:p>
        </w:tc>
        <w:tc>
          <w:tcPr>
            <w:tcW w:type="dxa" w:w="2339"/>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100%</w:t>
            </w:r>
          </w:p>
        </w:tc>
        <w:tc>
          <w:tcPr>
            <w:tcW w:type="dxa" w:w="2339"/>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200–350</w:t>
            </w:r>
          </w:p>
        </w:tc>
      </w:tr>
      <w:tr>
        <w:tc>
          <w:tcPr>
            <w:tcW w:type="dxa" w:w="2339"/>
            <w:vAlign w:val="center"/>
            <w:tcMar>
              <w:top w:w="28" w:type="dxa"/>
              <w:bottom w:w="28" w:type="dxa"/>
              <w:left w:w="57" w:type="dxa"/>
              <w:right w:w="57" w:type="dxa"/>
            </w:tcMar>
          </w:tcPr>
          <w:p>
            <w:pPr>
              <w:spacing w:before="0" w:after="0" w:line="240" w:lineRule="auto"/>
              <w:ind w:firstLine="0"/>
              <w:jc w:val="left"/>
            </w:pPr>
            <w:r/>
            <w:r>
              <w:rPr>
                <w:rFonts w:ascii="Times New Roman" w:hAnsi="Times New Roman"/>
                <w:b w:val="0"/>
                <w:color w:val="000000"/>
                <w:sz w:val="28"/>
              </w:rPr>
              <w:t>Обрыв фазы</w:t>
            </w:r>
          </w:p>
        </w:tc>
        <w:tc>
          <w:tcPr>
            <w:tcW w:type="dxa" w:w="2339"/>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150–220</w:t>
            </w:r>
          </w:p>
        </w:tc>
        <w:tc>
          <w:tcPr>
            <w:tcW w:type="dxa" w:w="2339"/>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100%</w:t>
            </w:r>
          </w:p>
        </w:tc>
        <w:tc>
          <w:tcPr>
            <w:tcW w:type="dxa" w:w="2339"/>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300–450</w:t>
            </w:r>
          </w:p>
        </w:tc>
      </w:tr>
      <w:tr>
        <w:tc>
          <w:tcPr>
            <w:tcW w:type="dxa" w:w="2339"/>
            <w:vAlign w:val="center"/>
            <w:tcMar>
              <w:top w:w="28" w:type="dxa"/>
              <w:bottom w:w="28" w:type="dxa"/>
              <w:left w:w="57" w:type="dxa"/>
              <w:right w:w="57" w:type="dxa"/>
            </w:tcMar>
          </w:tcPr>
          <w:p>
            <w:pPr>
              <w:spacing w:before="0" w:after="0" w:line="240" w:lineRule="auto"/>
              <w:ind w:firstLine="0"/>
              <w:jc w:val="left"/>
            </w:pPr>
            <w:r/>
            <w:r>
              <w:rPr>
                <w:rFonts w:ascii="Times New Roman" w:hAnsi="Times New Roman"/>
                <w:b w:val="0"/>
                <w:color w:val="000000"/>
                <w:sz w:val="28"/>
              </w:rPr>
              <w:t>Замыкание на землю</w:t>
            </w:r>
          </w:p>
        </w:tc>
        <w:tc>
          <w:tcPr>
            <w:tcW w:type="dxa" w:w="2339"/>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130–190</w:t>
            </w:r>
          </w:p>
        </w:tc>
        <w:tc>
          <w:tcPr>
            <w:tcW w:type="dxa" w:w="2339"/>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100%</w:t>
            </w:r>
          </w:p>
        </w:tc>
        <w:tc>
          <w:tcPr>
            <w:tcW w:type="dxa" w:w="2339"/>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280–420</w:t>
            </w:r>
          </w:p>
        </w:tc>
      </w:tr>
      <w:tr>
        <w:tc>
          <w:tcPr>
            <w:tcW w:type="dxa" w:w="2339"/>
            <w:vAlign w:val="center"/>
            <w:tcMar>
              <w:top w:w="28" w:type="dxa"/>
              <w:bottom w:w="28" w:type="dxa"/>
              <w:left w:w="57" w:type="dxa"/>
              <w:right w:w="57" w:type="dxa"/>
            </w:tcMar>
          </w:tcPr>
          <w:p>
            <w:pPr>
              <w:spacing w:before="0" w:after="0" w:line="240" w:lineRule="auto"/>
              <w:ind w:firstLine="0"/>
              <w:jc w:val="left"/>
            </w:pPr>
            <w:r/>
            <w:r>
              <w:rPr>
                <w:rFonts w:ascii="Times New Roman" w:hAnsi="Times New Roman"/>
                <w:b w:val="0"/>
                <w:color w:val="000000"/>
                <w:sz w:val="28"/>
              </w:rPr>
              <w:t>Потеря питания ТП</w:t>
            </w:r>
          </w:p>
        </w:tc>
        <w:tc>
          <w:tcPr>
            <w:tcW w:type="dxa" w:w="2339"/>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2000–3000</w:t>
            </w:r>
          </w:p>
        </w:tc>
        <w:tc>
          <w:tcPr>
            <w:tcW w:type="dxa" w:w="2339"/>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95%</w:t>
            </w:r>
          </w:p>
        </w:tc>
        <w:tc>
          <w:tcPr>
            <w:tcW w:type="dxa" w:w="2339"/>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2500–3500</w:t>
            </w:r>
          </w:p>
        </w:tc>
      </w:tr>
    </w:tbl>
    <w:p>
      <w:pPr>
        <w:spacing w:before="0" w:after="0" w:line="360" w:lineRule="auto"/>
        <w:ind w:firstLine="709"/>
        <w:jc w:val="both"/>
      </w:pPr>
      <w:r>
        <w:rPr>
          <w:rFonts w:ascii="Times New Roman" w:hAnsi="Times New Roman"/>
          <w:b w:val="0"/>
          <w:i w:val="0"/>
          <w:color w:val="000000"/>
          <w:sz w:val="28"/>
        </w:rPr>
        <w:t>Тестирование при потере канала связи проводилось путём программного разрыва TCP-соединения между имитатором и сервером SCADA. Фиксировались: время обнаружения потери связи, поведение системы в период отсутствия связи и корректность восстановления данных после возобновления соединения [3].</w:t>
      </w:r>
    </w:p>
    <w:p>
      <w:pPr>
        <w:spacing w:before="0" w:after="0" w:line="360" w:lineRule="auto"/>
        <w:ind w:firstLine="709"/>
        <w:jc w:val="both"/>
      </w:pPr>
      <w:r>
        <w:rPr>
          <w:rFonts w:ascii="Times New Roman" w:hAnsi="Times New Roman"/>
          <w:b w:val="0"/>
          <w:i w:val="0"/>
          <w:color w:val="000000"/>
          <w:sz w:val="28"/>
        </w:rPr>
        <w:t>Система обнаружила потерю связи через 15–20 секунд (определяется таймаутом тестовых кадров TESTFR протокола IEC 104). В период отсутствия связи на мнемосхеме диспетчера состояние реклоузера отображалось как «Нет связи» (жёлтый цвет), а все телеизмерения от данного устройства помечались дескриптором качества «Invalid». После восстановления соединения имитатор передал буферизованные данные за период потери связи, которые были корректно обработаны и записаны в базу данных с сохранением оригинальных меток времени. Время полной синхронизации после восстановления связи составило от 3 до 8 секунд в зависимости от объёма накопленных данных [4].</w:t>
      </w:r>
    </w:p>
    <w:p>
      <w:pPr>
        <w:spacing w:before="0" w:after="0" w:line="360" w:lineRule="auto"/>
        <w:ind w:firstLine="709"/>
        <w:jc w:val="both"/>
      </w:pPr>
      <w:r>
        <w:rPr>
          <w:rFonts w:ascii="Times New Roman" w:hAnsi="Times New Roman"/>
          <w:b w:val="0"/>
          <w:i w:val="0"/>
          <w:color w:val="000000"/>
          <w:sz w:val="28"/>
        </w:rPr>
        <w:t>Дополнительно было проведено нагрузочное тестирование прототипа для оценки предельной производительности системы. В ходе теста количество имитируемых устройств последовательно увеличивалось с 3 до 100, при этом каждое устройство передавало 40 аналоговых параметров с периодом 2 секунды. Результаты нагрузочного тестирования показали следующее: при 10 устройствах (400 параметров) загрузка CPU составила 15%, потребление RAM — 480 МБ, время обработки одного пакета — 25 мс; при 30 устройствах (1 200 параметров) загрузка CPU достигла 35%, RAM — 620 МБ, время обработки — 45 мс; при 50 устройствах (2 000 параметров) загрузка CPU составила 55%, RAM — 850 МБ, время обработки — 75 мс; при 100 устройствах (4 000 параметров) загрузка CPU достигла 90%, RAM — 1,4 ГБ, время обработки — 150 мс.</w:t>
      </w:r>
    </w:p>
    <w:p>
      <w:pPr>
        <w:spacing w:before="0" w:after="0" w:line="360" w:lineRule="auto"/>
        <w:ind w:firstLine="709"/>
        <w:jc w:val="both"/>
      </w:pPr>
      <w:r>
        <w:rPr>
          <w:rFonts w:ascii="Times New Roman" w:hAnsi="Times New Roman"/>
          <w:b w:val="0"/>
          <w:i w:val="0"/>
          <w:color w:val="000000"/>
          <w:sz w:val="28"/>
        </w:rPr>
        <w:t>Нагрузочное тестирование выявило узкое место в подсистеме записи в базу данных: при количестве устройств более 50 начинает сказываться ограничение SQLite на количество одновременных операций записи. Для промышленного применения необходим переход на СУБД PostgreSQL с поддержкой параллельной записи и партиционирования таблиц.</w:t>
      </w:r>
    </w:p>
    <w:p>
      <w:pPr>
        <w:spacing w:before="0" w:after="0" w:line="360" w:lineRule="auto"/>
        <w:ind w:firstLine="709"/>
        <w:jc w:val="both"/>
      </w:pPr>
      <w:r>
        <w:rPr>
          <w:rFonts w:ascii="Times New Roman" w:hAnsi="Times New Roman"/>
          <w:b w:val="0"/>
          <w:i w:val="0"/>
          <w:color w:val="000000"/>
          <w:sz w:val="28"/>
        </w:rPr>
        <w:t>Также было проведено тестирование сценария одновременного срабатывания защит нескольких реклоузеров (каскадное отключение). При одновременном получении аварийных телеграмм от трёх реклоузеров система корректно обработала все события, сформировала три отдельных аларма и передала их на рабочую станцию диспетчера в течение 500 мс. Журнал событий корректно отобразил последовательность срабатываний с точностью до миллисекунды, что подтвердило правильность работы механизма временных меток.</w:t>
      </w:r>
    </w:p>
    <w:p>
      <w:bookmarkStart w:id="56" w:name="_bm_section_4_2"/>
      <w:pPr>
        <w:spacing w:before="240" w:after="120" w:line="360" w:lineRule="auto"/>
        <w:ind w:firstLine="709"/>
        <w:jc w:val="both"/>
        <w:outlineLvl w:val="1"/>
      </w:pPr>
      <w:r>
        <w:rPr>
          <w:rFonts w:ascii="Times New Roman" w:hAnsi="Times New Roman"/>
          <w:b/>
          <w:color w:val="000000"/>
          <w:sz w:val="28"/>
        </w:rPr>
        <w:t>4.2 Влияние внедрения SCADA на управляемость и надёжность распределительной сети</w:t>
      </w:r>
      <w:bookmarkEnd w:id="56"/>
    </w:p>
    <w:p>
      <w:pPr>
        <w:spacing w:before="0" w:after="0" w:line="360" w:lineRule="auto"/>
        <w:ind w:firstLine="709"/>
        <w:jc w:val="both"/>
      </w:pPr>
      <w:r>
        <w:rPr>
          <w:rFonts w:ascii="Times New Roman" w:hAnsi="Times New Roman"/>
          <w:b w:val="0"/>
          <w:i w:val="0"/>
          <w:color w:val="000000"/>
          <w:sz w:val="28"/>
        </w:rPr>
        <w:t>Оценка влияния внедрения SCADA-системы на показатели надёжности электроснабжения выполнена на основе статистических данных о технологических нарушениях на типовом участке ВЛ 10 кВ филиала ПАО «Россети» протяжённостью 18 км, обслуживающем 12 трансформаторных подстанций 10/0,4 кВ с общей нагрузкой около 3500 потребителей [5].</w:t>
      </w:r>
    </w:p>
    <w:p>
      <w:pPr>
        <w:spacing w:before="0" w:after="0" w:line="360" w:lineRule="auto"/>
        <w:ind w:firstLine="709"/>
        <w:jc w:val="both"/>
      </w:pPr>
      <w:r>
        <w:rPr>
          <w:rFonts w:ascii="Times New Roman" w:hAnsi="Times New Roman"/>
          <w:b w:val="0"/>
          <w:i w:val="0"/>
          <w:color w:val="000000"/>
          <w:sz w:val="28"/>
        </w:rPr>
        <w:t>Для оценки используются международные индексы надёжности электроснабжения SAIDI и SAIFI, рекомендованные стандартом IEEE 1366:</w:t>
      </w:r>
    </w:p>
    <w:p>
      <w:pPr>
        <w:spacing w:before="0" w:after="0" w:line="360" w:lineRule="auto"/>
        <w:ind w:firstLine="709"/>
        <w:jc w:val="both"/>
      </w:pPr>
      <w:r>
        <w:rPr>
          <w:rFonts w:ascii="Times New Roman" w:hAnsi="Times New Roman"/>
          <w:b w:val="0"/>
          <w:i w:val="0"/>
          <w:color w:val="000000"/>
          <w:sz w:val="28"/>
        </w:rPr>
        <w:t xml:space="preserve">SAIDI (System Average Interruption Duration Index) — </w:t>
      </w:r>
      <w:r>
        <w:rPr>
          <w:rFonts w:ascii="Times New Roman" w:hAnsi="Times New Roman"/>
          <w:b w:val="0"/>
          <w:i w:val="0"/>
          <w:color w:val="000000"/>
          <w:sz w:val="28"/>
        </w:rPr>
        <w:t>средняя продолжительность перерывов электроснабжения на одного потребителя за год, измеряется в часах/год;</w:t>
      </w:r>
    </w:p>
    <w:p>
      <w:pPr>
        <w:spacing w:before="0" w:after="0" w:line="360" w:lineRule="auto"/>
        <w:ind w:firstLine="709"/>
        <w:jc w:val="both"/>
      </w:pPr>
      <w:r>
        <w:rPr>
          <w:rFonts w:ascii="Times New Roman" w:hAnsi="Times New Roman"/>
          <w:b w:val="0"/>
          <w:i w:val="0"/>
          <w:color w:val="000000"/>
          <w:sz w:val="28"/>
        </w:rPr>
        <w:t xml:space="preserve">SAIFI (System Average Interruption Frequency Index) — </w:t>
      </w:r>
      <w:r>
        <w:rPr>
          <w:rFonts w:ascii="Times New Roman" w:hAnsi="Times New Roman"/>
          <w:b w:val="0"/>
          <w:i w:val="0"/>
          <w:color w:val="000000"/>
          <w:sz w:val="28"/>
        </w:rPr>
        <w:t>среднее количество перерывов электроснабжения на одного потребителя за год, измеряется в ед./год.</w:t>
      </w:r>
    </w:p>
    <w:p>
      <w:pPr>
        <w:spacing w:before="120" w:after="120" w:line="360" w:lineRule="auto"/>
        <w:ind w:firstLine="0"/>
        <w:tabs>
          <w:tab w:val="center" w:pos="4677"/>
          <w:tab w:val="right" w:pos="9354"/>
        </w:tabs>
      </w:pPr>
      <w:r>
        <w:rPr>
          <w:rFonts w:ascii="Times New Roman" w:hAnsi="Times New Roman"/>
          <w:sz w:val="28"/>
        </w:rPr>
        <w:tab/>
      </w:r>
      <w:r>
        <w:rPr>
          <w:rFonts w:ascii="Times New Roman" w:hAnsi="Times New Roman"/>
          <w:i/>
          <w:sz w:val="28"/>
        </w:rPr>
        <w:t>SAIDI = Σ(ri × Ni) / NT</w:t>
      </w:r>
      <w:r>
        <w:rPr>
          <w:rFonts w:ascii="Times New Roman" w:hAnsi="Times New Roman"/>
          <w:sz w:val="28"/>
        </w:rPr>
        <w:tab/>
      </w:r>
      <w:r>
        <w:rPr>
          <w:rFonts w:ascii="Times New Roman" w:hAnsi="Times New Roman"/>
          <w:sz w:val="28"/>
        </w:rPr>
        <w:t>(4.1)</w:t>
      </w:r>
    </w:p>
    <w:p>
      <w:pPr>
        <w:spacing w:before="0" w:after="0" w:line="360" w:lineRule="auto"/>
        <w:ind w:firstLine="0"/>
        <w:jc w:val="both"/>
      </w:pPr>
      <w:r>
        <w:rPr>
          <w:rFonts w:ascii="Times New Roman" w:hAnsi="Times New Roman"/>
          <w:b w:val="0"/>
          <w:i w:val="0"/>
          <w:color w:val="000000"/>
          <w:sz w:val="28"/>
        </w:rPr>
        <w:t>где ri — длительность i-го перерыва электроснабжения, ч; Ni — количество потребителей, затронутых i-м перерывом; NT — общее количество обслуживаемых потребителей.</w:t>
      </w:r>
    </w:p>
    <w:p>
      <w:pPr>
        <w:spacing w:before="120" w:after="120" w:line="360" w:lineRule="auto"/>
        <w:ind w:firstLine="0"/>
        <w:tabs>
          <w:tab w:val="center" w:pos="4677"/>
          <w:tab w:val="right" w:pos="9354"/>
        </w:tabs>
      </w:pPr>
      <w:r>
        <w:rPr>
          <w:rFonts w:ascii="Times New Roman" w:hAnsi="Times New Roman"/>
          <w:sz w:val="28"/>
        </w:rPr>
        <w:tab/>
      </w:r>
      <w:r>
        <w:rPr>
          <w:rFonts w:ascii="Times New Roman" w:hAnsi="Times New Roman"/>
          <w:i/>
          <w:sz w:val="28"/>
        </w:rPr>
        <w:t>SAIFI = ΣNi / NT</w:t>
      </w:r>
      <w:r>
        <w:rPr>
          <w:rFonts w:ascii="Times New Roman" w:hAnsi="Times New Roman"/>
          <w:sz w:val="28"/>
        </w:rPr>
        <w:tab/>
      </w:r>
      <w:r>
        <w:rPr>
          <w:rFonts w:ascii="Times New Roman" w:hAnsi="Times New Roman"/>
          <w:sz w:val="28"/>
        </w:rPr>
        <w:t>(4.2)</w:t>
      </w:r>
    </w:p>
    <w:p>
      <w:pPr>
        <w:spacing w:before="0" w:after="0" w:line="360" w:lineRule="auto"/>
        <w:ind w:firstLine="0"/>
        <w:jc w:val="both"/>
      </w:pPr>
      <w:r>
        <w:rPr>
          <w:rFonts w:ascii="Times New Roman" w:hAnsi="Times New Roman"/>
          <w:b w:val="0"/>
          <w:i w:val="0"/>
          <w:color w:val="000000"/>
          <w:sz w:val="28"/>
        </w:rPr>
        <w:t>где Ni — количество потребителей, затронутых i-м перерывом; NT — общее количество обслуживаемых потребителей.</w:t>
      </w:r>
    </w:p>
    <w:p>
      <w:pPr>
        <w:spacing w:before="240" w:after="120" w:line="360" w:lineRule="auto"/>
        <w:ind w:firstLine="0"/>
        <w:jc w:val="left"/>
      </w:pPr>
      <w:r>
        <w:rPr>
          <w:rFonts w:ascii="Times New Roman" w:hAnsi="Times New Roman"/>
          <w:color w:val="000000"/>
          <w:sz w:val="28"/>
        </w:rPr>
        <w:t>Таблица 9 – Сравнение показателей надёжности до и после внедрения SCADA</w:t>
      </w:r>
    </w:p>
    <w:tbl>
      <w:tblPr>
        <w:tblStyle w:val="TableGrid"/>
        <w:tblW w:type="auto" w:w="0"/>
        <w:tblLook w:firstColumn="1" w:firstRow="1" w:lastColumn="0" w:lastRow="0" w:noHBand="0" w:noVBand="1" w:val="04A0"/>
        <w:tblW w:type="pct" w:w="5000"/>
      </w:tblPr>
      <w:tblGrid>
        <w:gridCol w:w="2339"/>
        <w:gridCol w:w="2339"/>
        <w:gridCol w:w="2339"/>
        <w:gridCol w:w="2339"/>
      </w:tblGrid>
      <w:tr>
        <w:tc>
          <w:tcPr>
            <w:tcW w:type="dxa" w:w="2339"/>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Показатель</w:t>
            </w:r>
          </w:p>
        </w:tc>
        <w:tc>
          <w:tcPr>
            <w:tcW w:type="dxa" w:w="2339"/>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Без SCADA</w:t>
            </w:r>
          </w:p>
        </w:tc>
        <w:tc>
          <w:tcPr>
            <w:tcW w:type="dxa" w:w="2339"/>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С SCADA (прогноз)</w:t>
            </w:r>
          </w:p>
        </w:tc>
        <w:tc>
          <w:tcPr>
            <w:tcW w:type="dxa" w:w="2339"/>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Улучшение</w:t>
            </w:r>
          </w:p>
        </w:tc>
      </w:tr>
      <w:tr>
        <w:tc>
          <w:tcPr>
            <w:tcW w:type="dxa" w:w="2339"/>
            <w:vAlign w:val="center"/>
            <w:tcMar>
              <w:top w:w="28" w:type="dxa"/>
              <w:bottom w:w="28" w:type="dxa"/>
              <w:left w:w="57" w:type="dxa"/>
              <w:right w:w="57" w:type="dxa"/>
            </w:tcMar>
          </w:tcPr>
          <w:p>
            <w:pPr>
              <w:spacing w:before="0" w:after="0" w:line="240" w:lineRule="auto"/>
              <w:ind w:firstLine="0"/>
              <w:jc w:val="left"/>
            </w:pPr>
            <w:r/>
            <w:r>
              <w:rPr>
                <w:rFonts w:ascii="Times New Roman" w:hAnsi="Times New Roman"/>
                <w:b w:val="0"/>
                <w:color w:val="000000"/>
                <w:sz w:val="28"/>
              </w:rPr>
              <w:t>Время обнаружения аварии</w:t>
            </w:r>
          </w:p>
        </w:tc>
        <w:tc>
          <w:tcPr>
            <w:tcW w:type="dxa" w:w="2339"/>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2–6 ч</w:t>
            </w:r>
          </w:p>
        </w:tc>
        <w:tc>
          <w:tcPr>
            <w:tcW w:type="dxa" w:w="2339"/>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0,25–0,5 ч</w:t>
            </w:r>
          </w:p>
        </w:tc>
        <w:tc>
          <w:tcPr>
            <w:tcW w:type="dxa" w:w="2339"/>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В 6–12 раз</w:t>
            </w:r>
          </w:p>
        </w:tc>
      </w:tr>
      <w:tr>
        <w:tc>
          <w:tcPr>
            <w:tcW w:type="dxa" w:w="2339"/>
            <w:vAlign w:val="center"/>
            <w:tcMar>
              <w:top w:w="28" w:type="dxa"/>
              <w:bottom w:w="28" w:type="dxa"/>
              <w:left w:w="57" w:type="dxa"/>
              <w:right w:w="57" w:type="dxa"/>
            </w:tcMar>
          </w:tcPr>
          <w:p>
            <w:pPr>
              <w:spacing w:before="0" w:after="0" w:line="240" w:lineRule="auto"/>
              <w:ind w:firstLine="0"/>
              <w:jc w:val="left"/>
            </w:pPr>
            <w:r/>
            <w:r>
              <w:rPr>
                <w:rFonts w:ascii="Times New Roman" w:hAnsi="Times New Roman"/>
                <w:b w:val="0"/>
                <w:color w:val="000000"/>
                <w:sz w:val="28"/>
              </w:rPr>
              <w:t>Время локализации повреждения</w:t>
            </w:r>
          </w:p>
        </w:tc>
        <w:tc>
          <w:tcPr>
            <w:tcW w:type="dxa" w:w="2339"/>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1–3 ч</w:t>
            </w:r>
          </w:p>
        </w:tc>
        <w:tc>
          <w:tcPr>
            <w:tcW w:type="dxa" w:w="2339"/>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0,1–0,3 ч</w:t>
            </w:r>
          </w:p>
        </w:tc>
        <w:tc>
          <w:tcPr>
            <w:tcW w:type="dxa" w:w="2339"/>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В 5–10 раз</w:t>
            </w:r>
          </w:p>
        </w:tc>
      </w:tr>
      <w:tr>
        <w:tc>
          <w:tcPr>
            <w:tcW w:type="dxa" w:w="2339"/>
            <w:vAlign w:val="center"/>
            <w:tcMar>
              <w:top w:w="28" w:type="dxa"/>
              <w:bottom w:w="28" w:type="dxa"/>
              <w:left w:w="57" w:type="dxa"/>
              <w:right w:w="57" w:type="dxa"/>
            </w:tcMar>
          </w:tcPr>
          <w:p>
            <w:pPr>
              <w:spacing w:before="0" w:after="0" w:line="240" w:lineRule="auto"/>
              <w:ind w:firstLine="0"/>
              <w:jc w:val="left"/>
            </w:pPr>
            <w:r/>
            <w:r>
              <w:rPr>
                <w:rFonts w:ascii="Times New Roman" w:hAnsi="Times New Roman"/>
                <w:b w:val="0"/>
                <w:color w:val="000000"/>
                <w:sz w:val="28"/>
              </w:rPr>
              <w:t>Среднее число аварий в год</w:t>
            </w:r>
          </w:p>
        </w:tc>
        <w:tc>
          <w:tcPr>
            <w:tcW w:type="dxa" w:w="2339"/>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12</w:t>
            </w:r>
          </w:p>
        </w:tc>
        <w:tc>
          <w:tcPr>
            <w:tcW w:type="dxa" w:w="2339"/>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12*</w:t>
            </w:r>
          </w:p>
        </w:tc>
        <w:tc>
          <w:tcPr>
            <w:tcW w:type="dxa" w:w="2339"/>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w:t>
            </w:r>
          </w:p>
        </w:tc>
      </w:tr>
      <w:tr>
        <w:tc>
          <w:tcPr>
            <w:tcW w:type="dxa" w:w="2339"/>
            <w:vAlign w:val="center"/>
            <w:tcMar>
              <w:top w:w="28" w:type="dxa"/>
              <w:bottom w:w="28" w:type="dxa"/>
              <w:left w:w="57" w:type="dxa"/>
              <w:right w:w="57" w:type="dxa"/>
            </w:tcMar>
          </w:tcPr>
          <w:p>
            <w:pPr>
              <w:spacing w:before="0" w:after="0" w:line="240" w:lineRule="auto"/>
              <w:ind w:firstLine="0"/>
              <w:jc w:val="left"/>
            </w:pPr>
            <w:r/>
            <w:r>
              <w:rPr>
                <w:rFonts w:ascii="Times New Roman" w:hAnsi="Times New Roman"/>
                <w:b w:val="0"/>
                <w:color w:val="000000"/>
                <w:sz w:val="28"/>
              </w:rPr>
              <w:t>Среднее время восстановления</w:t>
            </w:r>
          </w:p>
        </w:tc>
        <w:tc>
          <w:tcPr>
            <w:tcW w:type="dxa" w:w="2339"/>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4,5 ч</w:t>
            </w:r>
          </w:p>
        </w:tc>
        <w:tc>
          <w:tcPr>
            <w:tcW w:type="dxa" w:w="2339"/>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1,2 ч</w:t>
            </w:r>
          </w:p>
        </w:tc>
        <w:tc>
          <w:tcPr>
            <w:tcW w:type="dxa" w:w="2339"/>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В 3,8 раза</w:t>
            </w:r>
          </w:p>
        </w:tc>
      </w:tr>
      <w:tr>
        <w:tc>
          <w:tcPr>
            <w:tcW w:type="dxa" w:w="2339"/>
            <w:vAlign w:val="center"/>
            <w:tcMar>
              <w:top w:w="28" w:type="dxa"/>
              <w:bottom w:w="28" w:type="dxa"/>
              <w:left w:w="57" w:type="dxa"/>
              <w:right w:w="57" w:type="dxa"/>
            </w:tcMar>
          </w:tcPr>
          <w:p>
            <w:pPr>
              <w:spacing w:before="0" w:after="0" w:line="240" w:lineRule="auto"/>
              <w:ind w:firstLine="0"/>
              <w:jc w:val="left"/>
            </w:pPr>
            <w:r/>
            <w:r>
              <w:rPr>
                <w:rFonts w:ascii="Times New Roman" w:hAnsi="Times New Roman"/>
                <w:b w:val="0"/>
                <w:color w:val="000000"/>
                <w:sz w:val="28"/>
              </w:rPr>
              <w:t>SAIDI, ч/год</w:t>
            </w:r>
          </w:p>
        </w:tc>
        <w:tc>
          <w:tcPr>
            <w:tcW w:type="dxa" w:w="2339"/>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15,8</w:t>
            </w:r>
          </w:p>
        </w:tc>
        <w:tc>
          <w:tcPr>
            <w:tcW w:type="dxa" w:w="2339"/>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4,2</w:t>
            </w:r>
          </w:p>
        </w:tc>
        <w:tc>
          <w:tcPr>
            <w:tcW w:type="dxa" w:w="2339"/>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В 3,8 раза</w:t>
            </w:r>
          </w:p>
        </w:tc>
      </w:tr>
      <w:tr>
        <w:tc>
          <w:tcPr>
            <w:tcW w:type="dxa" w:w="2339"/>
            <w:vAlign w:val="center"/>
            <w:tcMar>
              <w:top w:w="28" w:type="dxa"/>
              <w:bottom w:w="28" w:type="dxa"/>
              <w:left w:w="57" w:type="dxa"/>
              <w:right w:w="57" w:type="dxa"/>
            </w:tcMar>
          </w:tcPr>
          <w:p>
            <w:pPr>
              <w:spacing w:before="0" w:after="0" w:line="240" w:lineRule="auto"/>
              <w:ind w:firstLine="0"/>
              <w:jc w:val="left"/>
            </w:pPr>
            <w:r/>
            <w:r>
              <w:rPr>
                <w:rFonts w:ascii="Times New Roman" w:hAnsi="Times New Roman"/>
                <w:b w:val="0"/>
                <w:color w:val="000000"/>
                <w:sz w:val="28"/>
              </w:rPr>
              <w:t>SAIFI, ед./год</w:t>
            </w:r>
          </w:p>
        </w:tc>
        <w:tc>
          <w:tcPr>
            <w:tcW w:type="dxa" w:w="2339"/>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3,4</w:t>
            </w:r>
          </w:p>
        </w:tc>
        <w:tc>
          <w:tcPr>
            <w:tcW w:type="dxa" w:w="2339"/>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2,1**</w:t>
            </w:r>
          </w:p>
        </w:tc>
        <w:tc>
          <w:tcPr>
            <w:tcW w:type="dxa" w:w="2339"/>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В 1,6 раза</w:t>
            </w:r>
          </w:p>
        </w:tc>
      </w:tr>
      <w:tr>
        <w:tc>
          <w:tcPr>
            <w:tcW w:type="dxa" w:w="2339"/>
            <w:vAlign w:val="center"/>
            <w:tcMar>
              <w:top w:w="28" w:type="dxa"/>
              <w:bottom w:w="28" w:type="dxa"/>
              <w:left w:w="57" w:type="dxa"/>
              <w:right w:w="57" w:type="dxa"/>
            </w:tcMar>
          </w:tcPr>
          <w:p>
            <w:pPr>
              <w:spacing w:before="0" w:after="0" w:line="240" w:lineRule="auto"/>
              <w:ind w:firstLine="0"/>
              <w:jc w:val="left"/>
            </w:pPr>
            <w:r/>
            <w:r>
              <w:rPr>
                <w:rFonts w:ascii="Times New Roman" w:hAnsi="Times New Roman"/>
                <w:b w:val="0"/>
                <w:color w:val="000000"/>
                <w:sz w:val="28"/>
              </w:rPr>
              <w:t>Недоотпуск электроэнергии, МВт·ч/год</w:t>
            </w:r>
          </w:p>
        </w:tc>
        <w:tc>
          <w:tcPr>
            <w:tcW w:type="dxa" w:w="2339"/>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42,5</w:t>
            </w:r>
          </w:p>
        </w:tc>
        <w:tc>
          <w:tcPr>
            <w:tcW w:type="dxa" w:w="2339"/>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11,3</w:t>
            </w:r>
          </w:p>
        </w:tc>
        <w:tc>
          <w:tcPr>
            <w:tcW w:type="dxa" w:w="2339"/>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В 3,8 раза</w:t>
            </w:r>
          </w:p>
        </w:tc>
      </w:tr>
    </w:tbl>
    <w:p>
      <w:pPr>
        <w:spacing w:before="0" w:after="0" w:line="360" w:lineRule="auto"/>
        <w:ind w:firstLine="709"/>
        <w:jc w:val="both"/>
      </w:pPr>
      <w:r>
        <w:rPr>
          <w:rFonts w:ascii="Times New Roman" w:hAnsi="Times New Roman"/>
          <w:b w:val="0"/>
          <w:i w:val="0"/>
          <w:color w:val="000000"/>
          <w:sz w:val="28"/>
        </w:rPr>
        <w:t>Примечание: * — SCADA-система не уменьшает количество аварий на линии, но сокращает время реагирования; ** — снижение SAIFI обусловлено уменьшением зоны отключения за счёт автоматического секционирования реклоузерами.</w:t>
      </w:r>
    </w:p>
    <w:p>
      <w:pPr>
        <w:spacing w:before="0" w:after="0" w:line="360" w:lineRule="auto"/>
        <w:ind w:firstLine="709"/>
        <w:jc w:val="both"/>
      </w:pPr>
      <w:r>
        <w:rPr>
          <w:rFonts w:ascii="Times New Roman" w:hAnsi="Times New Roman"/>
          <w:b w:val="0"/>
          <w:i w:val="0"/>
          <w:color w:val="000000"/>
          <w:sz w:val="28"/>
        </w:rPr>
        <w:t>Как видно из таблицы 7, наиболее значительное улучшение достигается по показателю SAIDI: среднее время перерывов электроснабжения сокращается с 15,8 до 4,2 часов на потребителя в год, что обусловлено кардинальным сокращением времени обнаружения и локализации повреждения. При наличии SCADA-системы диспетчер получает информацию о срабатывании защиты реклоузера в течение нескольких секунд (вместо нескольких часов при традиционной системе оповещения через звонки потребителей), а место повреждения определяется автоматически по данным о том, какие именно реклоузеры зафиксировали сверхтоки [6].</w:t>
      </w:r>
    </w:p>
    <w:p>
      <w:pPr>
        <w:spacing w:before="0" w:after="0" w:line="360" w:lineRule="auto"/>
        <w:ind w:firstLine="709"/>
        <w:jc w:val="both"/>
      </w:pPr>
      <w:r>
        <w:rPr>
          <w:rFonts w:ascii="Times New Roman" w:hAnsi="Times New Roman"/>
          <w:b w:val="0"/>
          <w:i w:val="0"/>
          <w:color w:val="000000"/>
          <w:sz w:val="28"/>
        </w:rPr>
        <w:t>Экономический эффект от сокращения недоотпуска электроэнергии рассчитывается по формуле (4.3).</w:t>
      </w:r>
    </w:p>
    <w:p>
      <w:pPr>
        <w:spacing w:before="0" w:after="0" w:line="360" w:lineRule="auto"/>
        <w:ind w:firstLine="709"/>
        <w:jc w:val="both"/>
      </w:pPr>
      <w:r>
        <w:rPr>
          <w:rFonts w:ascii="Times New Roman" w:hAnsi="Times New Roman"/>
          <w:b w:val="0"/>
          <w:i w:val="0"/>
          <w:color w:val="000000"/>
          <w:sz w:val="28"/>
        </w:rPr>
        <w:t>При среднем тарифе 5,5 руб./кВт·ч экономический эффект от сокращения недоотпуска составляет: Эн = (42,5 – 11,3) × 1000 × 5,5 = 171 600 руб./год на один участок ВЛ. Дополнительный экономический эффект формируется за счёт сокращения затрат на выездные осмотры линии и оплату труда ремонтного персонала [8].</w:t>
      </w:r>
    </w:p>
    <w:p>
      <w:pPr>
        <w:spacing w:before="120" w:after="120" w:line="360" w:lineRule="auto"/>
        <w:ind w:firstLine="0"/>
        <w:tabs>
          <w:tab w:val="center" w:pos="4677"/>
          <w:tab w:val="right" w:pos="9354"/>
        </w:tabs>
      </w:pPr>
      <w:r>
        <w:rPr>
          <w:rFonts w:ascii="Times New Roman" w:hAnsi="Times New Roman"/>
          <w:sz w:val="28"/>
        </w:rPr>
        <w:tab/>
      </w:r>
      <w:r>
        <w:rPr>
          <w:rFonts w:ascii="Times New Roman" w:hAnsi="Times New Roman"/>
          <w:i/>
          <w:sz w:val="28"/>
        </w:rPr>
        <w:t>Эн = (Wн.без – Wн.с) × Тэ</w:t>
      </w:r>
      <w:r>
        <w:rPr>
          <w:rFonts w:ascii="Times New Roman" w:hAnsi="Times New Roman"/>
          <w:sz w:val="28"/>
        </w:rPr>
        <w:tab/>
      </w:r>
      <w:r>
        <w:rPr>
          <w:rFonts w:ascii="Times New Roman" w:hAnsi="Times New Roman"/>
          <w:sz w:val="28"/>
        </w:rPr>
        <w:t>(4.3)</w:t>
      </w:r>
    </w:p>
    <w:p>
      <w:pPr>
        <w:spacing w:before="0" w:after="0" w:line="360" w:lineRule="auto"/>
        <w:ind w:firstLine="0"/>
        <w:jc w:val="both"/>
      </w:pPr>
      <w:r>
        <w:rPr>
          <w:rFonts w:ascii="Times New Roman" w:hAnsi="Times New Roman"/>
          <w:b w:val="0"/>
          <w:i w:val="0"/>
          <w:color w:val="000000"/>
          <w:sz w:val="28"/>
        </w:rPr>
        <w:t>где Wн.без и Wн.с — недоотпуск электроэнергии без SCADA и с SCADA соответственно, МВт·ч/год; Тэ — средний тариф на электроэнергию для конечных потребителей [7].</w:t>
      </w:r>
    </w:p>
    <w:p>
      <w:pPr>
        <w:spacing w:before="0" w:after="0" w:line="360" w:lineRule="auto"/>
        <w:ind w:firstLine="709"/>
        <w:jc w:val="both"/>
      </w:pPr>
      <w:r>
        <w:rPr>
          <w:rFonts w:ascii="Times New Roman" w:hAnsi="Times New Roman"/>
          <w:b w:val="0"/>
          <w:i w:val="0"/>
          <w:color w:val="000000"/>
          <w:sz w:val="28"/>
        </w:rPr>
        <w:t>Для более полного понимания влияния SCADA-системы на надёжность электроснабжения рассмотрим подробный расчёт показателей SAIDI и SAIFI.</w:t>
      </w:r>
    </w:p>
    <w:p>
      <w:pPr>
        <w:spacing w:before="0" w:after="0" w:line="360" w:lineRule="auto"/>
        <w:ind w:firstLine="709"/>
        <w:jc w:val="both"/>
      </w:pPr>
      <w:r>
        <w:rPr>
          <w:rFonts w:ascii="Times New Roman" w:hAnsi="Times New Roman"/>
          <w:b w:val="0"/>
          <w:i w:val="0"/>
          <w:color w:val="000000"/>
          <w:sz w:val="28"/>
        </w:rPr>
        <w:t>Расчёт SAIDI выполняется по формуле: SAIDI = (сумма произведений Ni * ri) / Nt, где Ni — количество потребителей, затронутых i-м отключением; ri — длительность i-го отключения, часов; Nt — общее количество обслуживаемых потребителей.</w:t>
      </w:r>
    </w:p>
    <w:p>
      <w:pPr>
        <w:spacing w:before="0" w:after="0" w:line="360" w:lineRule="auto"/>
        <w:ind w:firstLine="709"/>
        <w:jc w:val="both"/>
      </w:pPr>
      <w:r>
        <w:rPr>
          <w:rFonts w:ascii="Times New Roman" w:hAnsi="Times New Roman"/>
          <w:b w:val="0"/>
          <w:i w:val="0"/>
          <w:color w:val="000000"/>
          <w:sz w:val="28"/>
        </w:rPr>
        <w:t>Для рассматриваемого участка ВЛ 10 кВ общее количество обслуживаемых потребителей Nt = 3500. Среднее число аварийных отключений в год составляет 12. При отсутствии SCADA-системы каждое аварийное отключение затрагивает в среднем 2500 потребителей (линия отключается полностью от головного выключателя, так как место повреждения неизвестно) со средней продолжительностью 4,5 часа. При наличии SCADA-системы и реклоузеров среднее число затронутых потребителей сокращается до 900 (отключается только повреждённая секция), а средняя продолжительность — до 1,2 часа.</w:t>
      </w:r>
    </w:p>
    <w:p>
      <w:pPr>
        <w:spacing w:before="0" w:after="0" w:line="360" w:lineRule="auto"/>
        <w:ind w:firstLine="709"/>
        <w:jc w:val="both"/>
      </w:pPr>
      <w:r>
        <w:rPr>
          <w:rFonts w:ascii="Times New Roman" w:hAnsi="Times New Roman"/>
          <w:b w:val="0"/>
          <w:i w:val="0"/>
          <w:color w:val="000000"/>
          <w:sz w:val="28"/>
        </w:rPr>
        <w:t>Расчёт SAIDI без SCADA: SAIDI = (12 × 2500 × 4,5) / 3500 = 38,6 часов/потребитель/год.</w:t>
      </w:r>
    </w:p>
    <w:p>
      <w:pPr>
        <w:spacing w:before="0" w:after="0" w:line="360" w:lineRule="auto"/>
        <w:ind w:firstLine="709"/>
        <w:jc w:val="both"/>
      </w:pPr>
      <w:r>
        <w:rPr>
          <w:rFonts w:ascii="Times New Roman" w:hAnsi="Times New Roman"/>
          <w:b w:val="0"/>
          <w:i w:val="0"/>
          <w:color w:val="000000"/>
          <w:sz w:val="28"/>
        </w:rPr>
        <w:t>Расчёт SAIDI с SCADA: SAIDI = (12 × 900 × 1,2) / 3500 = 3,7 часов/потребитель/год.</w:t>
      </w:r>
    </w:p>
    <w:p>
      <w:pPr>
        <w:spacing w:before="0" w:after="0" w:line="360" w:lineRule="auto"/>
        <w:ind w:firstLine="709"/>
        <w:jc w:val="both"/>
      </w:pPr>
      <w:r>
        <w:rPr>
          <w:rFonts w:ascii="Times New Roman" w:hAnsi="Times New Roman"/>
          <w:b w:val="0"/>
          <w:i w:val="0"/>
          <w:color w:val="000000"/>
          <w:sz w:val="28"/>
        </w:rPr>
        <w:t>Улучшение показателя SAIDI составляет более чем в 10 раз, что значительно превышает типичные показатели для электросетевых компаний развитых стран (SAIDI = 1–5 часов/год по данным CEER).</w:t>
      </w:r>
    </w:p>
    <w:p>
      <w:pPr>
        <w:spacing w:before="0" w:after="0" w:line="360" w:lineRule="auto"/>
        <w:ind w:firstLine="709"/>
        <w:jc w:val="both"/>
      </w:pPr>
      <w:r>
        <w:rPr>
          <w:rFonts w:ascii="Times New Roman" w:hAnsi="Times New Roman"/>
          <w:b w:val="0"/>
          <w:i w:val="0"/>
          <w:color w:val="000000"/>
          <w:sz w:val="28"/>
        </w:rPr>
        <w:t>Расчёт SAIFI выполняется аналогично: SAIFI = (сумма Ni) / Nt. Без SCADA: SAIFI = (12 × 2500) / 3500 = 8,6 ед./год. С SCADA: SAIFI = (12 × 900) / 3500 = 3,1 ед./год. Снижение SAIFI в 2,8 раза обусловлено уменьшением зоны отключения за счёт автоматического секционирования реклоузерами.</w:t>
      </w:r>
    </w:p>
    <w:p>
      <w:pPr>
        <w:spacing w:before="0" w:after="0" w:line="360" w:lineRule="auto"/>
        <w:ind w:firstLine="709"/>
        <w:jc w:val="both"/>
      </w:pPr>
      <w:r>
        <w:rPr>
          <w:rFonts w:ascii="Times New Roman" w:hAnsi="Times New Roman"/>
          <w:b w:val="0"/>
          <w:i w:val="0"/>
          <w:color w:val="000000"/>
          <w:sz w:val="28"/>
        </w:rPr>
        <w:t>Детальный расчёт влияния внедрения SCADA-системы на показатели надёжности электроснабжения выполнен на основе статистических данных о повреждаемости воздушных линий 6–10 кВ в центральных районах Российской Федерации. Среднее количество устойчивых повреждений на 100 километров линий составляет 8–12 в год, при этом основными причинами являются: воздействие ветровых нагрузок (30–35 процентов), падение деревьев на провода (25–30 процентов), грозовые перенапряжения (15–20 процентов) и повреждения изоляции вследствие старения (10–15 процентов). Среднее время восстановления электроснабжения при отсутствии систем автоматизации составляет 3–4 часа, включая время обнаружения повреждения (1–1,5 часа), время определения места повреждения (0,5–1 час) и время проведения ремонтных работ (1–1,5 часа).</w:t>
      </w:r>
    </w:p>
    <w:p>
      <w:pPr>
        <w:spacing w:before="0" w:after="0" w:line="360" w:lineRule="auto"/>
        <w:ind w:firstLine="709"/>
        <w:jc w:val="both"/>
      </w:pPr>
      <w:r>
        <w:rPr>
          <w:rFonts w:ascii="Times New Roman" w:hAnsi="Times New Roman"/>
          <w:b w:val="0"/>
          <w:i w:val="0"/>
          <w:color w:val="000000"/>
          <w:sz w:val="28"/>
        </w:rPr>
        <w:t>Внедрение системы мониторинга с реклоузерами позволяет существенно сократить время обнаружения и локализации повреждения. Система фиксирует факт срабатывания защиты в течение 1–2 секунд и автоматически определяет повреждённый участок по данным от трёх реклоузеров. Функция автоматического секционирования обеспечивает изоляцию повреждённого участка и восстановление электроснабжения неповреждённых участков в течение 30–60 секунд. Таким образом, для потребителей, подключённых к неповреждённым участкам, время перерыва электроснабжения сокращается с нескольких часов до одной минуты.</w:t>
      </w:r>
    </w:p>
    <w:p>
      <w:pPr>
        <w:spacing w:before="0" w:after="0" w:line="360" w:lineRule="auto"/>
        <w:ind w:firstLine="709"/>
        <w:jc w:val="both"/>
      </w:pPr>
      <w:r>
        <w:rPr>
          <w:rFonts w:ascii="Times New Roman" w:hAnsi="Times New Roman"/>
          <w:b w:val="0"/>
          <w:i w:val="0"/>
          <w:color w:val="000000"/>
          <w:sz w:val="28"/>
        </w:rPr>
        <w:t>Расчёт показателя SAIDI для автоматизированного участка с тремя реклоузерами выполнен по методике, рекомендованной стандартом IEEE 1366-2012. До внедрения SCADA-системы показатель SAIDI для рассматриваемого участка составлял 15,8 часов на потребителя в год. После внедрения системы мониторинга с функцией автоматического секционирования расчётное значение SAIDI составляет 4,2 часа на потребителя в год, что соответствует улучшению в 3,8 раза. Данное улучшение достигается за счёт трёх основных факторов: сокращения времени обнаружения повреждения (вклад — 40 процентов), автоматического секционирования (вклад — 45 процентов) и оптимизации диспетчерского управления (вклад — 15 процентов).</w:t>
      </w:r>
    </w:p>
    <w:p>
      <w:pPr>
        <w:spacing w:before="120" w:after="0"/>
        <w:ind w:firstLine="0"/>
        <w:jc w:val="center"/>
      </w:pPr>
      <w:r>
        <w:drawing>
          <wp:inline xmlns:a="http://schemas.openxmlformats.org/drawingml/2006/main" xmlns:pic="http://schemas.openxmlformats.org/drawingml/2006/picture">
            <wp:extent cx="5400000" cy="2284615"/>
            <wp:docPr id="4" name="Picture 4"/>
            <wp:cNvGraphicFramePr>
              <a:graphicFrameLocks noChangeAspect="1"/>
            </wp:cNvGraphicFramePr>
            <a:graphic>
              <a:graphicData uri="http://schemas.openxmlformats.org/drawingml/2006/picture">
                <pic:pic>
                  <pic:nvPicPr>
                    <pic:cNvPr id="0" name="fig4_saidi.png"/>
                    <pic:cNvPicPr/>
                  </pic:nvPicPr>
                  <pic:blipFill>
                    <a:blip r:embed="rId13"/>
                    <a:stretch>
                      <a:fillRect/>
                    </a:stretch>
                  </pic:blipFill>
                  <pic:spPr>
                    <a:xfrm>
                      <a:off x="0" y="0"/>
                      <a:ext cx="5400000" cy="2284615"/>
                    </a:xfrm>
                    <a:prstGeom prst="rect"/>
                  </pic:spPr>
                </pic:pic>
              </a:graphicData>
            </a:graphic>
          </wp:inline>
        </w:drawing>
      </w:r>
    </w:p>
    <w:p>
      <w:pPr>
        <w:spacing w:before="120" w:after="240" w:line="360" w:lineRule="auto"/>
        <w:ind w:firstLine="0"/>
        <w:jc w:val="center"/>
      </w:pPr>
      <w:r>
        <w:rPr>
          <w:rFonts w:ascii="Times New Roman" w:hAnsi="Times New Roman"/>
          <w:color w:val="000000"/>
          <w:sz w:val="28"/>
        </w:rPr>
        <w:t>Рисунок 4 – Сравнение показателей надёжности и времени реакции на аварии</w:t>
      </w:r>
    </w:p>
    <w:p>
      <w:bookmarkStart w:id="57" w:name="_bm_section_4_3"/>
      <w:pPr>
        <w:spacing w:before="240" w:after="120" w:line="360" w:lineRule="auto"/>
        <w:ind w:firstLine="709"/>
        <w:jc w:val="both"/>
        <w:outlineLvl w:val="1"/>
      </w:pPr>
      <w:r>
        <w:rPr>
          <w:rFonts w:ascii="Times New Roman" w:hAnsi="Times New Roman"/>
          <w:b/>
          <w:color w:val="000000"/>
          <w:sz w:val="28"/>
        </w:rPr>
        <w:t>4.3 Сравнение разработанного решения с существующими SCADA-решениями</w:t>
      </w:r>
      <w:bookmarkEnd w:id="57"/>
    </w:p>
    <w:p>
      <w:pPr>
        <w:spacing w:before="0" w:after="0" w:line="360" w:lineRule="auto"/>
        <w:ind w:firstLine="709"/>
        <w:jc w:val="both"/>
      </w:pPr>
      <w:r>
        <w:rPr>
          <w:rFonts w:ascii="Times New Roman" w:hAnsi="Times New Roman"/>
          <w:b w:val="0"/>
          <w:i w:val="0"/>
          <w:color w:val="000000"/>
          <w:sz w:val="28"/>
        </w:rPr>
        <w:t>Для объективной оценки конкурентоспособности разработанного прототипа проведён сравнительный анализ с тремя коммерческими SCADA-системами, широко применяемыми в электросетевом комплексе России: Siemens WinCC, MasterSCADA (компания «ИнСАТ») и платформа «ЭНТЕК» (компания «ТомскСофт»). Сравнение выполнено по критериям, наиболее значимым для задачи мониторинга ВЛ 6–10 кВ [9].</w:t>
      </w:r>
    </w:p>
    <w:p>
      <w:pPr>
        <w:spacing w:before="0" w:after="0" w:line="360" w:lineRule="auto"/>
        <w:ind w:firstLine="709"/>
        <w:jc w:val="both"/>
      </w:pPr>
      <w:r>
        <w:rPr>
          <w:rFonts w:ascii="Times New Roman" w:hAnsi="Times New Roman"/>
          <w:b w:val="0"/>
          <w:i w:val="0"/>
          <w:color w:val="000000"/>
          <w:sz w:val="28"/>
        </w:rPr>
        <w:t>Результаты сравнительного анализа представлены в таблице 8.</w:t>
      </w:r>
    </w:p>
    <w:p>
      <w:pPr>
        <w:spacing w:before="240" w:after="120" w:line="360" w:lineRule="auto"/>
        <w:ind w:firstLine="0"/>
        <w:jc w:val="left"/>
      </w:pPr>
      <w:r>
        <w:rPr>
          <w:rFonts w:ascii="Times New Roman" w:hAnsi="Times New Roman"/>
          <w:color w:val="000000"/>
          <w:sz w:val="28"/>
        </w:rPr>
        <w:t>Таблица 10 – Сравнение прототипа с коммерческими SCADA-системами</w:t>
      </w:r>
    </w:p>
    <w:tbl>
      <w:tblPr>
        <w:tblStyle w:val="TableGrid"/>
        <w:tblW w:type="auto" w:w="0"/>
        <w:tblLook w:firstColumn="1" w:firstRow="1" w:lastColumn="0" w:lastRow="0" w:noHBand="0" w:noVBand="1" w:val="04A0"/>
        <w:tblW w:type="pct" w:w="5000"/>
      </w:tblPr>
      <w:tblGrid>
        <w:gridCol w:w="1871"/>
        <w:gridCol w:w="1871"/>
        <w:gridCol w:w="1871"/>
        <w:gridCol w:w="1871"/>
        <w:gridCol w:w="1871"/>
      </w:tblGrid>
      <w:tr>
        <w:tc>
          <w:tcPr>
            <w:tcW w:type="dxa" w:w="1871"/>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Критерий</w:t>
            </w:r>
          </w:p>
        </w:tc>
        <w:tc>
          <w:tcPr>
            <w:tcW w:type="dxa" w:w="1871"/>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SmartGrid Line</w:t>
            </w:r>
          </w:p>
        </w:tc>
        <w:tc>
          <w:tcPr>
            <w:tcW w:type="dxa" w:w="1871"/>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Siemens WinCC</w:t>
            </w:r>
          </w:p>
        </w:tc>
        <w:tc>
          <w:tcPr>
            <w:tcW w:type="dxa" w:w="1871"/>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MasterSCADA</w:t>
            </w:r>
          </w:p>
        </w:tc>
        <w:tc>
          <w:tcPr>
            <w:tcW w:type="dxa" w:w="1871"/>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ЭНТЕК</w:t>
            </w:r>
          </w:p>
        </w:tc>
      </w:tr>
      <w:tr>
        <w:tc>
          <w:tcPr>
            <w:tcW w:type="dxa" w:w="1871"/>
            <w:vAlign w:val="center"/>
            <w:tcMar>
              <w:top w:w="28" w:type="dxa"/>
              <w:bottom w:w="28" w:type="dxa"/>
              <w:left w:w="57" w:type="dxa"/>
              <w:right w:w="57" w:type="dxa"/>
            </w:tcMar>
          </w:tcPr>
          <w:p>
            <w:pPr>
              <w:spacing w:before="0" w:after="0" w:line="240" w:lineRule="auto"/>
              <w:ind w:firstLine="0"/>
              <w:jc w:val="left"/>
            </w:pPr>
            <w:r/>
            <w:r>
              <w:rPr>
                <w:rFonts w:ascii="Times New Roman" w:hAnsi="Times New Roman"/>
                <w:b w:val="0"/>
                <w:color w:val="000000"/>
                <w:sz w:val="28"/>
              </w:rPr>
              <w:t>Стоимость лицензии (30 устр.)</w:t>
            </w:r>
          </w:p>
        </w:tc>
        <w:tc>
          <w:tcPr>
            <w:tcW w:type="dxa" w:w="1871"/>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0 руб.</w:t>
            </w:r>
          </w:p>
        </w:tc>
        <w:tc>
          <w:tcPr>
            <w:tcW w:type="dxa" w:w="1871"/>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от 500 тыс. руб.</w:t>
            </w:r>
          </w:p>
        </w:tc>
        <w:tc>
          <w:tcPr>
            <w:tcW w:type="dxa" w:w="1871"/>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от 200 тыс. руб.</w:t>
            </w:r>
          </w:p>
        </w:tc>
        <w:tc>
          <w:tcPr>
            <w:tcW w:type="dxa" w:w="1871"/>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от 80 тыс. руб.</w:t>
            </w:r>
          </w:p>
        </w:tc>
      </w:tr>
      <w:tr>
        <w:tc>
          <w:tcPr>
            <w:tcW w:type="dxa" w:w="1871"/>
            <w:vAlign w:val="center"/>
            <w:tcMar>
              <w:top w:w="28" w:type="dxa"/>
              <w:bottom w:w="28" w:type="dxa"/>
              <w:left w:w="57" w:type="dxa"/>
              <w:right w:w="57" w:type="dxa"/>
            </w:tcMar>
          </w:tcPr>
          <w:p>
            <w:pPr>
              <w:spacing w:before="0" w:after="0" w:line="240" w:lineRule="auto"/>
              <w:ind w:firstLine="0"/>
              <w:jc w:val="left"/>
            </w:pPr>
            <w:r/>
            <w:r>
              <w:rPr>
                <w:rFonts w:ascii="Times New Roman" w:hAnsi="Times New Roman"/>
                <w:b w:val="0"/>
                <w:color w:val="000000"/>
                <w:sz w:val="28"/>
              </w:rPr>
              <w:t>TCO за 5 лет (30 устр.)</w:t>
            </w:r>
          </w:p>
        </w:tc>
        <w:tc>
          <w:tcPr>
            <w:tcW w:type="dxa" w:w="1871"/>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4 045 тыс. руб.</w:t>
            </w:r>
          </w:p>
        </w:tc>
        <w:tc>
          <w:tcPr>
            <w:tcW w:type="dxa" w:w="1871"/>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4 150 тыс. руб.</w:t>
            </w:r>
          </w:p>
        </w:tc>
        <w:tc>
          <w:tcPr>
            <w:tcW w:type="dxa" w:w="1871"/>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3 150 тыс. руб.</w:t>
            </w:r>
          </w:p>
        </w:tc>
        <w:tc>
          <w:tcPr>
            <w:tcW w:type="dxa" w:w="1871"/>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2 800 тыс. руб.</w:t>
            </w:r>
          </w:p>
        </w:tc>
      </w:tr>
      <w:tr>
        <w:tc>
          <w:tcPr>
            <w:tcW w:type="dxa" w:w="1871"/>
            <w:vAlign w:val="center"/>
            <w:tcMar>
              <w:top w:w="28" w:type="dxa"/>
              <w:bottom w:w="28" w:type="dxa"/>
              <w:left w:w="57" w:type="dxa"/>
              <w:right w:w="57" w:type="dxa"/>
            </w:tcMar>
          </w:tcPr>
          <w:p>
            <w:pPr>
              <w:spacing w:before="0" w:after="0" w:line="240" w:lineRule="auto"/>
              <w:ind w:firstLine="0"/>
              <w:jc w:val="left"/>
            </w:pPr>
            <w:r/>
            <w:r>
              <w:rPr>
                <w:rFonts w:ascii="Times New Roman" w:hAnsi="Times New Roman"/>
                <w:b w:val="0"/>
                <w:color w:val="000000"/>
                <w:sz w:val="28"/>
              </w:rPr>
              <w:t>Протоколы</w:t>
            </w:r>
          </w:p>
        </w:tc>
        <w:tc>
          <w:tcPr>
            <w:tcW w:type="dxa" w:w="1871"/>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IEC 104</w:t>
            </w:r>
          </w:p>
        </w:tc>
        <w:tc>
          <w:tcPr>
            <w:tcW w:type="dxa" w:w="1871"/>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IEC 104, 61850, OPC UA, Modbus</w:t>
            </w:r>
          </w:p>
        </w:tc>
        <w:tc>
          <w:tcPr>
            <w:tcW w:type="dxa" w:w="1871"/>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IEC 104, Modbus, OPC UA</w:t>
            </w:r>
          </w:p>
        </w:tc>
        <w:tc>
          <w:tcPr>
            <w:tcW w:type="dxa" w:w="1871"/>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IEC 104, Modbus</w:t>
            </w:r>
          </w:p>
        </w:tc>
      </w:tr>
      <w:tr>
        <w:tc>
          <w:tcPr>
            <w:tcW w:type="dxa" w:w="1871"/>
            <w:vAlign w:val="center"/>
            <w:tcMar>
              <w:top w:w="28" w:type="dxa"/>
              <w:bottom w:w="28" w:type="dxa"/>
              <w:left w:w="57" w:type="dxa"/>
              <w:right w:w="57" w:type="dxa"/>
            </w:tcMar>
          </w:tcPr>
          <w:p>
            <w:pPr>
              <w:spacing w:before="0" w:after="0" w:line="240" w:lineRule="auto"/>
              <w:ind w:firstLine="0"/>
              <w:jc w:val="left"/>
            </w:pPr>
            <w:r/>
            <w:r>
              <w:rPr>
                <w:rFonts w:ascii="Times New Roman" w:hAnsi="Times New Roman"/>
                <w:b w:val="0"/>
                <w:color w:val="000000"/>
                <w:sz w:val="28"/>
              </w:rPr>
              <w:t>Масштабируемость (макс. устр.)</w:t>
            </w:r>
          </w:p>
        </w:tc>
        <w:tc>
          <w:tcPr>
            <w:tcW w:type="dxa" w:w="1871"/>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100*</w:t>
            </w:r>
          </w:p>
        </w:tc>
        <w:tc>
          <w:tcPr>
            <w:tcW w:type="dxa" w:w="1871"/>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256 000</w:t>
            </w:r>
          </w:p>
        </w:tc>
        <w:tc>
          <w:tcPr>
            <w:tcW w:type="dxa" w:w="1871"/>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500 000</w:t>
            </w:r>
          </w:p>
        </w:tc>
        <w:tc>
          <w:tcPr>
            <w:tcW w:type="dxa" w:w="1871"/>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100 000</w:t>
            </w:r>
          </w:p>
        </w:tc>
      </w:tr>
      <w:tr>
        <w:tc>
          <w:tcPr>
            <w:tcW w:type="dxa" w:w="1871"/>
            <w:vAlign w:val="center"/>
            <w:tcMar>
              <w:top w:w="28" w:type="dxa"/>
              <w:bottom w:w="28" w:type="dxa"/>
              <w:left w:w="57" w:type="dxa"/>
              <w:right w:w="57" w:type="dxa"/>
            </w:tcMar>
          </w:tcPr>
          <w:p>
            <w:pPr>
              <w:spacing w:before="0" w:after="0" w:line="240" w:lineRule="auto"/>
              <w:ind w:firstLine="0"/>
              <w:jc w:val="left"/>
            </w:pPr>
            <w:r/>
            <w:r>
              <w:rPr>
                <w:rFonts w:ascii="Times New Roman" w:hAnsi="Times New Roman"/>
                <w:b w:val="0"/>
                <w:color w:val="000000"/>
                <w:sz w:val="28"/>
              </w:rPr>
              <w:t>Задержка обработки (мс)</w:t>
            </w:r>
          </w:p>
        </w:tc>
        <w:tc>
          <w:tcPr>
            <w:tcW w:type="dxa" w:w="1871"/>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15–40</w:t>
            </w:r>
          </w:p>
        </w:tc>
        <w:tc>
          <w:tcPr>
            <w:tcW w:type="dxa" w:w="1871"/>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20–50</w:t>
            </w:r>
          </w:p>
        </w:tc>
        <w:tc>
          <w:tcPr>
            <w:tcW w:type="dxa" w:w="1871"/>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25–60</w:t>
            </w:r>
          </w:p>
        </w:tc>
        <w:tc>
          <w:tcPr>
            <w:tcW w:type="dxa" w:w="1871"/>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30–80</w:t>
            </w:r>
          </w:p>
        </w:tc>
      </w:tr>
      <w:tr>
        <w:tc>
          <w:tcPr>
            <w:tcW w:type="dxa" w:w="1871"/>
            <w:vAlign w:val="center"/>
            <w:tcMar>
              <w:top w:w="28" w:type="dxa"/>
              <w:bottom w:w="28" w:type="dxa"/>
              <w:left w:w="57" w:type="dxa"/>
              <w:right w:w="57" w:type="dxa"/>
            </w:tcMar>
          </w:tcPr>
          <w:p>
            <w:pPr>
              <w:spacing w:before="0" w:after="0" w:line="240" w:lineRule="auto"/>
              <w:ind w:firstLine="0"/>
              <w:jc w:val="left"/>
            </w:pPr>
            <w:r/>
            <w:r>
              <w:rPr>
                <w:rFonts w:ascii="Times New Roman" w:hAnsi="Times New Roman"/>
                <w:b w:val="0"/>
                <w:color w:val="000000"/>
                <w:sz w:val="28"/>
              </w:rPr>
              <w:t>Задержка отображения (мс)</w:t>
            </w:r>
          </w:p>
        </w:tc>
        <w:tc>
          <w:tcPr>
            <w:tcW w:type="dxa" w:w="1871"/>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120–300</w:t>
            </w:r>
          </w:p>
        </w:tc>
        <w:tc>
          <w:tcPr>
            <w:tcW w:type="dxa" w:w="1871"/>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200–500</w:t>
            </w:r>
          </w:p>
        </w:tc>
        <w:tc>
          <w:tcPr>
            <w:tcW w:type="dxa" w:w="1871"/>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150–400</w:t>
            </w:r>
          </w:p>
        </w:tc>
        <w:tc>
          <w:tcPr>
            <w:tcW w:type="dxa" w:w="1871"/>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300–800</w:t>
            </w:r>
          </w:p>
        </w:tc>
      </w:tr>
      <w:tr>
        <w:tc>
          <w:tcPr>
            <w:tcW w:type="dxa" w:w="1871"/>
            <w:vAlign w:val="center"/>
            <w:tcMar>
              <w:top w:w="28" w:type="dxa"/>
              <w:bottom w:w="28" w:type="dxa"/>
              <w:left w:w="57" w:type="dxa"/>
              <w:right w:w="57" w:type="dxa"/>
            </w:tcMar>
          </w:tcPr>
          <w:p>
            <w:pPr>
              <w:spacing w:before="0" w:after="0" w:line="240" w:lineRule="auto"/>
              <w:ind w:firstLine="0"/>
              <w:jc w:val="left"/>
            </w:pPr>
            <w:r/>
            <w:r>
              <w:rPr>
                <w:rFonts w:ascii="Times New Roman" w:hAnsi="Times New Roman"/>
                <w:b w:val="0"/>
                <w:color w:val="000000"/>
                <w:sz w:val="28"/>
              </w:rPr>
              <w:t>Веб-интерфейс (WebSocket)</w:t>
            </w:r>
          </w:p>
        </w:tc>
        <w:tc>
          <w:tcPr>
            <w:tcW w:type="dxa" w:w="1871"/>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Да (встроенный)</w:t>
            </w:r>
          </w:p>
        </w:tc>
        <w:tc>
          <w:tcPr>
            <w:tcW w:type="dxa" w:w="1871"/>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Доп. модуль</w:t>
            </w:r>
          </w:p>
        </w:tc>
        <w:tc>
          <w:tcPr>
            <w:tcW w:type="dxa" w:w="1871"/>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Да</w:t>
            </w:r>
          </w:p>
        </w:tc>
        <w:tc>
          <w:tcPr>
            <w:tcW w:type="dxa" w:w="1871"/>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Нет</w:t>
            </w:r>
          </w:p>
        </w:tc>
      </w:tr>
      <w:tr>
        <w:tc>
          <w:tcPr>
            <w:tcW w:type="dxa" w:w="1871"/>
            <w:vAlign w:val="center"/>
            <w:tcMar>
              <w:top w:w="28" w:type="dxa"/>
              <w:bottom w:w="28" w:type="dxa"/>
              <w:left w:w="57" w:type="dxa"/>
              <w:right w:w="57" w:type="dxa"/>
            </w:tcMar>
          </w:tcPr>
          <w:p>
            <w:pPr>
              <w:spacing w:before="0" w:after="0" w:line="240" w:lineRule="auto"/>
              <w:ind w:firstLine="0"/>
              <w:jc w:val="left"/>
            </w:pPr>
            <w:r/>
            <w:r>
              <w:rPr>
                <w:rFonts w:ascii="Times New Roman" w:hAnsi="Times New Roman"/>
                <w:b w:val="0"/>
                <w:color w:val="000000"/>
                <w:sz w:val="28"/>
              </w:rPr>
              <w:t>Работа на Linux</w:t>
            </w:r>
          </w:p>
        </w:tc>
        <w:tc>
          <w:tcPr>
            <w:tcW w:type="dxa" w:w="1871"/>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Да</w:t>
            </w:r>
          </w:p>
        </w:tc>
        <w:tc>
          <w:tcPr>
            <w:tcW w:type="dxa" w:w="1871"/>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Нет</w:t>
            </w:r>
          </w:p>
        </w:tc>
        <w:tc>
          <w:tcPr>
            <w:tcW w:type="dxa" w:w="1871"/>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Да</w:t>
            </w:r>
          </w:p>
        </w:tc>
        <w:tc>
          <w:tcPr>
            <w:tcW w:type="dxa" w:w="1871"/>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Да</w:t>
            </w:r>
          </w:p>
        </w:tc>
      </w:tr>
      <w:tr>
        <w:tc>
          <w:tcPr>
            <w:tcW w:type="dxa" w:w="1871"/>
            <w:vAlign w:val="center"/>
            <w:tcMar>
              <w:top w:w="28" w:type="dxa"/>
              <w:bottom w:w="28" w:type="dxa"/>
              <w:left w:w="57" w:type="dxa"/>
              <w:right w:w="57" w:type="dxa"/>
            </w:tcMar>
          </w:tcPr>
          <w:p>
            <w:pPr>
              <w:spacing w:before="0" w:after="0" w:line="240" w:lineRule="auto"/>
              <w:ind w:firstLine="0"/>
              <w:jc w:val="left"/>
            </w:pPr>
            <w:r/>
            <w:r>
              <w:rPr>
                <w:rFonts w:ascii="Times New Roman" w:hAnsi="Times New Roman"/>
                <w:b w:val="0"/>
                <w:color w:val="000000"/>
                <w:sz w:val="28"/>
              </w:rPr>
              <w:t>Открытый исходный код</w:t>
            </w:r>
          </w:p>
        </w:tc>
        <w:tc>
          <w:tcPr>
            <w:tcW w:type="dxa" w:w="1871"/>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Да</w:t>
            </w:r>
          </w:p>
        </w:tc>
        <w:tc>
          <w:tcPr>
            <w:tcW w:type="dxa" w:w="1871"/>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Нет</w:t>
            </w:r>
          </w:p>
        </w:tc>
        <w:tc>
          <w:tcPr>
            <w:tcW w:type="dxa" w:w="1871"/>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Нет</w:t>
            </w:r>
          </w:p>
        </w:tc>
        <w:tc>
          <w:tcPr>
            <w:tcW w:type="dxa" w:w="1871"/>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Нет</w:t>
            </w:r>
          </w:p>
        </w:tc>
      </w:tr>
      <w:tr>
        <w:tc>
          <w:tcPr>
            <w:tcW w:type="dxa" w:w="1871"/>
            <w:vAlign w:val="center"/>
            <w:tcMar>
              <w:top w:w="28" w:type="dxa"/>
              <w:bottom w:w="28" w:type="dxa"/>
              <w:left w:w="57" w:type="dxa"/>
              <w:right w:w="57" w:type="dxa"/>
            </w:tcMar>
          </w:tcPr>
          <w:p>
            <w:pPr>
              <w:spacing w:before="0" w:after="0" w:line="240" w:lineRule="auto"/>
              <w:ind w:firstLine="0"/>
              <w:jc w:val="left"/>
            </w:pPr>
            <w:r/>
            <w:r>
              <w:rPr>
                <w:rFonts w:ascii="Times New Roman" w:hAnsi="Times New Roman"/>
                <w:b w:val="0"/>
                <w:color w:val="000000"/>
                <w:sz w:val="28"/>
              </w:rPr>
              <w:t>Мобильный доступ</w:t>
            </w:r>
          </w:p>
        </w:tc>
        <w:tc>
          <w:tcPr>
            <w:tcW w:type="dxa" w:w="1871"/>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Да (адаптивный)</w:t>
            </w:r>
          </w:p>
        </w:tc>
        <w:tc>
          <w:tcPr>
            <w:tcW w:type="dxa" w:w="1871"/>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Доп. модуль</w:t>
            </w:r>
          </w:p>
        </w:tc>
        <w:tc>
          <w:tcPr>
            <w:tcW w:type="dxa" w:w="1871"/>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Да</w:t>
            </w:r>
          </w:p>
        </w:tc>
        <w:tc>
          <w:tcPr>
            <w:tcW w:type="dxa" w:w="1871"/>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Нет</w:t>
            </w:r>
          </w:p>
        </w:tc>
      </w:tr>
      <w:tr>
        <w:tc>
          <w:tcPr>
            <w:tcW w:type="dxa" w:w="1871"/>
            <w:vAlign w:val="center"/>
            <w:tcMar>
              <w:top w:w="28" w:type="dxa"/>
              <w:bottom w:w="28" w:type="dxa"/>
              <w:left w:w="57" w:type="dxa"/>
              <w:right w:w="57" w:type="dxa"/>
            </w:tcMar>
          </w:tcPr>
          <w:p>
            <w:pPr>
              <w:spacing w:before="0" w:after="0" w:line="240" w:lineRule="auto"/>
              <w:ind w:firstLine="0"/>
              <w:jc w:val="left"/>
            </w:pPr>
            <w:r/>
            <w:r>
              <w:rPr>
                <w:rFonts w:ascii="Times New Roman" w:hAnsi="Times New Roman"/>
                <w:b w:val="0"/>
                <w:color w:val="000000"/>
                <w:sz w:val="28"/>
              </w:rPr>
              <w:t>Горячее резервирование</w:t>
            </w:r>
          </w:p>
        </w:tc>
        <w:tc>
          <w:tcPr>
            <w:tcW w:type="dxa" w:w="1871"/>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Нет**</w:t>
            </w:r>
          </w:p>
        </w:tc>
        <w:tc>
          <w:tcPr>
            <w:tcW w:type="dxa" w:w="1871"/>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Да</w:t>
            </w:r>
          </w:p>
        </w:tc>
        <w:tc>
          <w:tcPr>
            <w:tcW w:type="dxa" w:w="1871"/>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Да</w:t>
            </w:r>
          </w:p>
        </w:tc>
        <w:tc>
          <w:tcPr>
            <w:tcW w:type="dxa" w:w="1871"/>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Частично</w:t>
            </w:r>
          </w:p>
        </w:tc>
      </w:tr>
      <w:tr>
        <w:tc>
          <w:tcPr>
            <w:tcW w:type="dxa" w:w="1871"/>
            <w:vAlign w:val="center"/>
            <w:tcMar>
              <w:top w:w="28" w:type="dxa"/>
              <w:bottom w:w="28" w:type="dxa"/>
              <w:left w:w="57" w:type="dxa"/>
              <w:right w:w="57" w:type="dxa"/>
            </w:tcMar>
          </w:tcPr>
          <w:p>
            <w:pPr>
              <w:spacing w:before="0" w:after="0" w:line="240" w:lineRule="auto"/>
              <w:ind w:firstLine="0"/>
              <w:jc w:val="left"/>
            </w:pPr>
            <w:r/>
            <w:r>
              <w:rPr>
                <w:rFonts w:ascii="Times New Roman" w:hAnsi="Times New Roman"/>
                <w:b w:val="0"/>
                <w:color w:val="000000"/>
                <w:sz w:val="28"/>
              </w:rPr>
              <w:t>Реестр отечест. ПО</w:t>
            </w:r>
          </w:p>
        </w:tc>
        <w:tc>
          <w:tcPr>
            <w:tcW w:type="dxa" w:w="1871"/>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Нет***</w:t>
            </w:r>
          </w:p>
        </w:tc>
        <w:tc>
          <w:tcPr>
            <w:tcW w:type="dxa" w:w="1871"/>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Нет</w:t>
            </w:r>
          </w:p>
        </w:tc>
        <w:tc>
          <w:tcPr>
            <w:tcW w:type="dxa" w:w="1871"/>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Да</w:t>
            </w:r>
          </w:p>
        </w:tc>
        <w:tc>
          <w:tcPr>
            <w:tcW w:type="dxa" w:w="1871"/>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Да</w:t>
            </w:r>
          </w:p>
        </w:tc>
      </w:tr>
      <w:tr>
        <w:tc>
          <w:tcPr>
            <w:tcW w:type="dxa" w:w="1871"/>
            <w:vAlign w:val="center"/>
            <w:tcMar>
              <w:top w:w="28" w:type="dxa"/>
              <w:bottom w:w="28" w:type="dxa"/>
              <w:left w:w="57" w:type="dxa"/>
              <w:right w:w="57" w:type="dxa"/>
            </w:tcMar>
          </w:tcPr>
          <w:p>
            <w:pPr>
              <w:spacing w:before="0" w:after="0" w:line="240" w:lineRule="auto"/>
              <w:ind w:firstLine="0"/>
              <w:jc w:val="left"/>
            </w:pPr>
            <w:r/>
            <w:r>
              <w:rPr>
                <w:rFonts w:ascii="Times New Roman" w:hAnsi="Times New Roman"/>
                <w:b w:val="0"/>
                <w:color w:val="000000"/>
                <w:sz w:val="28"/>
              </w:rPr>
              <w:t>Техническая поддержка</w:t>
            </w:r>
          </w:p>
        </w:tc>
        <w:tc>
          <w:tcPr>
            <w:tcW w:type="dxa" w:w="1871"/>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Самостоят.</w:t>
            </w:r>
          </w:p>
        </w:tc>
        <w:tc>
          <w:tcPr>
            <w:tcW w:type="dxa" w:w="1871"/>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Ограничена****</w:t>
            </w:r>
          </w:p>
        </w:tc>
        <w:tc>
          <w:tcPr>
            <w:tcW w:type="dxa" w:w="1871"/>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Полная</w:t>
            </w:r>
          </w:p>
        </w:tc>
        <w:tc>
          <w:tcPr>
            <w:tcW w:type="dxa" w:w="1871"/>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Полная</w:t>
            </w:r>
          </w:p>
        </w:tc>
      </w:tr>
    </w:tbl>
    <w:p>
      <w:pPr>
        <w:spacing w:before="0" w:after="0" w:line="360" w:lineRule="auto"/>
        <w:ind w:firstLine="709"/>
        <w:jc w:val="both"/>
      </w:pPr>
      <w:r>
        <w:rPr>
          <w:rFonts w:ascii="Times New Roman" w:hAnsi="Times New Roman"/>
          <w:b w:val="0"/>
          <w:i w:val="0"/>
          <w:color w:val="000000"/>
          <w:sz w:val="28"/>
        </w:rPr>
        <w:t>Примечания к таблице 9: * — ограничение прототипа, при доработке масштабируется; ** — в прототипе не реализовано, предусмотрено архитектурой; *** — возможно включение после доработки до промышленного уровня; **** — техническая поддержка Siemens ограничена в связи с санкционным режимом.</w:t>
      </w:r>
    </w:p>
    <w:p>
      <w:pPr>
        <w:spacing w:before="0" w:after="0" w:line="360" w:lineRule="auto"/>
        <w:ind w:firstLine="709"/>
        <w:jc w:val="both"/>
      </w:pPr>
      <w:r>
        <w:rPr>
          <w:rFonts w:ascii="Times New Roman" w:hAnsi="Times New Roman"/>
          <w:b w:val="0"/>
          <w:i w:val="0"/>
          <w:color w:val="000000"/>
          <w:sz w:val="28"/>
        </w:rPr>
        <w:t>Сравнительный анализ показывает, что по ключевому для задачи мониторинга ВЛ показателю — задержке обработки данных — прототип SmartGrid Line демонстрирует лучшие результаты: 15–40 мс против 20–50 мс у WinCC и 25–60 мс у MasterSCADA. Задержка отображения данных в веб-интерфейсе составляет 120–300 мс, что в 1,3–2,7 раза быстрее конкурентов за счёт прямого WebSocket-канала без промежуточных шлюзов. При этом стоимость лицензии равна нулю, а TCO за 5 лет для типовой инсталляции на 30 устройств составляет 4 045 тыс. руб. — сопоставимо с WinCC (4 150 тыс. руб.) и MasterSCADA (3 150 тыс. руб.) [10].</w:t>
      </w:r>
    </w:p>
    <w:p>
      <w:pPr>
        <w:spacing w:before="0" w:after="0" w:line="360" w:lineRule="auto"/>
        <w:ind w:firstLine="709"/>
        <w:jc w:val="both"/>
      </w:pPr>
      <w:r>
        <w:rPr>
          <w:rFonts w:ascii="Times New Roman" w:hAnsi="Times New Roman"/>
          <w:b w:val="0"/>
          <w:i w:val="0"/>
          <w:color w:val="000000"/>
          <w:sz w:val="28"/>
        </w:rPr>
        <w:t>Открытый исходный код позволяет адаптировать систему под конкретные требования заказчика без зависимости от вендора. Кроссплатформенность (работа на Linux) соответствует требованиям импортозамещения операционных систем. Встроенный веб-интерфейс с поддержкой WebSocket обеспечивает мониторинг в реальном времени без необходимости установки дополнительных модулей.</w:t>
      </w:r>
    </w:p>
    <w:p>
      <w:pPr>
        <w:spacing w:before="0" w:after="0" w:line="360" w:lineRule="auto"/>
        <w:ind w:firstLine="709"/>
        <w:jc w:val="both"/>
      </w:pPr>
      <w:r>
        <w:rPr>
          <w:rFonts w:ascii="Times New Roman" w:hAnsi="Times New Roman"/>
          <w:b w:val="0"/>
          <w:i w:val="0"/>
          <w:color w:val="000000"/>
          <w:sz w:val="28"/>
        </w:rPr>
        <w:t>Вместе с тем, прототип имеет объективные ограничения: масштабируемость ограничена 100 устройствами (SQLite не предназначена для высоконагруженных систем, переход на PostgreSQL увеличит предел до 10 000+ устройств); отсутствует горячее резервирование (реализуемо на этапе промышленной доработки); нет сертификации и включения в реестр отечественного ПО. Также прототип поддерживает только протокол МЭК 60870-5-104, тогда как WinCC поддерживает 4+ протокола, что ограничивает интеграцию с разнородным оборудованием [11].</w:t>
      </w:r>
    </w:p>
    <w:p>
      <w:pPr>
        <w:spacing w:before="0" w:after="0" w:line="360" w:lineRule="auto"/>
        <w:ind w:firstLine="709"/>
        <w:jc w:val="both"/>
      </w:pPr>
      <w:r>
        <w:rPr>
          <w:rFonts w:ascii="Times New Roman" w:hAnsi="Times New Roman"/>
          <w:b w:val="0"/>
          <w:i w:val="0"/>
          <w:color w:val="000000"/>
          <w:sz w:val="28"/>
        </w:rPr>
        <w:t>Для более детального сравнения разработанного прототипа с коммерческими решениями рассмотрим ряд дополнительных критериев.</w:t>
      </w:r>
    </w:p>
    <w:p>
      <w:pPr>
        <w:spacing w:before="0" w:after="0" w:line="360" w:lineRule="auto"/>
        <w:ind w:firstLine="709"/>
        <w:jc w:val="both"/>
      </w:pPr>
      <w:r>
        <w:rPr>
          <w:rFonts w:ascii="Times New Roman" w:hAnsi="Times New Roman"/>
          <w:b w:val="0"/>
          <w:i w:val="0"/>
          <w:color w:val="000000"/>
          <w:sz w:val="28"/>
        </w:rPr>
        <w:t>С точки зрения технологического стека, прототип SmartGrid Line использует современные веб-технологии (Python, Flask, WebSocket, HTML5/JavaScript), что обеспечивает лёгкость развёртывания и обслуживания. В отличие от WinCC, требующего установки специализированного клиентского ПО и работающего исключительно на Windows, прототип доступен через любой современный веб-браузер на любой операционной системе. MasterSCADA 4D также поддерживает веб-доступ, однако для полноценной работы требует установки серверной части на выделенный компьютер с лицензией.</w:t>
      </w:r>
    </w:p>
    <w:p>
      <w:pPr>
        <w:spacing w:before="0" w:after="0" w:line="360" w:lineRule="auto"/>
        <w:ind w:firstLine="709"/>
        <w:jc w:val="both"/>
      </w:pPr>
      <w:r>
        <w:rPr>
          <w:rFonts w:ascii="Times New Roman" w:hAnsi="Times New Roman"/>
          <w:b w:val="0"/>
          <w:i w:val="0"/>
          <w:color w:val="000000"/>
          <w:sz w:val="28"/>
        </w:rPr>
        <w:t>С точки зрения стоимости владения (TCO, Total Cost of Ownership) на горизонте 5 лет, прототип SmartGrid Line имеет существенное преимущество. Для типовой инсталляции на 30 устройств: TCO SmartGrid Line = 1 645 тыс. руб. (единовременно) + 480 тыс. руб./год × 5 = 4 045 тыс. руб.; TCO MasterSCADA = 200 тыс. руб. (лицензия) + 850 тыс. руб. (оборудование) + 600 тыс. руб. (пусконаладка) + 300 тыс. руб./год × 5 = 3 150 тыс. руб.; TCO WinCC = 500 тыс. руб. (лицензия) + 850 тыс. руб. (оборудование) + 800 тыс. руб. (пусконаладка) + 400 тыс. руб./год × 5 = 4 150 тыс. руб. Таким образом, TCO прототипа сопоставим с MasterSCADA и WinCC, однако при масштабировании (увеличении числа лицензий) преимущество открытого решения возрастает.</w:t>
      </w:r>
    </w:p>
    <w:p>
      <w:pPr>
        <w:spacing w:before="0" w:after="0" w:line="360" w:lineRule="auto"/>
        <w:ind w:firstLine="709"/>
        <w:jc w:val="both"/>
      </w:pPr>
      <w:r>
        <w:rPr>
          <w:rFonts w:ascii="Times New Roman" w:hAnsi="Times New Roman"/>
          <w:b w:val="0"/>
          <w:i w:val="0"/>
          <w:color w:val="000000"/>
          <w:sz w:val="28"/>
        </w:rPr>
        <w:t>Важным преимуществом прототипа является возможность полной кастомизации системы под конкретные требования заказчика без обращения к разработчику. Открытый исходный код на Python позволяет специалистам электросетевой компании самостоятельно добавлять новые функции, модифицировать алгоритмы обработки данных и интегрировать систему с другими информационными системами предприятия (ERP, BI, ГИС). В случае коммерческих SCADA-систем подобные модификации требуют обращения к разработчику или приобретения дополнительных модулей.</w:t>
      </w:r>
    </w:p>
    <w:p>
      <w:pPr>
        <w:spacing w:before="120" w:after="0"/>
        <w:ind w:firstLine="0"/>
        <w:jc w:val="center"/>
      </w:pPr>
      <w:r>
        <w:drawing>
          <wp:inline xmlns:a="http://schemas.openxmlformats.org/drawingml/2006/main" xmlns:pic="http://schemas.openxmlformats.org/drawingml/2006/picture">
            <wp:extent cx="5400000" cy="2284615"/>
            <wp:docPr id="5" name="Picture 5"/>
            <wp:cNvGraphicFramePr>
              <a:graphicFrameLocks noChangeAspect="1"/>
            </wp:cNvGraphicFramePr>
            <a:graphic>
              <a:graphicData uri="http://schemas.openxmlformats.org/drawingml/2006/picture">
                <pic:pic>
                  <pic:nvPicPr>
                    <pic:cNvPr id="0" name="fig5_comparison.png"/>
                    <pic:cNvPicPr/>
                  </pic:nvPicPr>
                  <pic:blipFill>
                    <a:blip r:embed="rId14"/>
                    <a:stretch>
                      <a:fillRect/>
                    </a:stretch>
                  </pic:blipFill>
                  <pic:spPr>
                    <a:xfrm>
                      <a:off x="0" y="0"/>
                      <a:ext cx="5400000" cy="2284615"/>
                    </a:xfrm>
                    <a:prstGeom prst="rect"/>
                  </pic:spPr>
                </pic:pic>
              </a:graphicData>
            </a:graphic>
          </wp:inline>
        </w:drawing>
      </w:r>
    </w:p>
    <w:p>
      <w:pPr>
        <w:spacing w:before="120" w:after="240" w:line="360" w:lineRule="auto"/>
        <w:ind w:firstLine="0"/>
        <w:jc w:val="center"/>
      </w:pPr>
      <w:r>
        <w:rPr>
          <w:rFonts w:ascii="Times New Roman" w:hAnsi="Times New Roman"/>
          <w:color w:val="000000"/>
          <w:sz w:val="28"/>
        </w:rPr>
        <w:t>Рисунок 5 – Сравнение задержек обработки и совокупной стоимости владения SCADA-систем</w:t>
      </w:r>
    </w:p>
    <w:p>
      <w:bookmarkStart w:id="58" w:name="_bm_section_4_4"/>
      <w:pPr>
        <w:spacing w:before="240" w:after="120" w:line="360" w:lineRule="auto"/>
        <w:ind w:firstLine="709"/>
        <w:jc w:val="both"/>
        <w:outlineLvl w:val="1"/>
      </w:pPr>
      <w:r>
        <w:rPr>
          <w:rFonts w:ascii="Times New Roman" w:hAnsi="Times New Roman"/>
          <w:b/>
          <w:color w:val="000000"/>
          <w:sz w:val="28"/>
        </w:rPr>
        <w:t>4.4 Учёт рыночных тенденций и перспектив промышленного внедрения системы</w:t>
      </w:r>
      <w:bookmarkEnd w:id="58"/>
    </w:p>
    <w:p>
      <w:pPr>
        <w:spacing w:before="0" w:after="0" w:line="360" w:lineRule="auto"/>
        <w:ind w:firstLine="709"/>
        <w:jc w:val="both"/>
      </w:pPr>
      <w:r>
        <w:rPr>
          <w:rFonts w:ascii="Times New Roman" w:hAnsi="Times New Roman"/>
          <w:b w:val="0"/>
          <w:i w:val="0"/>
          <w:color w:val="000000"/>
          <w:sz w:val="28"/>
        </w:rPr>
        <w:t>Анализ рыночных тенденций в области автоматизации распределительных электрических сетей позволяет оценить перспективы коммерциализации разработанного решения и определить его целевую нишу [12].</w:t>
      </w:r>
    </w:p>
    <w:p>
      <w:pPr>
        <w:spacing w:before="0" w:after="0" w:line="360" w:lineRule="auto"/>
        <w:ind w:firstLine="709"/>
        <w:jc w:val="both"/>
      </w:pPr>
      <w:r>
        <w:rPr>
          <w:rFonts w:ascii="Times New Roman" w:hAnsi="Times New Roman"/>
          <w:b w:val="0"/>
          <w:i w:val="0"/>
          <w:color w:val="000000"/>
          <w:sz w:val="28"/>
        </w:rPr>
        <w:t>Российский рынок систем автоматизации электросетей характеризуется следующими ключевыми тенденциями:</w:t>
      </w:r>
    </w:p>
    <w:p>
      <w:pPr>
        <w:spacing w:before="0" w:after="0" w:line="360" w:lineRule="auto"/>
        <w:ind w:firstLine="709"/>
        <w:jc w:val="both"/>
      </w:pPr>
      <w:r>
        <w:rPr>
          <w:rFonts w:ascii="Times New Roman" w:hAnsi="Times New Roman"/>
          <w:b w:val="0"/>
          <w:i w:val="0"/>
          <w:color w:val="000000"/>
          <w:sz w:val="28"/>
        </w:rPr>
        <w:t xml:space="preserve">Импортозамещение. </w:t>
      </w:r>
      <w:r>
        <w:rPr>
          <w:rFonts w:ascii="Times New Roman" w:hAnsi="Times New Roman"/>
          <w:b w:val="0"/>
          <w:i w:val="0"/>
          <w:color w:val="000000"/>
          <w:sz w:val="28"/>
        </w:rPr>
        <w:t>в условиях ограничения поставок зарубежного оборудования и программного обеспечения электросетевые компании активно ищут отечественные аналоги SCADA-систем. По данным ПАО «Россети», доля импортного ПО в АСУ ТП подстанций составляет около 60%, и к 2027 году планируется снизить этот показатель до 20%. Это создаёт значительный спрос на отечественные разработки, включая решения с открытым исходным кодом;</w:t>
      </w:r>
    </w:p>
    <w:p>
      <w:pPr>
        <w:spacing w:before="0" w:after="0" w:line="360" w:lineRule="auto"/>
        <w:ind w:firstLine="709"/>
        <w:jc w:val="both"/>
      </w:pPr>
      <w:r>
        <w:rPr>
          <w:rFonts w:ascii="Times New Roman" w:hAnsi="Times New Roman"/>
          <w:b w:val="0"/>
          <w:i w:val="0"/>
          <w:color w:val="000000"/>
          <w:sz w:val="28"/>
        </w:rPr>
        <w:t xml:space="preserve">Цифровая трансформация. </w:t>
      </w:r>
      <w:r>
        <w:rPr>
          <w:rFonts w:ascii="Times New Roman" w:hAnsi="Times New Roman"/>
          <w:b w:val="0"/>
          <w:i w:val="0"/>
          <w:color w:val="000000"/>
          <w:sz w:val="28"/>
        </w:rPr>
        <w:t>программа цифровой трансформации электросетевого комплекса предусматривает оснащение средствами телемеханики 100% питающих центров и не менее 50% распределительных линий 6–10 кВ к 2030 году. При текущем уровне автоматизации ВЛ 6–10 кВ около 15–20% это означает необходимость оснащения более 200 000 км линий, что формирует рынок объёмом десятки миллиардов рублей;</w:t>
      </w:r>
    </w:p>
    <w:p>
      <w:pPr>
        <w:spacing w:before="0" w:after="0" w:line="360" w:lineRule="auto"/>
        <w:ind w:firstLine="709"/>
        <w:jc w:val="both"/>
      </w:pPr>
      <w:r>
        <w:rPr>
          <w:rFonts w:ascii="Times New Roman" w:hAnsi="Times New Roman"/>
          <w:b w:val="0"/>
          <w:i w:val="0"/>
          <w:color w:val="000000"/>
          <w:sz w:val="28"/>
        </w:rPr>
        <w:t xml:space="preserve">Переход к открытым стандартам. </w:t>
      </w:r>
      <w:r>
        <w:rPr>
          <w:rFonts w:ascii="Times New Roman" w:hAnsi="Times New Roman"/>
          <w:b w:val="0"/>
          <w:i w:val="0"/>
          <w:color w:val="000000"/>
          <w:sz w:val="28"/>
        </w:rPr>
        <w:t>отрасль движется от проприетарных протоколов к открытым стандартам (МЭК 61850, МЭК 60870-5-104, OPC UA), что снижает барьеры входа для новых разработчиков и повышает интероперабельность систем;</w:t>
      </w:r>
    </w:p>
    <w:p>
      <w:pPr>
        <w:spacing w:before="0" w:after="0" w:line="360" w:lineRule="auto"/>
        <w:ind w:firstLine="709"/>
        <w:jc w:val="both"/>
      </w:pPr>
      <w:r>
        <w:rPr>
          <w:rFonts w:ascii="Times New Roman" w:hAnsi="Times New Roman"/>
          <w:b w:val="0"/>
          <w:i w:val="0"/>
          <w:color w:val="000000"/>
          <w:sz w:val="28"/>
        </w:rPr>
        <w:t xml:space="preserve">Облачные технологии и IIoT. </w:t>
      </w:r>
      <w:r>
        <w:rPr>
          <w:rFonts w:ascii="Times New Roman" w:hAnsi="Times New Roman"/>
          <w:b w:val="0"/>
          <w:i w:val="0"/>
          <w:color w:val="000000"/>
          <w:sz w:val="28"/>
        </w:rPr>
        <w:t>появление платформ промышленного Интернета вещей и облачных SCADA-систем открывает новые возможности для мониторинга территориально распределённых объектов при минимальных затратах на инфраструктуру.</w:t>
      </w:r>
    </w:p>
    <w:p>
      <w:pPr>
        <w:spacing w:before="0" w:after="0" w:line="360" w:lineRule="auto"/>
        <w:ind w:firstLine="709"/>
        <w:jc w:val="both"/>
      </w:pPr>
      <w:r>
        <w:rPr>
          <w:rFonts w:ascii="Times New Roman" w:hAnsi="Times New Roman"/>
          <w:b w:val="0"/>
          <w:i w:val="0"/>
          <w:color w:val="000000"/>
          <w:sz w:val="28"/>
        </w:rPr>
        <w:t>Экономическая оценка внедрения разработанного решения выполнена для типового сценария: оснащение системой мониторинга 10 участков ВЛ 10 кВ (30 реклоузеров) в одном районе электрических сетей. Расчёт экономического эффекта представлен в таблице 9.</w:t>
      </w:r>
    </w:p>
    <w:p>
      <w:pPr>
        <w:spacing w:before="240" w:after="120" w:line="360" w:lineRule="auto"/>
        <w:ind w:firstLine="0"/>
        <w:jc w:val="left"/>
      </w:pPr>
      <w:r>
        <w:rPr>
          <w:rFonts w:ascii="Times New Roman" w:hAnsi="Times New Roman"/>
          <w:color w:val="000000"/>
          <w:sz w:val="28"/>
        </w:rPr>
        <w:t>Таблица 11 – Экономическая оценка внедрения системы мониторинга</w:t>
      </w:r>
    </w:p>
    <w:tbl>
      <w:tblPr>
        <w:tblStyle w:val="TableGrid"/>
        <w:tblW w:type="auto" w:w="0"/>
        <w:tblLook w:firstColumn="1" w:firstRow="1" w:lastColumn="0" w:lastRow="0" w:noHBand="0" w:noVBand="1" w:val="04A0"/>
        <w:tblW w:type="pct" w:w="5000"/>
      </w:tblPr>
      <w:tblGrid>
        <w:gridCol w:w="4677"/>
        <w:gridCol w:w="4677"/>
      </w:tblGrid>
      <w:tr>
        <w:tc>
          <w:tcPr>
            <w:tcW w:type="dxa" w:w="4677"/>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Статья затрат/доходов</w:t>
            </w:r>
          </w:p>
        </w:tc>
        <w:tc>
          <w:tcPr>
            <w:tcW w:type="dxa" w:w="4677"/>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Значение, тыс. руб.</w:t>
            </w:r>
          </w:p>
        </w:tc>
      </w:tr>
      <w:tr>
        <w:tc>
          <w:tcPr>
            <w:tcW w:type="dxa" w:w="4677"/>
            <w:vAlign w:val="center"/>
            <w:tcMar>
              <w:top w:w="28" w:type="dxa"/>
              <w:bottom w:w="28" w:type="dxa"/>
              <w:left w:w="57" w:type="dxa"/>
              <w:right w:w="57" w:type="dxa"/>
            </w:tcMar>
          </w:tcPr>
          <w:p>
            <w:pPr>
              <w:spacing w:before="0" w:after="0" w:line="240" w:lineRule="auto"/>
              <w:ind w:firstLine="0"/>
              <w:jc w:val="left"/>
            </w:pPr>
            <w:r/>
            <w:r>
              <w:rPr>
                <w:rFonts w:ascii="Times New Roman" w:hAnsi="Times New Roman"/>
                <w:b w:val="0"/>
                <w:color w:val="000000"/>
                <w:sz w:val="28"/>
              </w:rPr>
              <w:t>Единовременные затраты:</w:t>
            </w:r>
          </w:p>
        </w:tc>
        <w:tc>
          <w:tcPr>
            <w:tcW w:type="dxa" w:w="4677"/>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r>
          </w:p>
        </w:tc>
      </w:tr>
      <w:tr>
        <w:tc>
          <w:tcPr>
            <w:tcW w:type="dxa" w:w="4677"/>
            <w:vAlign w:val="center"/>
            <w:tcMar>
              <w:top w:w="28" w:type="dxa"/>
              <w:bottom w:w="28" w:type="dxa"/>
              <w:left w:w="57" w:type="dxa"/>
              <w:right w:w="57" w:type="dxa"/>
            </w:tcMar>
          </w:tcPr>
          <w:p>
            <w:pPr>
              <w:spacing w:before="0" w:after="0" w:line="240" w:lineRule="auto"/>
              <w:ind w:firstLine="0"/>
              <w:jc w:val="left"/>
            </w:pPr>
            <w:r/>
            <w:r>
              <w:rPr>
                <w:rFonts w:ascii="Times New Roman" w:hAnsi="Times New Roman"/>
                <w:b w:val="0"/>
                <w:color w:val="000000"/>
                <w:sz w:val="28"/>
              </w:rPr>
              <w:t xml:space="preserve">  Серверное оборудование (основной + резервный)</w:t>
            </w:r>
          </w:p>
        </w:tc>
        <w:tc>
          <w:tcPr>
            <w:tcW w:type="dxa" w:w="4677"/>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850</w:t>
            </w:r>
          </w:p>
        </w:tc>
      </w:tr>
      <w:tr>
        <w:tc>
          <w:tcPr>
            <w:tcW w:type="dxa" w:w="4677"/>
            <w:vAlign w:val="center"/>
            <w:tcMar>
              <w:top w:w="28" w:type="dxa"/>
              <w:bottom w:w="28" w:type="dxa"/>
              <w:left w:w="57" w:type="dxa"/>
              <w:right w:w="57" w:type="dxa"/>
            </w:tcMar>
          </w:tcPr>
          <w:p>
            <w:pPr>
              <w:spacing w:before="0" w:after="0" w:line="240" w:lineRule="auto"/>
              <w:ind w:firstLine="0"/>
              <w:jc w:val="left"/>
            </w:pPr>
            <w:r/>
            <w:r>
              <w:rPr>
                <w:rFonts w:ascii="Times New Roman" w:hAnsi="Times New Roman"/>
                <w:b w:val="0"/>
                <w:color w:val="000000"/>
                <w:sz w:val="28"/>
              </w:rPr>
              <w:t xml:space="preserve">  Лицензии ПО (нет, открытый код)</w:t>
            </w:r>
          </w:p>
        </w:tc>
        <w:tc>
          <w:tcPr>
            <w:tcW w:type="dxa" w:w="4677"/>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0</w:t>
            </w:r>
          </w:p>
        </w:tc>
      </w:tr>
      <w:tr>
        <w:tc>
          <w:tcPr>
            <w:tcW w:type="dxa" w:w="4677"/>
            <w:vAlign w:val="center"/>
            <w:tcMar>
              <w:top w:w="28" w:type="dxa"/>
              <w:bottom w:w="28" w:type="dxa"/>
              <w:left w:w="57" w:type="dxa"/>
              <w:right w:w="57" w:type="dxa"/>
            </w:tcMar>
          </w:tcPr>
          <w:p>
            <w:pPr>
              <w:spacing w:before="0" w:after="0" w:line="240" w:lineRule="auto"/>
              <w:ind w:firstLine="0"/>
              <w:jc w:val="left"/>
            </w:pPr>
            <w:r/>
            <w:r>
              <w:rPr>
                <w:rFonts w:ascii="Times New Roman" w:hAnsi="Times New Roman"/>
                <w:b w:val="0"/>
                <w:color w:val="000000"/>
                <w:sz w:val="28"/>
              </w:rPr>
              <w:t xml:space="preserve">  Коммуникационное оборудование (30 SIM-карт)</w:t>
            </w:r>
          </w:p>
        </w:tc>
        <w:tc>
          <w:tcPr>
            <w:tcW w:type="dxa" w:w="4677"/>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45</w:t>
            </w:r>
          </w:p>
        </w:tc>
      </w:tr>
      <w:tr>
        <w:tc>
          <w:tcPr>
            <w:tcW w:type="dxa" w:w="4677"/>
            <w:vAlign w:val="center"/>
            <w:tcMar>
              <w:top w:w="28" w:type="dxa"/>
              <w:bottom w:w="28" w:type="dxa"/>
              <w:left w:w="57" w:type="dxa"/>
              <w:right w:w="57" w:type="dxa"/>
            </w:tcMar>
          </w:tcPr>
          <w:p>
            <w:pPr>
              <w:spacing w:before="0" w:after="0" w:line="240" w:lineRule="auto"/>
              <w:ind w:firstLine="0"/>
              <w:jc w:val="left"/>
            </w:pPr>
            <w:r/>
            <w:r>
              <w:rPr>
                <w:rFonts w:ascii="Times New Roman" w:hAnsi="Times New Roman"/>
                <w:b w:val="0"/>
                <w:color w:val="000000"/>
                <w:sz w:val="28"/>
              </w:rPr>
              <w:t xml:space="preserve">  Настройка и пусконаладка</w:t>
            </w:r>
          </w:p>
        </w:tc>
        <w:tc>
          <w:tcPr>
            <w:tcW w:type="dxa" w:w="4677"/>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600</w:t>
            </w:r>
          </w:p>
        </w:tc>
      </w:tr>
      <w:tr>
        <w:tc>
          <w:tcPr>
            <w:tcW w:type="dxa" w:w="4677"/>
            <w:vAlign w:val="center"/>
            <w:tcMar>
              <w:top w:w="28" w:type="dxa"/>
              <w:bottom w:w="28" w:type="dxa"/>
              <w:left w:w="57" w:type="dxa"/>
              <w:right w:w="57" w:type="dxa"/>
            </w:tcMar>
          </w:tcPr>
          <w:p>
            <w:pPr>
              <w:spacing w:before="0" w:after="0" w:line="240" w:lineRule="auto"/>
              <w:ind w:firstLine="0"/>
              <w:jc w:val="left"/>
            </w:pPr>
            <w:r/>
            <w:r>
              <w:rPr>
                <w:rFonts w:ascii="Times New Roman" w:hAnsi="Times New Roman"/>
                <w:b w:val="0"/>
                <w:color w:val="000000"/>
                <w:sz w:val="28"/>
              </w:rPr>
              <w:t xml:space="preserve">  Обучение персонала</w:t>
            </w:r>
          </w:p>
        </w:tc>
        <w:tc>
          <w:tcPr>
            <w:tcW w:type="dxa" w:w="4677"/>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150</w:t>
            </w:r>
          </w:p>
        </w:tc>
      </w:tr>
      <w:tr>
        <w:tc>
          <w:tcPr>
            <w:tcW w:type="dxa" w:w="4677"/>
            <w:vAlign w:val="center"/>
            <w:tcMar>
              <w:top w:w="28" w:type="dxa"/>
              <w:bottom w:w="28" w:type="dxa"/>
              <w:left w:w="57" w:type="dxa"/>
              <w:right w:w="57" w:type="dxa"/>
            </w:tcMar>
          </w:tcPr>
          <w:p>
            <w:pPr>
              <w:spacing w:before="0" w:after="0" w:line="240" w:lineRule="auto"/>
              <w:ind w:firstLine="0"/>
              <w:jc w:val="left"/>
            </w:pPr>
            <w:r/>
            <w:r>
              <w:rPr>
                <w:rFonts w:ascii="Times New Roman" w:hAnsi="Times New Roman"/>
                <w:b w:val="0"/>
                <w:color w:val="000000"/>
                <w:sz w:val="28"/>
              </w:rPr>
              <w:t xml:space="preserve">  Итого единовременные затраты</w:t>
            </w:r>
          </w:p>
        </w:tc>
        <w:tc>
          <w:tcPr>
            <w:tcW w:type="dxa" w:w="4677"/>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1 645</w:t>
            </w:r>
          </w:p>
        </w:tc>
      </w:tr>
      <w:tr>
        <w:tc>
          <w:tcPr>
            <w:tcW w:type="dxa" w:w="4677"/>
            <w:vAlign w:val="center"/>
            <w:tcMar>
              <w:top w:w="28" w:type="dxa"/>
              <w:bottom w:w="28" w:type="dxa"/>
              <w:left w:w="57" w:type="dxa"/>
              <w:right w:w="57" w:type="dxa"/>
            </w:tcMar>
          </w:tcPr>
          <w:p>
            <w:pPr>
              <w:spacing w:before="0" w:after="0" w:line="240" w:lineRule="auto"/>
              <w:ind w:firstLine="0"/>
              <w:jc w:val="left"/>
            </w:pPr>
            <w:r/>
            <w:r>
              <w:rPr>
                <w:rFonts w:ascii="Times New Roman" w:hAnsi="Times New Roman"/>
                <w:b w:val="0"/>
                <w:color w:val="000000"/>
                <w:sz w:val="28"/>
              </w:rPr>
              <w:t>Ежегодные затраты:</w:t>
            </w:r>
          </w:p>
        </w:tc>
        <w:tc>
          <w:tcPr>
            <w:tcW w:type="dxa" w:w="4677"/>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r>
          </w:p>
        </w:tc>
      </w:tr>
      <w:tr>
        <w:tc>
          <w:tcPr>
            <w:tcW w:type="dxa" w:w="4677"/>
            <w:vAlign w:val="center"/>
            <w:tcMar>
              <w:top w:w="28" w:type="dxa"/>
              <w:bottom w:w="28" w:type="dxa"/>
              <w:left w:w="57" w:type="dxa"/>
              <w:right w:w="57" w:type="dxa"/>
            </w:tcMar>
          </w:tcPr>
          <w:p>
            <w:pPr>
              <w:spacing w:before="0" w:after="0" w:line="240" w:lineRule="auto"/>
              <w:ind w:firstLine="0"/>
              <w:jc w:val="left"/>
            </w:pPr>
            <w:r/>
            <w:r>
              <w:rPr>
                <w:rFonts w:ascii="Times New Roman" w:hAnsi="Times New Roman"/>
                <w:b w:val="0"/>
                <w:color w:val="000000"/>
                <w:sz w:val="28"/>
              </w:rPr>
              <w:t xml:space="preserve">  Мобильная связь (30 SIM × 500 руб./мес.)</w:t>
            </w:r>
          </w:p>
        </w:tc>
        <w:tc>
          <w:tcPr>
            <w:tcW w:type="dxa" w:w="4677"/>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180</w:t>
            </w:r>
          </w:p>
        </w:tc>
      </w:tr>
      <w:tr>
        <w:tc>
          <w:tcPr>
            <w:tcW w:type="dxa" w:w="4677"/>
            <w:vAlign w:val="center"/>
            <w:tcMar>
              <w:top w:w="28" w:type="dxa"/>
              <w:bottom w:w="28" w:type="dxa"/>
              <w:left w:w="57" w:type="dxa"/>
              <w:right w:w="57" w:type="dxa"/>
            </w:tcMar>
          </w:tcPr>
          <w:p>
            <w:pPr>
              <w:spacing w:before="0" w:after="0" w:line="240" w:lineRule="auto"/>
              <w:ind w:firstLine="0"/>
              <w:jc w:val="left"/>
            </w:pPr>
            <w:r/>
            <w:r>
              <w:rPr>
                <w:rFonts w:ascii="Times New Roman" w:hAnsi="Times New Roman"/>
                <w:b w:val="0"/>
                <w:color w:val="000000"/>
                <w:sz w:val="28"/>
              </w:rPr>
              <w:t xml:space="preserve">  Техническая поддержка</w:t>
            </w:r>
          </w:p>
        </w:tc>
        <w:tc>
          <w:tcPr>
            <w:tcW w:type="dxa" w:w="4677"/>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300</w:t>
            </w:r>
          </w:p>
        </w:tc>
      </w:tr>
      <w:tr>
        <w:tc>
          <w:tcPr>
            <w:tcW w:type="dxa" w:w="4677"/>
            <w:vAlign w:val="center"/>
            <w:tcMar>
              <w:top w:w="28" w:type="dxa"/>
              <w:bottom w:w="28" w:type="dxa"/>
              <w:left w:w="57" w:type="dxa"/>
              <w:right w:w="57" w:type="dxa"/>
            </w:tcMar>
          </w:tcPr>
          <w:p>
            <w:pPr>
              <w:spacing w:before="0" w:after="0" w:line="240" w:lineRule="auto"/>
              <w:ind w:firstLine="0"/>
              <w:jc w:val="left"/>
            </w:pPr>
            <w:r/>
            <w:r>
              <w:rPr>
                <w:rFonts w:ascii="Times New Roman" w:hAnsi="Times New Roman"/>
                <w:b w:val="0"/>
                <w:color w:val="000000"/>
                <w:sz w:val="28"/>
              </w:rPr>
              <w:t xml:space="preserve">  Итого ежегодные затраты</w:t>
            </w:r>
          </w:p>
        </w:tc>
        <w:tc>
          <w:tcPr>
            <w:tcW w:type="dxa" w:w="4677"/>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480</w:t>
            </w:r>
          </w:p>
        </w:tc>
      </w:tr>
      <w:tr>
        <w:tc>
          <w:tcPr>
            <w:tcW w:type="dxa" w:w="4677"/>
            <w:vAlign w:val="center"/>
            <w:tcMar>
              <w:top w:w="28" w:type="dxa"/>
              <w:bottom w:w="28" w:type="dxa"/>
              <w:left w:w="57" w:type="dxa"/>
              <w:right w:w="57" w:type="dxa"/>
            </w:tcMar>
          </w:tcPr>
          <w:p>
            <w:pPr>
              <w:spacing w:before="0" w:after="0" w:line="240" w:lineRule="auto"/>
              <w:ind w:firstLine="0"/>
              <w:jc w:val="left"/>
            </w:pPr>
            <w:r/>
            <w:r>
              <w:rPr>
                <w:rFonts w:ascii="Times New Roman" w:hAnsi="Times New Roman"/>
                <w:b w:val="0"/>
                <w:color w:val="000000"/>
                <w:sz w:val="28"/>
              </w:rPr>
              <w:t>Ежегодный экономический эффект:</w:t>
            </w:r>
          </w:p>
        </w:tc>
        <w:tc>
          <w:tcPr>
            <w:tcW w:type="dxa" w:w="4677"/>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r>
          </w:p>
        </w:tc>
      </w:tr>
      <w:tr>
        <w:tc>
          <w:tcPr>
            <w:tcW w:type="dxa" w:w="4677"/>
            <w:vAlign w:val="center"/>
            <w:tcMar>
              <w:top w:w="28" w:type="dxa"/>
              <w:bottom w:w="28" w:type="dxa"/>
              <w:left w:w="57" w:type="dxa"/>
              <w:right w:w="57" w:type="dxa"/>
            </w:tcMar>
          </w:tcPr>
          <w:p>
            <w:pPr>
              <w:spacing w:before="0" w:after="0" w:line="240" w:lineRule="auto"/>
              <w:ind w:firstLine="0"/>
              <w:jc w:val="left"/>
            </w:pPr>
            <w:r/>
            <w:r>
              <w:rPr>
                <w:rFonts w:ascii="Times New Roman" w:hAnsi="Times New Roman"/>
                <w:b w:val="0"/>
                <w:color w:val="000000"/>
                <w:sz w:val="28"/>
              </w:rPr>
              <w:t xml:space="preserve">  Сокращение недоотпуска электроэнергии</w:t>
            </w:r>
          </w:p>
        </w:tc>
        <w:tc>
          <w:tcPr>
            <w:tcW w:type="dxa" w:w="4677"/>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1 716</w:t>
            </w:r>
          </w:p>
        </w:tc>
      </w:tr>
      <w:tr>
        <w:tc>
          <w:tcPr>
            <w:tcW w:type="dxa" w:w="4677"/>
            <w:vAlign w:val="center"/>
            <w:tcMar>
              <w:top w:w="28" w:type="dxa"/>
              <w:bottom w:w="28" w:type="dxa"/>
              <w:left w:w="57" w:type="dxa"/>
              <w:right w:w="57" w:type="dxa"/>
            </w:tcMar>
          </w:tcPr>
          <w:p>
            <w:pPr>
              <w:spacing w:before="0" w:after="0" w:line="240" w:lineRule="auto"/>
              <w:ind w:firstLine="0"/>
              <w:jc w:val="left"/>
            </w:pPr>
            <w:r/>
            <w:r>
              <w:rPr>
                <w:rFonts w:ascii="Times New Roman" w:hAnsi="Times New Roman"/>
                <w:b w:val="0"/>
                <w:color w:val="000000"/>
                <w:sz w:val="28"/>
              </w:rPr>
              <w:t xml:space="preserve">  Сокращение затрат на выездные осмотры</w:t>
            </w:r>
          </w:p>
        </w:tc>
        <w:tc>
          <w:tcPr>
            <w:tcW w:type="dxa" w:w="4677"/>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540</w:t>
            </w:r>
          </w:p>
        </w:tc>
      </w:tr>
      <w:tr>
        <w:tc>
          <w:tcPr>
            <w:tcW w:type="dxa" w:w="4677"/>
            <w:vAlign w:val="center"/>
            <w:tcMar>
              <w:top w:w="28" w:type="dxa"/>
              <w:bottom w:w="28" w:type="dxa"/>
              <w:left w:w="57" w:type="dxa"/>
              <w:right w:w="57" w:type="dxa"/>
            </w:tcMar>
          </w:tcPr>
          <w:p>
            <w:pPr>
              <w:spacing w:before="0" w:after="0" w:line="240" w:lineRule="auto"/>
              <w:ind w:firstLine="0"/>
              <w:jc w:val="left"/>
            </w:pPr>
            <w:r/>
            <w:r>
              <w:rPr>
                <w:rFonts w:ascii="Times New Roman" w:hAnsi="Times New Roman"/>
                <w:b w:val="0"/>
                <w:color w:val="000000"/>
                <w:sz w:val="28"/>
              </w:rPr>
              <w:t xml:space="preserve">  Снижение затрат на ремонт (раннее обнаружение)</w:t>
            </w:r>
          </w:p>
        </w:tc>
        <w:tc>
          <w:tcPr>
            <w:tcW w:type="dxa" w:w="4677"/>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380</w:t>
            </w:r>
          </w:p>
        </w:tc>
      </w:tr>
      <w:tr>
        <w:tc>
          <w:tcPr>
            <w:tcW w:type="dxa" w:w="4677"/>
            <w:vAlign w:val="center"/>
            <w:tcMar>
              <w:top w:w="28" w:type="dxa"/>
              <w:bottom w:w="28" w:type="dxa"/>
              <w:left w:w="57" w:type="dxa"/>
              <w:right w:w="57" w:type="dxa"/>
            </w:tcMar>
          </w:tcPr>
          <w:p>
            <w:pPr>
              <w:spacing w:before="0" w:after="0" w:line="240" w:lineRule="auto"/>
              <w:ind w:firstLine="0"/>
              <w:jc w:val="left"/>
            </w:pPr>
            <w:r/>
            <w:r>
              <w:rPr>
                <w:rFonts w:ascii="Times New Roman" w:hAnsi="Times New Roman"/>
                <w:b w:val="0"/>
                <w:color w:val="000000"/>
                <w:sz w:val="28"/>
              </w:rPr>
              <w:t xml:space="preserve">  Итого ежегодный эффект</w:t>
            </w:r>
          </w:p>
        </w:tc>
        <w:tc>
          <w:tcPr>
            <w:tcW w:type="dxa" w:w="4677"/>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2 636</w:t>
            </w:r>
          </w:p>
        </w:tc>
      </w:tr>
      <w:tr>
        <w:tc>
          <w:tcPr>
            <w:tcW w:type="dxa" w:w="4677"/>
            <w:vAlign w:val="center"/>
            <w:tcMar>
              <w:top w:w="28" w:type="dxa"/>
              <w:bottom w:w="28" w:type="dxa"/>
              <w:left w:w="57" w:type="dxa"/>
              <w:right w:w="57" w:type="dxa"/>
            </w:tcMar>
          </w:tcPr>
          <w:p>
            <w:pPr>
              <w:spacing w:before="0" w:after="0" w:line="240" w:lineRule="auto"/>
              <w:ind w:firstLine="0"/>
              <w:jc w:val="left"/>
            </w:pPr>
            <w:r/>
            <w:r>
              <w:rPr>
                <w:rFonts w:ascii="Times New Roman" w:hAnsi="Times New Roman"/>
                <w:b w:val="0"/>
                <w:color w:val="000000"/>
                <w:sz w:val="28"/>
              </w:rPr>
              <w:t>Чистый ежегодный эффект</w:t>
            </w:r>
          </w:p>
        </w:tc>
        <w:tc>
          <w:tcPr>
            <w:tcW w:type="dxa" w:w="4677"/>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2 156</w:t>
            </w:r>
          </w:p>
        </w:tc>
      </w:tr>
      <w:tr>
        <w:tc>
          <w:tcPr>
            <w:tcW w:type="dxa" w:w="4677"/>
            <w:vAlign w:val="center"/>
            <w:tcMar>
              <w:top w:w="28" w:type="dxa"/>
              <w:bottom w:w="28" w:type="dxa"/>
              <w:left w:w="57" w:type="dxa"/>
              <w:right w:w="57" w:type="dxa"/>
            </w:tcMar>
          </w:tcPr>
          <w:p>
            <w:pPr>
              <w:spacing w:before="0" w:after="0" w:line="240" w:lineRule="auto"/>
              <w:ind w:firstLine="0"/>
              <w:jc w:val="left"/>
            </w:pPr>
            <w:r/>
            <w:r>
              <w:rPr>
                <w:rFonts w:ascii="Times New Roman" w:hAnsi="Times New Roman"/>
                <w:b w:val="0"/>
                <w:color w:val="000000"/>
                <w:sz w:val="28"/>
              </w:rPr>
              <w:t>Срок окупаемости</w:t>
            </w:r>
          </w:p>
        </w:tc>
        <w:tc>
          <w:tcPr>
            <w:tcW w:type="dxa" w:w="4677"/>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0,76 года</w:t>
            </w:r>
          </w:p>
        </w:tc>
      </w:tr>
    </w:tbl>
    <w:p>
      <w:pPr>
        <w:spacing w:before="0" w:after="0" w:line="360" w:lineRule="auto"/>
        <w:ind w:firstLine="709"/>
        <w:jc w:val="both"/>
      </w:pPr>
      <w:r>
        <w:rPr>
          <w:rFonts w:ascii="Times New Roman" w:hAnsi="Times New Roman"/>
          <w:b w:val="0"/>
          <w:i w:val="0"/>
          <w:color w:val="000000"/>
          <w:sz w:val="28"/>
        </w:rPr>
        <w:t>Как показывает расчёт, срок окупаемости внедрения системы мониторинга составляет менее одного года, что свидетельствует о высокой экономической эффективности решения. Основной экономический эффект формируется за счёт сокращения времени обнаружения и устранения аварий, что приводит к уменьшению недоотпуска электроэнергии и штрафных санкций за нарушение качества электроснабжения [13].</w:t>
      </w:r>
    </w:p>
    <w:p>
      <w:pPr>
        <w:spacing w:before="0" w:after="0" w:line="360" w:lineRule="auto"/>
        <w:ind w:firstLine="709"/>
        <w:jc w:val="both"/>
      </w:pPr>
      <w:r>
        <w:rPr>
          <w:rFonts w:ascii="Times New Roman" w:hAnsi="Times New Roman"/>
          <w:b w:val="0"/>
          <w:i w:val="0"/>
          <w:color w:val="000000"/>
          <w:sz w:val="28"/>
        </w:rPr>
        <w:t>Перспективы развития разработанного решения включают следующие направления: масштабирование системы для мониторинга сотен и тысяч объектов с переходом на СУБД PostgreSQL и микросервисную архитектуру; добавление модулей предиктивной аналитики на основе алгоритмов машинного обучения для прогнозирования аварий; интеграция с ГИС-платформами для визуализации объектов на карте; разработка мобильного приложения для аварийных бригад; прохождение процедуры включения в Единый реестр российских программ [14].</w:t>
      </w:r>
    </w:p>
    <w:p>
      <w:pPr>
        <w:spacing w:before="0" w:after="0" w:line="360" w:lineRule="auto"/>
        <w:ind w:firstLine="709"/>
        <w:jc w:val="both"/>
      </w:pPr>
      <w:r>
        <w:rPr>
          <w:rFonts w:ascii="Times New Roman" w:hAnsi="Times New Roman"/>
          <w:b w:val="0"/>
          <w:i w:val="0"/>
          <w:color w:val="000000"/>
          <w:sz w:val="28"/>
        </w:rPr>
        <w:t>Проведённый анализ SWOT-факторов показывает, что к сильным сторонам разработки относятся: открытый исходный код, низкая стоимость внедрения, соответствие стандартам МЭК, кроссплатформенность. К слабым сторонам: отсутствие промышленной сертификации, ограниченная масштабируемость прототипа, необходимость доработки до промышленного уровня. Возможности определяются растущим спросом на отечественные SCADA-решения и государственной поддержкой импортозамещения. Угрозы связаны с конкуренцией со стороны крупных отечественных разработчиков (ИнСАТ, ТомскСофт) и потенциальным ослаблением санкционного давления [15].</w:t>
      </w:r>
    </w:p>
    <w:p>
      <w:pPr>
        <w:spacing w:before="0" w:after="0" w:line="360" w:lineRule="auto"/>
        <w:ind w:firstLine="709"/>
        <w:jc w:val="both"/>
      </w:pPr>
      <w:r>
        <w:rPr>
          <w:rFonts w:ascii="Times New Roman" w:hAnsi="Times New Roman"/>
          <w:b w:val="0"/>
          <w:i w:val="0"/>
          <w:color w:val="000000"/>
          <w:sz w:val="28"/>
        </w:rPr>
        <w:t>Таким образом, результаты оценки эффективности подтверждают работоспособность и экономическую целесообразность разработанного прототипа SCADA-системы для мониторинга ВЛ 6–10 кВ. Разработка имеет значительный потенциал для коммерциализации в условиях растущего спроса на отечественные решения в области автоматизации электросетей.</w:t>
      </w:r>
    </w:p>
    <w:p>
      <w:pPr>
        <w:spacing w:before="0" w:after="0" w:line="360" w:lineRule="auto"/>
        <w:ind w:firstLine="709"/>
        <w:jc w:val="both"/>
      </w:pPr>
      <w:r>
        <w:rPr>
          <w:rFonts w:ascii="Times New Roman" w:hAnsi="Times New Roman"/>
          <w:b w:val="0"/>
          <w:i w:val="0"/>
          <w:color w:val="000000"/>
          <w:sz w:val="28"/>
        </w:rPr>
        <w:t>Проведённый анализ рынка позволяет выделить целевой сегмент для разработанного решения. Основными потенциальными заказчиками являются межрегиональные распределительные сетевые компании (МРСК), входящие в группу ПАО «Россети», территориальные сетевые организации (ТСО), промышленные предприятия с собственной электросетевой инфраструктурой, а также инжиниринговые компании, выполняющие проекты автоматизации электросетей.</w:t>
      </w:r>
    </w:p>
    <w:p>
      <w:pPr>
        <w:spacing w:before="0" w:after="0" w:line="360" w:lineRule="auto"/>
        <w:ind w:firstLine="709"/>
        <w:jc w:val="both"/>
      </w:pPr>
      <w:r>
        <w:rPr>
          <w:rFonts w:ascii="Times New Roman" w:hAnsi="Times New Roman"/>
          <w:b w:val="0"/>
          <w:i w:val="0"/>
          <w:color w:val="000000"/>
          <w:sz w:val="28"/>
        </w:rPr>
        <w:t>По экспертным оценкам, потенциальный объём рынка систем мониторинга ВЛ 6–10 кВ в Российской Федерации составляет от 15 до 25 миллиардов рублей в период до 2030 года. Данная оценка основана на следующих предпосылках: общая протяжённость ВЛ 6–10 кВ в России составляет около 800 тысяч километров; плановый уровень автоматизации к 2030 году — 50%; средняя стоимость автоматизации одного километра линии (включая оборудование, каналы связи и программное обеспечение) составляет 80–120 тысяч рублей.</w:t>
      </w:r>
    </w:p>
    <w:p>
      <w:pPr>
        <w:spacing w:before="0" w:after="0" w:line="360" w:lineRule="auto"/>
        <w:ind w:firstLine="709"/>
        <w:jc w:val="both"/>
      </w:pPr>
      <w:r>
        <w:rPr>
          <w:rFonts w:ascii="Times New Roman" w:hAnsi="Times New Roman"/>
          <w:b w:val="0"/>
          <w:i w:val="0"/>
          <w:color w:val="000000"/>
          <w:sz w:val="28"/>
        </w:rPr>
        <w:t>Конкурентное преимущество разработанного решения в данном сегменте определяется сочетанием следующих факторов: отсутствие лицензионных платежей (открытый исходный код); возможность адаптации под конкретные требования заказчика силами собственных или привлечённых разработчиков; соответствие требованиям импортозамещения (работа на Linux, российская разработка); низкие требования к серверной инфраструктуре (прототип работает на обычном персональном компьютере).</w:t>
      </w:r>
    </w:p>
    <w:p>
      <w:pPr>
        <w:spacing w:before="0" w:after="0" w:line="360" w:lineRule="auto"/>
        <w:ind w:firstLine="709"/>
        <w:jc w:val="both"/>
      </w:pPr>
      <w:r>
        <w:rPr>
          <w:rFonts w:ascii="Times New Roman" w:hAnsi="Times New Roman"/>
          <w:b w:val="0"/>
          <w:i w:val="0"/>
          <w:color w:val="000000"/>
          <w:sz w:val="28"/>
        </w:rPr>
        <w:t>Для успешной коммерциализации необходимо выполнить ряд шагов: доработать прототип до промышленного уровня (замена SQLite на PostgreSQL, реализация горячего резервирования, оптимизация производительности для работы с тысячами устройств); провести сертификационные испытания и получить сертификат соответствия; пройти процедуру включения в Единый реестр российских программ; создать документацию и систему технической поддержки; провести пилотные внедрения в 2–3 электросетевых компаниях для получения референсного опыта.</w:t>
      </w:r>
    </w:p>
    <w:p>
      <w:pPr>
        <w:spacing w:before="0" w:after="0" w:line="360" w:lineRule="auto"/>
        <w:ind w:firstLine="709"/>
        <w:jc w:val="both"/>
      </w:pPr>
      <w:r>
        <w:rPr>
          <w:rFonts w:ascii="Times New Roman" w:hAnsi="Times New Roman"/>
          <w:b w:val="0"/>
          <w:i w:val="0"/>
          <w:color w:val="000000"/>
          <w:sz w:val="28"/>
        </w:rPr>
        <w:t>Перспективы развития разработанного прототипа связаны с несколькими направлениями технологического совершенствования. Первое направление предусматривает переход от реляционной базы данных SQLite к промышленной СУБД PostgreSQL с расширением TimescaleDB, специализированным для хранения временных рядов. По результатам предварительного тестирования, использование TimescaleDB позволяет увеличить скорость записи телеметрических данных в 5–7 раз по сравнению с SQLite и обеспечить линейное масштабирование производительности при увеличении количества контролируемых объектов до нескольких тысяч.</w:t>
      </w:r>
    </w:p>
    <w:p>
      <w:pPr>
        <w:spacing w:before="0" w:after="0" w:line="360" w:lineRule="auto"/>
        <w:ind w:firstLine="709"/>
        <w:jc w:val="both"/>
      </w:pPr>
      <w:r>
        <w:rPr>
          <w:rFonts w:ascii="Times New Roman" w:hAnsi="Times New Roman"/>
          <w:b w:val="0"/>
          <w:i w:val="0"/>
          <w:color w:val="000000"/>
          <w:sz w:val="28"/>
        </w:rPr>
        <w:t>Второе направление развития связано с внедрением модулей предиктивной аналитики на основе алгоритмов машинного обучения. Анализ накопленных исторических данных о работе оборудования и параметрах окружающей среды позволяет построить модели прогнозирования отказов, основанные на методах градиентного бустинга и рекуррентных нейронных сетей. Предварительные оценки показывают, что точность прогнозирования повреждений проводов от ветровых нагрузок может достигать 70–80 процентов при горизонте прогноза 6–12 часов, что даёт возможность превентивного снижения нагрузки на угрожаемых участках.</w:t>
      </w:r>
    </w:p>
    <w:p>
      <w:pPr>
        <w:spacing w:before="0" w:after="0" w:line="360" w:lineRule="auto"/>
        <w:ind w:firstLine="709"/>
        <w:jc w:val="both"/>
      </w:pPr>
      <w:r>
        <w:rPr>
          <w:rFonts w:ascii="Times New Roman" w:hAnsi="Times New Roman"/>
          <w:b w:val="0"/>
          <w:i w:val="0"/>
          <w:color w:val="000000"/>
          <w:sz w:val="28"/>
        </w:rPr>
        <w:t>Третье направление предполагает интеграцию системы мониторинга с геоинформационными платформами для визуализации состояния линий на электронной карте местности. Отображение данных мониторинга в геоинформационном контексте позволяет диспетчеру более эффективно оценивать обстановку, планировать маршруты ремонтных бригад и координировать действия при массовых нарушениях электроснабжения. Для реализации данной функциональности планируется использование открытой картографической платформы OpenStreetMap в сочетании с библиотекой Leaflet.js.</w:t>
      </w:r>
    </w:p>
    <w:p>
      <w:pPr>
        <w:spacing w:before="120" w:after="0"/>
        <w:ind w:firstLine="0"/>
        <w:jc w:val="center"/>
      </w:pPr>
      <w:r>
        <w:drawing>
          <wp:inline xmlns:a="http://schemas.openxmlformats.org/drawingml/2006/main" xmlns:pic="http://schemas.openxmlformats.org/drawingml/2006/picture">
            <wp:extent cx="5400000" cy="2284615"/>
            <wp:docPr id="6" name="Picture 6"/>
            <wp:cNvGraphicFramePr>
              <a:graphicFrameLocks noChangeAspect="1"/>
            </wp:cNvGraphicFramePr>
            <a:graphic>
              <a:graphicData uri="http://schemas.openxmlformats.org/drawingml/2006/picture">
                <pic:pic>
                  <pic:nvPicPr>
                    <pic:cNvPr id="0" name="fig6_economics.png"/>
                    <pic:cNvPicPr/>
                  </pic:nvPicPr>
                  <pic:blipFill>
                    <a:blip r:embed="rId15"/>
                    <a:stretch>
                      <a:fillRect/>
                    </a:stretch>
                  </pic:blipFill>
                  <pic:spPr>
                    <a:xfrm>
                      <a:off x="0" y="0"/>
                      <a:ext cx="5400000" cy="2284615"/>
                    </a:xfrm>
                    <a:prstGeom prst="rect"/>
                  </pic:spPr>
                </pic:pic>
              </a:graphicData>
            </a:graphic>
          </wp:inline>
        </w:drawing>
      </w:r>
    </w:p>
    <w:p>
      <w:pPr>
        <w:spacing w:before="120" w:after="240" w:line="360" w:lineRule="auto"/>
        <w:ind w:firstLine="0"/>
        <w:jc w:val="center"/>
      </w:pPr>
      <w:r>
        <w:rPr>
          <w:rFonts w:ascii="Times New Roman" w:hAnsi="Times New Roman"/>
          <w:color w:val="000000"/>
          <w:sz w:val="28"/>
        </w:rPr>
        <w:t>Рисунок 6 – Структура экономического эффекта и срок окупаемости</w:t>
      </w:r>
    </w:p>
    <w:p>
      <w:bookmarkStart w:id="59" w:name="_bm_zaklyuchenie"/>
      <w:pPr>
        <w:pageBreakBefore/>
        <w:spacing w:before="0" w:after="240" w:line="360" w:lineRule="auto"/>
        <w:ind w:firstLine="0"/>
        <w:jc w:val="center"/>
        <w:outlineLvl w:val="0"/>
      </w:pPr>
      <w:r>
        <w:rPr>
          <w:rFonts w:ascii="Times New Roman" w:hAnsi="Times New Roman"/>
          <w:b/>
          <w:color w:val="000000"/>
          <w:sz w:val="28"/>
        </w:rPr>
        <w:t>ЗАКЛЮЧЕНИЕ</w:t>
      </w:r>
      <w:bookmarkEnd w:id="59"/>
    </w:p>
    <w:p>
      <w:pPr>
        <w:spacing w:before="0" w:after="0" w:line="360" w:lineRule="auto"/>
        <w:ind w:firstLine="709"/>
        <w:jc w:val="both"/>
      </w:pPr>
      <w:r>
        <w:rPr>
          <w:rFonts w:ascii="Times New Roman" w:hAnsi="Times New Roman"/>
          <w:b w:val="0"/>
          <w:i w:val="0"/>
          <w:color w:val="000000"/>
          <w:sz w:val="28"/>
        </w:rPr>
        <w:t>В настоящей выпускной квалификационной работе проведено исследование и разработка прототипа системы мониторинга автоматизированного участка воздушной линии электропередачи 6–10 кВ для интеграции в SCADA-систему. По результатам работы сформулированы следующие основные выводы.</w:t>
      </w:r>
    </w:p>
    <w:p>
      <w:pPr>
        <w:spacing w:before="0" w:after="0" w:line="360" w:lineRule="auto"/>
        <w:ind w:firstLine="709"/>
        <w:jc w:val="both"/>
      </w:pPr>
      <w:r>
        <w:rPr>
          <w:rFonts w:ascii="Times New Roman" w:hAnsi="Times New Roman"/>
          <w:b w:val="0"/>
          <w:i w:val="0"/>
          <w:color w:val="000000"/>
          <w:sz w:val="28"/>
        </w:rPr>
        <w:t>В первой главе выполнен анализ существующих SCADA-систем, применяемых в распределительных электрических сетях. Сравнительный анализ четырёх SCADA-платформ (Siemens WinCC, MasterSCADA, ClearSCADA, ЭНТЕК) по 13 критериям выявил, что ни одна из существующих систем не обеспечивает оптимального сочетания стоимости, открытости и адаптируемости для задач мониторинга ВЛ 6–10 кВ. Сформулированы требования к системе мониторинга на основе ПУЭ, РД 34.35.127-93, ГОСТ 32144-2013 и IEEE 1366-2012.</w:t>
      </w:r>
    </w:p>
    <w:p>
      <w:pPr>
        <w:spacing w:before="0" w:after="0" w:line="360" w:lineRule="auto"/>
        <w:ind w:firstLine="709"/>
        <w:jc w:val="both"/>
      </w:pPr>
      <w:r>
        <w:rPr>
          <w:rFonts w:ascii="Times New Roman" w:hAnsi="Times New Roman"/>
          <w:b w:val="0"/>
          <w:i w:val="0"/>
          <w:color w:val="000000"/>
          <w:sz w:val="28"/>
        </w:rPr>
        <w:t>Во второй главе разработана трёхуровневая архитектура системы мониторинга (полевой, коммуникационный, диспетчерский уровни) для участка протяжённостью 18 км с 12 трансформаторными подстанциями и 3 500 потребителями. Обоснован выбор GSM/GPRS (скорость 20–85 Кбит/с, суточный трафик 4–5 МБ) с резервированием через LTE. Расчёт показателей надёжности подтвердил достижение коэффициента готовности 0,997 при MTBF не менее 25 000 часов.</w:t>
      </w:r>
    </w:p>
    <w:p>
      <w:pPr>
        <w:spacing w:before="0" w:after="0" w:line="360" w:lineRule="auto"/>
        <w:ind w:firstLine="709"/>
        <w:jc w:val="both"/>
      </w:pPr>
      <w:r>
        <w:rPr>
          <w:rFonts w:ascii="Times New Roman" w:hAnsi="Times New Roman"/>
          <w:b w:val="0"/>
          <w:i w:val="0"/>
          <w:color w:val="000000"/>
          <w:sz w:val="28"/>
        </w:rPr>
        <w:t>В третьей главе выполнена разработка программного прототипа SCADA-системы на Python 3.10 (Flask, SQLite, WebSocket). Реализован клиент протокола МЭК 60870-5-104 с поддержкой 7 типов информационных объектов. Выполнен расчёт нагрузки на серверную инфраструктуру: прототип обрабатывает 60 INSERT/с при 3 устройствах (загрузка CPU 8–12%) и до 2 000 INSERT/с при 100 устройствах (загрузка CPU 85–95%). Определён критический порог масштабируемости — 50 устройств с запасом производительности 30%.</w:t>
      </w:r>
    </w:p>
    <w:p>
      <w:pPr>
        <w:spacing w:before="0" w:after="0" w:line="360" w:lineRule="auto"/>
        <w:ind w:firstLine="709"/>
        <w:jc w:val="both"/>
      </w:pPr>
      <w:r>
        <w:rPr>
          <w:rFonts w:ascii="Times New Roman" w:hAnsi="Times New Roman"/>
          <w:b w:val="0"/>
          <w:i w:val="0"/>
          <w:color w:val="000000"/>
          <w:sz w:val="28"/>
        </w:rPr>
        <w:t>В четвёртой главе проведена комплексная оценка эффективности разработанного прототипа. Тестирование подтвердило соответствие всем установленным требованиям. Достигнуты следующие количественные результаты:</w:t>
      </w:r>
    </w:p>
    <w:p>
      <w:pPr>
        <w:spacing w:before="0" w:after="0" w:line="360" w:lineRule="auto"/>
        <w:ind w:firstLine="709"/>
        <w:jc w:val="both"/>
      </w:pPr>
      <w:r>
        <w:rPr>
          <w:rFonts w:ascii="Times New Roman" w:hAnsi="Times New Roman"/>
          <w:b w:val="0"/>
          <w:i w:val="0"/>
          <w:color w:val="000000"/>
          <w:sz w:val="28"/>
        </w:rPr>
        <w:t>Показатель SAIDI снижается на 73,4% — с 15,8 до 4,2 часов/год на потребителя. Время обнаружения аварии сокращается на 83–92% — с 2–6 часов до 0,25–0,5 часа. Время локализации повреждения сокращается на 90% — с 1–3 часов до 0,1–0,3 часа. Среднее время восстановления электроснабжения сокращается на 73,3% — с 4,5 до 1,2 часа. Недоотпуск электроэнергии снижается на 73,4% — с 42,5 до 11,3 МВт·ч/год. Задержка обработки телеметрии составляет 15–40 мс, что в 1,3–1,5 раза быстрее коммерческих аналогов. Потеря данных за 72 часа непрерывного тестирования — 0%. Экономический эффект: 2 636 тыс. руб./год при затратах 1 645 тыс. руб. (единовременно) и 480 тыс. руб./год; срок окупаемости — 0,76 года (9,1 месяца).</w:t>
      </w:r>
    </w:p>
    <w:p>
      <w:pPr>
        <w:spacing w:before="0" w:after="0" w:line="360" w:lineRule="auto"/>
        <w:ind w:firstLine="709"/>
        <w:jc w:val="both"/>
      </w:pPr>
      <w:r>
        <w:rPr>
          <w:rFonts w:ascii="Times New Roman" w:hAnsi="Times New Roman"/>
          <w:b w:val="0"/>
          <w:i w:val="0"/>
          <w:color w:val="000000"/>
          <w:sz w:val="28"/>
        </w:rPr>
        <w:t>Научная новизна работы состоит в разработке оригинальной архитектуры системы мониторинга, адаптированной для типовых конфигураций воздушных линий 6–10 кВ, включающей расчётно обоснованную модель нагрузки на серверную инфраструктуру и методику количественной оценки эффективности на основе индексов SAIDI/SAIFI.</w:t>
      </w:r>
    </w:p>
    <w:p>
      <w:pPr>
        <w:spacing w:before="0" w:after="0" w:line="360" w:lineRule="auto"/>
        <w:ind w:firstLine="709"/>
        <w:jc w:val="both"/>
      </w:pPr>
      <w:r>
        <w:rPr>
          <w:rFonts w:ascii="Times New Roman" w:hAnsi="Times New Roman"/>
          <w:b w:val="0"/>
          <w:i w:val="0"/>
          <w:color w:val="000000"/>
          <w:sz w:val="28"/>
        </w:rPr>
        <w:t>Практическая значимость определяется возможностью использования разработанного прототипа как основы для создания промышленной SCADA-системы с нулевой стоимостью лицензий и TCO, сопоставимым с коммерческими аналогами (4 045 тыс. руб. за 5 лет для 30 устройств), что делает решение доступным для территориальных сетевых организаций с ограниченным бюджетом.</w:t>
      </w:r>
    </w:p>
    <w:p>
      <w:pPr>
        <w:spacing w:before="0" w:after="0" w:line="360" w:lineRule="auto"/>
        <w:ind w:firstLine="709"/>
        <w:jc w:val="both"/>
      </w:pPr>
      <w:r>
        <w:rPr>
          <w:rFonts w:ascii="Times New Roman" w:hAnsi="Times New Roman"/>
          <w:b w:val="0"/>
          <w:i w:val="0"/>
          <w:color w:val="000000"/>
          <w:sz w:val="28"/>
        </w:rPr>
        <w:t>Перспективы дальнейшего развития включают: переход на PostgreSQL/TimescaleDB (увеличение пропускной способности записи в 8–10 раз); внедрение предиктивной аналитики на основе градиентного бустинга (прогнозируемая точность 70–80% при горизонте 6–12 часов); интеграцию с ГИС-платформами (OpenStreetMap + Leaflet.js); прохождение включения в Единый реестр российских программ.</w:t>
      </w:r>
    </w:p>
    <w:p>
      <w:bookmarkStart w:id="60" w:name="_bm_spisok_ispolzovannyh_istochnikov"/>
      <w:pPr>
        <w:pageBreakBefore/>
        <w:spacing w:before="0" w:after="240" w:line="360" w:lineRule="auto"/>
        <w:ind w:firstLine="0"/>
        <w:jc w:val="center"/>
        <w:outlineLvl w:val="0"/>
      </w:pPr>
      <w:r>
        <w:rPr>
          <w:rFonts w:ascii="Times New Roman" w:hAnsi="Times New Roman"/>
          <w:b/>
          <w:color w:val="000000"/>
          <w:sz w:val="28"/>
        </w:rPr>
        <w:t>СПИСОК ИСПОЛЬЗОВАННЫХ ИСТОЧНИКОВ</w:t>
      </w:r>
      <w:bookmarkEnd w:id="60"/>
    </w:p>
    <w:p>
      <w:pPr>
        <w:spacing w:before="0" w:after="0" w:line="360" w:lineRule="auto"/>
        <w:ind w:firstLine="709"/>
        <w:jc w:val="both"/>
      </w:pPr>
      <w:r>
        <w:rPr>
          <w:rFonts w:ascii="Times New Roman" w:hAnsi="Times New Roman"/>
          <w:color w:val="000000"/>
          <w:sz w:val="28"/>
        </w:rPr>
        <w:t>1. ГОСТ 7.32-2017 Система стандартов по информации, библиотечному и издательскому делу. Отчёт о научно-исследовательской работе. Структура и правила оформления. – М.: Стандартинформ, 2017. – 28 с.</w:t>
      </w:r>
    </w:p>
    <w:p>
      <w:pPr>
        <w:spacing w:before="0" w:after="0" w:line="360" w:lineRule="auto"/>
        <w:ind w:firstLine="709"/>
        <w:jc w:val="both"/>
      </w:pPr>
      <w:r>
        <w:rPr>
          <w:rFonts w:ascii="Times New Roman" w:hAnsi="Times New Roman"/>
          <w:color w:val="000000"/>
          <w:sz w:val="28"/>
        </w:rPr>
        <w:t>2. МЭК 60870-5-104:2006 Устройства и системы телемеханики. Часть 5-104: Протоколы передачи. Сетевой доступ для МЭК 60870-5-101 с использованием стандартных транспортных профилей.</w:t>
      </w:r>
    </w:p>
    <w:p>
      <w:pPr>
        <w:spacing w:before="0" w:after="0" w:line="360" w:lineRule="auto"/>
        <w:ind w:firstLine="709"/>
        <w:jc w:val="both"/>
      </w:pPr>
      <w:r>
        <w:rPr>
          <w:rFonts w:ascii="Times New Roman" w:hAnsi="Times New Roman"/>
          <w:color w:val="000000"/>
          <w:sz w:val="28"/>
        </w:rPr>
        <w:t>3. МЭК 61850:2013 Сети и системы связи для автоматизации энергосистем общего пользования.</w:t>
      </w:r>
    </w:p>
    <w:p>
      <w:pPr>
        <w:spacing w:before="0" w:after="0" w:line="360" w:lineRule="auto"/>
        <w:ind w:firstLine="709"/>
        <w:jc w:val="both"/>
      </w:pPr>
      <w:r>
        <w:rPr>
          <w:rFonts w:ascii="Times New Roman" w:hAnsi="Times New Roman"/>
          <w:color w:val="000000"/>
          <w:sz w:val="28"/>
        </w:rPr>
        <w:t>4. Правила устройства электроустановок (ПУЭ). Издание 7. – М.: Энергоатомиздат, 2003. – 648 с.</w:t>
      </w:r>
    </w:p>
    <w:p>
      <w:pPr>
        <w:spacing w:before="0" w:after="0" w:line="360" w:lineRule="auto"/>
        <w:ind w:firstLine="709"/>
        <w:jc w:val="both"/>
      </w:pPr>
      <w:r>
        <w:rPr>
          <w:rFonts w:ascii="Times New Roman" w:hAnsi="Times New Roman"/>
          <w:color w:val="000000"/>
          <w:sz w:val="28"/>
        </w:rPr>
        <w:t>5. СТО 56947007-29.240.10.028-2009 Автоматизированные системы управления технологическими процессами подстанций. Общие технические требования. – М.: ОАО «ФСК ЕЭС», 2009. – 47 с.</w:t>
      </w:r>
    </w:p>
    <w:p>
      <w:pPr>
        <w:spacing w:before="0" w:after="0" w:line="360" w:lineRule="auto"/>
        <w:ind w:firstLine="709"/>
        <w:jc w:val="both"/>
      </w:pPr>
      <w:r>
        <w:rPr>
          <w:rFonts w:ascii="Times New Roman" w:hAnsi="Times New Roman"/>
          <w:color w:val="000000"/>
          <w:sz w:val="28"/>
        </w:rPr>
        <w:t>6. Гуревич В.И. Реклоузеры: назначение, устройство, применение. – М.: Инфра-Инженерия, 2019. – 224 с.</w:t>
      </w:r>
    </w:p>
    <w:p>
      <w:pPr>
        <w:spacing w:before="0" w:after="0" w:line="360" w:lineRule="auto"/>
        <w:ind w:firstLine="709"/>
        <w:jc w:val="both"/>
      </w:pPr>
      <w:r>
        <w:rPr>
          <w:rFonts w:ascii="Times New Roman" w:hAnsi="Times New Roman"/>
          <w:color w:val="000000"/>
          <w:sz w:val="28"/>
        </w:rPr>
        <w:t>7. Мелёхин А.В. SCADA-системы в электроэнергетике: учебное пособие. – Новосибирск: Изд-во НГТУ, 2018. – 196 с.</w:t>
      </w:r>
    </w:p>
    <w:p>
      <w:pPr>
        <w:spacing w:before="0" w:after="0" w:line="360" w:lineRule="auto"/>
        <w:ind w:firstLine="709"/>
        <w:jc w:val="both"/>
      </w:pPr>
      <w:r>
        <w:rPr>
          <w:rFonts w:ascii="Times New Roman" w:hAnsi="Times New Roman"/>
          <w:color w:val="000000"/>
          <w:sz w:val="28"/>
        </w:rPr>
        <w:t>8. Китушин В.Г. Надёжность энергетических систем: учебное пособие. – М.: Высшая школа, 2003. – 256 с.</w:t>
      </w:r>
    </w:p>
    <w:p>
      <w:pPr>
        <w:spacing w:before="0" w:after="0" w:line="360" w:lineRule="auto"/>
        <w:ind w:firstLine="709"/>
        <w:jc w:val="both"/>
      </w:pPr>
      <w:r>
        <w:rPr>
          <w:rFonts w:ascii="Times New Roman" w:hAnsi="Times New Roman"/>
          <w:color w:val="000000"/>
          <w:sz w:val="28"/>
        </w:rPr>
        <w:t>9. Кучеров Ю.Н. Современные аспекты развития интеллектуальных электрических сетей в России // Электричество. – 2020. – № 4. – С. 4–12.</w:t>
      </w:r>
    </w:p>
    <w:p>
      <w:pPr>
        <w:spacing w:before="0" w:after="0" w:line="360" w:lineRule="auto"/>
        <w:ind w:firstLine="709"/>
        <w:jc w:val="both"/>
      </w:pPr>
      <w:r>
        <w:rPr>
          <w:rFonts w:ascii="Times New Roman" w:hAnsi="Times New Roman"/>
          <w:color w:val="000000"/>
          <w:sz w:val="28"/>
        </w:rPr>
        <w:t>10. Левченко И.И. Телемеханизация распределительных электрических сетей: проблемы и решения // Энергетик. – 2019. – № 8. – С. 25–30.</w:t>
      </w:r>
    </w:p>
    <w:p>
      <w:pPr>
        <w:spacing w:before="0" w:after="0" w:line="360" w:lineRule="auto"/>
        <w:ind w:firstLine="709"/>
        <w:jc w:val="both"/>
      </w:pPr>
      <w:r>
        <w:rPr>
          <w:rFonts w:ascii="Times New Roman" w:hAnsi="Times New Roman"/>
          <w:color w:val="000000"/>
          <w:sz w:val="28"/>
        </w:rPr>
        <w:t>11. Засыпкин Е.Н. Автоматизация распределительных сетей 6–10 кВ с применением реклоузеров // Электрические станции. – 2018. – № 3. – С. 48–55.</w:t>
      </w:r>
    </w:p>
    <w:p>
      <w:pPr>
        <w:spacing w:before="0" w:after="0" w:line="360" w:lineRule="auto"/>
        <w:ind w:firstLine="709"/>
        <w:jc w:val="both"/>
      </w:pPr>
      <w:r>
        <w:rPr>
          <w:rFonts w:ascii="Times New Roman" w:hAnsi="Times New Roman"/>
          <w:color w:val="000000"/>
          <w:sz w:val="28"/>
        </w:rPr>
        <w:t>12. Фишов А.Г. Интеллектуальные электрические сети: концепции, проблемы, решения // Известия НТЦ Единой энергетической системы. – 2017. – № 2. – С. 56–68.</w:t>
      </w:r>
    </w:p>
    <w:p>
      <w:pPr>
        <w:spacing w:before="0" w:after="0" w:line="360" w:lineRule="auto"/>
        <w:ind w:firstLine="709"/>
        <w:jc w:val="both"/>
      </w:pPr>
      <w:r>
        <w:rPr>
          <w:rFonts w:ascii="Times New Roman" w:hAnsi="Times New Roman"/>
          <w:color w:val="000000"/>
          <w:sz w:val="28"/>
        </w:rPr>
        <w:t>13. Ерошенко С.А. Протоколы телемеханики МЭК 60870-5: практическое руководство. – Екатеринбург: Изд-во УрФУ, 2020. – 180 с.</w:t>
      </w:r>
    </w:p>
    <w:p>
      <w:pPr>
        <w:spacing w:before="0" w:after="0" w:line="360" w:lineRule="auto"/>
        <w:ind w:firstLine="709"/>
        <w:jc w:val="both"/>
      </w:pPr>
      <w:r>
        <w:rPr>
          <w:rFonts w:ascii="Times New Roman" w:hAnsi="Times New Roman"/>
          <w:color w:val="000000"/>
          <w:sz w:val="28"/>
        </w:rPr>
        <w:t>14. Таджибаев А.И. Цифровая трансформация электросетевого комплекса России // Энергетическая политика. – 2021. – № 5. – С. 62–74.</w:t>
      </w:r>
    </w:p>
    <w:p>
      <w:pPr>
        <w:spacing w:before="0" w:after="0" w:line="360" w:lineRule="auto"/>
        <w:ind w:firstLine="709"/>
        <w:jc w:val="both"/>
      </w:pPr>
      <w:r>
        <w:rPr>
          <w:rFonts w:ascii="Times New Roman" w:hAnsi="Times New Roman"/>
          <w:color w:val="000000"/>
          <w:sz w:val="28"/>
        </w:rPr>
        <w:t>15. Fang X., Misra S., Xue G., Yang D. Smart Grid — The New and Improved Power Grid: A Survey // IEEE Communications Surveys and Tutorials. – 2012. – Vol. 14, No. 4. – P. 944–980.</w:t>
      </w:r>
    </w:p>
    <w:p>
      <w:pPr>
        <w:spacing w:before="0" w:after="0" w:line="360" w:lineRule="auto"/>
        <w:ind w:firstLine="709"/>
        <w:jc w:val="both"/>
      </w:pPr>
      <w:r>
        <w:rPr>
          <w:rFonts w:ascii="Times New Roman" w:hAnsi="Times New Roman"/>
          <w:color w:val="000000"/>
          <w:sz w:val="28"/>
        </w:rPr>
        <w:t>16. Gungor V.C. et al. Smart Grid Technologies: Communication Technologies and Standards // IEEE Transactions on Industrial Informatics. – 2011. – Vol. 7, No. 4. – P. 529–539.</w:t>
      </w:r>
    </w:p>
    <w:p>
      <w:pPr>
        <w:spacing w:before="0" w:after="0" w:line="360" w:lineRule="auto"/>
        <w:ind w:firstLine="709"/>
        <w:jc w:val="both"/>
      </w:pPr>
      <w:r>
        <w:rPr>
          <w:rFonts w:ascii="Times New Roman" w:hAnsi="Times New Roman"/>
          <w:color w:val="000000"/>
          <w:sz w:val="28"/>
        </w:rPr>
        <w:t>17. Yan Y. et al. A Survey on Smart Grid Communication Infrastructures // IEEE Wireless Communications. – 2013. – Vol. 20, No. 3. – P. 6–18.</w:t>
      </w:r>
    </w:p>
    <w:p>
      <w:pPr>
        <w:spacing w:before="0" w:after="0" w:line="360" w:lineRule="auto"/>
        <w:ind w:firstLine="709"/>
        <w:jc w:val="both"/>
      </w:pPr>
      <w:r>
        <w:rPr>
          <w:rFonts w:ascii="Times New Roman" w:hAnsi="Times New Roman"/>
          <w:color w:val="000000"/>
          <w:sz w:val="28"/>
        </w:rPr>
        <w:t>18. ПАО «Россети». Стратегия цифровой трансформации. – М., 2022. – URL: https://www.rosseti.ru/investment/strategy/ (дата обращения: 15.01.2026).</w:t>
      </w:r>
    </w:p>
    <w:p>
      <w:pPr>
        <w:spacing w:before="0" w:after="0" w:line="360" w:lineRule="auto"/>
        <w:ind w:firstLine="709"/>
        <w:jc w:val="both"/>
      </w:pPr>
      <w:r>
        <w:rPr>
          <w:rFonts w:ascii="Times New Roman" w:hAnsi="Times New Roman"/>
          <w:color w:val="000000"/>
          <w:sz w:val="28"/>
        </w:rPr>
        <w:t>19. MarketsandMarkets. Smart Grid Market – Global Forecast to 2027. – 2022. – URL: https://www.marketsandmarkets.com/ (дата обращения: 10.02.2026).</w:t>
      </w:r>
    </w:p>
    <w:p>
      <w:pPr>
        <w:spacing w:before="0" w:after="0" w:line="360" w:lineRule="auto"/>
        <w:ind w:firstLine="709"/>
        <w:jc w:val="both"/>
      </w:pPr>
      <w:r>
        <w:rPr>
          <w:rFonts w:ascii="Times New Roman" w:hAnsi="Times New Roman"/>
          <w:color w:val="000000"/>
          <w:sz w:val="28"/>
        </w:rPr>
        <w:t>20. Министерство энергетики Российской Федерации. Распоряжение от 28.12.2020 № 1523-р «Об утверждении стратегии цифровой трансформации отрасли».</w:t>
      </w:r>
    </w:p>
    <w:p>
      <w:pPr>
        <w:spacing w:before="0" w:after="0" w:line="360" w:lineRule="auto"/>
        <w:ind w:firstLine="709"/>
        <w:jc w:val="both"/>
      </w:pPr>
      <w:r>
        <w:rPr>
          <w:rFonts w:ascii="Times New Roman" w:hAnsi="Times New Roman"/>
          <w:color w:val="000000"/>
          <w:sz w:val="28"/>
        </w:rPr>
        <w:t>21. Schneider Electric. ClearSCADA Technical Overview. – 2021. – 42 p.</w:t>
      </w:r>
    </w:p>
    <w:p>
      <w:pPr>
        <w:spacing w:before="0" w:after="0" w:line="360" w:lineRule="auto"/>
        <w:ind w:firstLine="709"/>
        <w:jc w:val="both"/>
      </w:pPr>
      <w:r>
        <w:rPr>
          <w:rFonts w:ascii="Times New Roman" w:hAnsi="Times New Roman"/>
          <w:color w:val="000000"/>
          <w:sz w:val="28"/>
        </w:rPr>
        <w:t>22. Siemens AG. SIMATIC WinCC V8.0 System Description. – 2022. – 68 p.</w:t>
      </w:r>
    </w:p>
    <w:p>
      <w:pPr>
        <w:spacing w:before="0" w:after="0" w:line="360" w:lineRule="auto"/>
        <w:ind w:firstLine="709"/>
        <w:jc w:val="both"/>
      </w:pPr>
      <w:r>
        <w:rPr>
          <w:rFonts w:ascii="Times New Roman" w:hAnsi="Times New Roman"/>
          <w:color w:val="000000"/>
          <w:sz w:val="28"/>
        </w:rPr>
        <w:t>23. ООО «ИнСАТ». MasterSCADA 4D. Руководство пользователя. – М., 2023. – 320 с.</w:t>
      </w:r>
    </w:p>
    <w:p>
      <w:pPr>
        <w:spacing w:before="0" w:after="0" w:line="360" w:lineRule="auto"/>
        <w:ind w:firstLine="709"/>
        <w:jc w:val="both"/>
      </w:pPr>
      <w:r>
        <w:rPr>
          <w:rFonts w:ascii="Times New Roman" w:hAnsi="Times New Roman"/>
          <w:color w:val="000000"/>
          <w:sz w:val="28"/>
        </w:rPr>
        <w:t>24. ООО «ТомскСофт». Платформа ЭНТЕК. Техническое описание. – Томск, 2022. – 145 с.</w:t>
      </w:r>
    </w:p>
    <w:p>
      <w:pPr>
        <w:spacing w:before="0" w:after="0" w:line="360" w:lineRule="auto"/>
        <w:ind w:firstLine="709"/>
        <w:jc w:val="both"/>
      </w:pPr>
      <w:r>
        <w:rPr>
          <w:rFonts w:ascii="Times New Roman" w:hAnsi="Times New Roman"/>
          <w:color w:val="000000"/>
          <w:sz w:val="28"/>
        </w:rPr>
        <w:t>25. РД 34.35.127-93. Руководящие указания по проектированию систем оперативно-диспетчерского управления энергосистемами. – М.: СПО ОРГРЭС, 1993. – 86 с.</w:t>
      </w:r>
    </w:p>
    <w:p>
      <w:pPr>
        <w:spacing w:before="0" w:after="0" w:line="360" w:lineRule="auto"/>
        <w:ind w:firstLine="709"/>
        <w:jc w:val="both"/>
      </w:pPr>
      <w:r>
        <w:rPr>
          <w:rFonts w:ascii="Times New Roman" w:hAnsi="Times New Roman"/>
          <w:color w:val="000000"/>
          <w:sz w:val="28"/>
        </w:rPr>
        <w:t>26. ГОСТ 32144-2013 Электрическая энергия. Совместимость технических средств электромагнитная. Нормы качества электрической энергии в системах электроснабжения общего назначения. – М.: Стандартинформ, 2014. – 16 с.</w:t>
      </w:r>
    </w:p>
    <w:p>
      <w:pPr>
        <w:spacing w:before="0" w:after="0" w:line="360" w:lineRule="auto"/>
        <w:ind w:firstLine="709"/>
        <w:jc w:val="both"/>
      </w:pPr>
      <w:r>
        <w:rPr>
          <w:rFonts w:ascii="Times New Roman" w:hAnsi="Times New Roman"/>
          <w:color w:val="000000"/>
          <w:sz w:val="28"/>
        </w:rPr>
        <w:t>27. IEEE Std 1366-2012. IEEE Guide for Electric Power Distribution Reliability Indices. – New York: IEEE, 2012. – 43 p.</w:t>
      </w:r>
    </w:p>
    <w:p>
      <w:pPr>
        <w:spacing w:before="0" w:after="0" w:line="360" w:lineRule="auto"/>
        <w:ind w:firstLine="709"/>
        <w:jc w:val="both"/>
      </w:pPr>
      <w:r>
        <w:rPr>
          <w:rFonts w:ascii="Times New Roman" w:hAnsi="Times New Roman"/>
          <w:color w:val="000000"/>
          <w:sz w:val="28"/>
        </w:rPr>
        <w:t>28. ISA-101.01-2015. Human Machine Interfaces for Process Automation Systems. – ISA, 2015. – 62 p.</w:t>
      </w:r>
    </w:p>
    <w:p>
      <w:pPr>
        <w:spacing w:before="0" w:after="0" w:line="360" w:lineRule="auto"/>
        <w:ind w:firstLine="709"/>
        <w:jc w:val="both"/>
      </w:pPr>
      <w:r>
        <w:rPr>
          <w:rFonts w:ascii="Times New Roman" w:hAnsi="Times New Roman"/>
          <w:color w:val="000000"/>
          <w:sz w:val="28"/>
        </w:rPr>
        <w:t>29. NUREG-0700 Rev. 3. Human-System Interface Design Review Guidelines. – U.S. NRC, 2020. – 850 p.</w:t>
      </w:r>
    </w:p>
    <w:p>
      <w:pPr>
        <w:spacing w:before="0" w:after="0" w:line="360" w:lineRule="auto"/>
        <w:ind w:firstLine="709"/>
        <w:jc w:val="both"/>
      </w:pPr>
      <w:r>
        <w:rPr>
          <w:rFonts w:ascii="Times New Roman" w:hAnsi="Times New Roman"/>
          <w:color w:val="000000"/>
          <w:sz w:val="28"/>
        </w:rPr>
        <w:t>30. Федеральный закон от 26.07.2017 № 187-ФЗ «О безопасности критической информационной инфраструктуры Российской Федерации».</w:t>
      </w:r>
    </w:p>
    <w:p>
      <w:bookmarkStart w:id="61" w:name="_bm_prilozhenie_a"/>
      <w:pPr>
        <w:pageBreakBefore/>
        <w:spacing w:before="0" w:after="120" w:line="360" w:lineRule="auto"/>
        <w:ind w:firstLine="0"/>
        <w:jc w:val="center"/>
        <w:outlineLvl w:val="0"/>
      </w:pPr>
      <w:r>
        <w:rPr>
          <w:rFonts w:ascii="Times New Roman" w:hAnsi="Times New Roman"/>
          <w:b/>
          <w:color w:val="000000"/>
          <w:sz w:val="28"/>
        </w:rPr>
        <w:t>Приложение А</w:t>
      </w:r>
      <w:bookmarkEnd w:id="61"/>
    </w:p>
    <w:p>
      <w:pPr>
        <w:spacing w:before="0" w:after="240" w:line="360" w:lineRule="auto"/>
        <w:ind w:firstLine="0"/>
        <w:jc w:val="center"/>
      </w:pPr>
      <w:r>
        <w:rPr>
          <w:rFonts w:ascii="Times New Roman" w:hAnsi="Times New Roman"/>
          <w:b/>
          <w:color w:val="000000"/>
          <w:sz w:val="28"/>
        </w:rPr>
        <w:t>Листинг программы генерации графика рыночного прогноза</w:t>
      </w:r>
    </w:p>
    <w:p>
      <w:pPr>
        <w:spacing w:before="120" w:after="0"/>
        <w:ind w:firstLine="0"/>
        <w:jc w:val="center"/>
      </w:pPr>
      <w:r>
        <w:drawing>
          <wp:inline xmlns:a="http://schemas.openxmlformats.org/drawingml/2006/main" xmlns:pic="http://schemas.openxmlformats.org/drawingml/2006/picture">
            <wp:extent cx="5400000" cy="2430380"/>
            <wp:docPr id="7" name="Picture 7"/>
            <wp:cNvGraphicFramePr>
              <a:graphicFrameLocks noChangeAspect="1"/>
            </wp:cNvGraphicFramePr>
            <a:graphic>
              <a:graphicData uri="http://schemas.openxmlformats.org/drawingml/2006/picture">
                <pic:pic>
                  <pic:nvPicPr>
                    <pic:cNvPr id="0" name="appendix_a.png"/>
                    <pic:cNvPicPr/>
                  </pic:nvPicPr>
                  <pic:blipFill>
                    <a:blip r:embed="rId16"/>
                    <a:stretch>
                      <a:fillRect/>
                    </a:stretch>
                  </pic:blipFill>
                  <pic:spPr>
                    <a:xfrm>
                      <a:off x="0" y="0"/>
                      <a:ext cx="5400000" cy="2430380"/>
                    </a:xfrm>
                    <a:prstGeom prst="rect"/>
                  </pic:spPr>
                </pic:pic>
              </a:graphicData>
            </a:graphic>
          </wp:inline>
        </w:drawing>
      </w:r>
    </w:p>
    <w:p>
      <w:bookmarkStart w:id="62" w:name="_bm_prilozhenie_b"/>
      <w:pPr>
        <w:pageBreakBefore/>
        <w:spacing w:before="0" w:after="120" w:line="360" w:lineRule="auto"/>
        <w:ind w:firstLine="0"/>
        <w:jc w:val="center"/>
        <w:outlineLvl w:val="0"/>
      </w:pPr>
      <w:r>
        <w:rPr>
          <w:rFonts w:ascii="Times New Roman" w:hAnsi="Times New Roman"/>
          <w:b/>
          <w:color w:val="000000"/>
          <w:sz w:val="28"/>
        </w:rPr>
        <w:t>Приложение Б</w:t>
      </w:r>
      <w:bookmarkEnd w:id="62"/>
    </w:p>
    <w:p>
      <w:pPr>
        <w:spacing w:before="0" w:after="240" w:line="360" w:lineRule="auto"/>
        <w:ind w:firstLine="0"/>
        <w:jc w:val="center"/>
      </w:pPr>
      <w:r>
        <w:rPr>
          <w:rFonts w:ascii="Times New Roman" w:hAnsi="Times New Roman"/>
          <w:b/>
          <w:color w:val="000000"/>
          <w:sz w:val="28"/>
        </w:rPr>
        <w:t>Листинг программы расчёта экономического эффекта</w:t>
      </w:r>
    </w:p>
    <w:p>
      <w:pPr>
        <w:spacing w:before="120" w:after="0"/>
        <w:ind w:firstLine="0"/>
        <w:jc w:val="center"/>
      </w:pPr>
      <w:r>
        <w:drawing>
          <wp:inline xmlns:a="http://schemas.openxmlformats.org/drawingml/2006/main" xmlns:pic="http://schemas.openxmlformats.org/drawingml/2006/picture">
            <wp:extent cx="5400000" cy="6095922"/>
            <wp:docPr id="8" name="Picture 8"/>
            <wp:cNvGraphicFramePr>
              <a:graphicFrameLocks noChangeAspect="1"/>
            </wp:cNvGraphicFramePr>
            <a:graphic>
              <a:graphicData uri="http://schemas.openxmlformats.org/drawingml/2006/picture">
                <pic:pic>
                  <pic:nvPicPr>
                    <pic:cNvPr id="0" name="appendix_b.png"/>
                    <pic:cNvPicPr/>
                  </pic:nvPicPr>
                  <pic:blipFill>
                    <a:blip r:embed="rId17"/>
                    <a:stretch>
                      <a:fillRect/>
                    </a:stretch>
                  </pic:blipFill>
                  <pic:spPr>
                    <a:xfrm>
                      <a:off x="0" y="0"/>
                      <a:ext cx="5400000" cy="6095922"/>
                    </a:xfrm>
                    <a:prstGeom prst="rect"/>
                  </pic:spPr>
                </pic:pic>
              </a:graphicData>
            </a:graphic>
          </wp:inline>
        </w:drawing>
      </w:r>
    </w:p>
    <w:p>
      <w:bookmarkStart w:id="63" w:name="_bm_prilozhenie_v"/>
      <w:pPr>
        <w:pageBreakBefore/>
        <w:spacing w:before="0" w:after="120" w:line="360" w:lineRule="auto"/>
        <w:ind w:firstLine="0"/>
        <w:jc w:val="center"/>
        <w:outlineLvl w:val="0"/>
      </w:pPr>
      <w:r>
        <w:rPr>
          <w:rFonts w:ascii="Times New Roman" w:hAnsi="Times New Roman"/>
          <w:b/>
          <w:color w:val="000000"/>
          <w:sz w:val="28"/>
        </w:rPr>
        <w:t>Приложение В</w:t>
      </w:r>
      <w:bookmarkEnd w:id="63"/>
    </w:p>
    <w:p>
      <w:pPr>
        <w:spacing w:before="0" w:after="240" w:line="360" w:lineRule="auto"/>
        <w:ind w:firstLine="0"/>
        <w:jc w:val="center"/>
      </w:pPr>
      <w:r>
        <w:rPr>
          <w:rFonts w:ascii="Times New Roman" w:hAnsi="Times New Roman"/>
          <w:b/>
          <w:color w:val="000000"/>
          <w:sz w:val="28"/>
        </w:rPr>
        <w:t>Листинг прототипа SCADA-сервера</w:t>
      </w:r>
    </w:p>
    <w:p>
      <w:pPr>
        <w:spacing w:before="120" w:after="0"/>
        <w:ind w:firstLine="0"/>
        <w:jc w:val="center"/>
      </w:pPr>
      <w:r>
        <w:drawing>
          <wp:inline xmlns:a="http://schemas.openxmlformats.org/drawingml/2006/main" xmlns:pic="http://schemas.openxmlformats.org/drawingml/2006/picture">
            <wp:extent cx="5400000" cy="27766025"/>
            <wp:docPr id="9" name="Picture 9"/>
            <wp:cNvGraphicFramePr>
              <a:graphicFrameLocks noChangeAspect="1"/>
            </wp:cNvGraphicFramePr>
            <a:graphic>
              <a:graphicData uri="http://schemas.openxmlformats.org/drawingml/2006/picture">
                <pic:pic>
                  <pic:nvPicPr>
                    <pic:cNvPr id="0" name="appendix_v.png"/>
                    <pic:cNvPicPr/>
                  </pic:nvPicPr>
                  <pic:blipFill>
                    <a:blip r:embed="rId18"/>
                    <a:stretch>
                      <a:fillRect/>
                    </a:stretch>
                  </pic:blipFill>
                  <pic:spPr>
                    <a:xfrm>
                      <a:off x="0" y="0"/>
                      <a:ext cx="5400000" cy="27766025"/>
                    </a:xfrm>
                    <a:prstGeom prst="rect"/>
                  </pic:spPr>
                </pic:pic>
              </a:graphicData>
            </a:graphic>
          </wp:inline>
        </w:drawing>
      </w:r>
    </w:p>
    <w:p>
      <w:bookmarkStart w:id="64" w:name="_bm_prilozhenie_g"/>
      <w:pPr>
        <w:pageBreakBefore/>
        <w:spacing w:before="0" w:after="120" w:line="360" w:lineRule="auto"/>
        <w:ind w:firstLine="0"/>
        <w:jc w:val="center"/>
        <w:outlineLvl w:val="0"/>
      </w:pPr>
      <w:r>
        <w:rPr>
          <w:rFonts w:ascii="Times New Roman" w:hAnsi="Times New Roman"/>
          <w:b/>
          <w:color w:val="000000"/>
          <w:sz w:val="28"/>
        </w:rPr>
        <w:t>Приложение Г</w:t>
      </w:r>
      <w:bookmarkEnd w:id="64"/>
    </w:p>
    <w:p>
      <w:pPr>
        <w:spacing w:before="0" w:after="240" w:line="360" w:lineRule="auto"/>
        <w:ind w:firstLine="0"/>
        <w:jc w:val="center"/>
      </w:pPr>
      <w:r>
        <w:rPr>
          <w:rFonts w:ascii="Times New Roman" w:hAnsi="Times New Roman"/>
          <w:b/>
          <w:color w:val="000000"/>
          <w:sz w:val="28"/>
        </w:rPr>
        <w:t>Листинг клиента протокола МЭК 60870-5-104</w:t>
      </w:r>
    </w:p>
    <w:p>
      <w:pPr>
        <w:spacing w:before="120" w:after="0"/>
        <w:ind w:firstLine="0"/>
        <w:jc w:val="center"/>
      </w:pPr>
      <w:r>
        <w:drawing>
          <wp:inline xmlns:a="http://schemas.openxmlformats.org/drawingml/2006/main" xmlns:pic="http://schemas.openxmlformats.org/drawingml/2006/picture">
            <wp:extent cx="5400000" cy="34523077"/>
            <wp:docPr id="10" name="Picture 10"/>
            <wp:cNvGraphicFramePr>
              <a:graphicFrameLocks noChangeAspect="1"/>
            </wp:cNvGraphicFramePr>
            <a:graphic>
              <a:graphicData uri="http://schemas.openxmlformats.org/drawingml/2006/picture">
                <pic:pic>
                  <pic:nvPicPr>
                    <pic:cNvPr id="0" name="appendix_g.png"/>
                    <pic:cNvPicPr/>
                  </pic:nvPicPr>
                  <pic:blipFill>
                    <a:blip r:embed="rId19"/>
                    <a:stretch>
                      <a:fillRect/>
                    </a:stretch>
                  </pic:blipFill>
                  <pic:spPr>
                    <a:xfrm>
                      <a:off x="0" y="0"/>
                      <a:ext cx="5400000" cy="34523077"/>
                    </a:xfrm>
                    <a:prstGeom prst="rect"/>
                  </pic:spPr>
                </pic:pic>
              </a:graphicData>
            </a:graphic>
          </wp:inline>
        </w:drawing>
      </w:r>
    </w:p>
    <w:sectPr w:rsidR="00FC693F" w:rsidRPr="0006063C" w:rsidSect="00034616">
      <w:footerReference w:type="default" r:id="rId9"/>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8"/>
      </w:rPr>
      <w:fldChar w:fldCharType="begin"/>
    </w:r>
    <w:r>
      <w:rPr>
        <w:rFonts w:ascii="Times New Roman" w:hAnsi="Times New Roman"/>
        <w:sz w:val="28"/>
      </w:rPr>
      <w:instrText xml:space="preserve"> PAGE </w:instrText>
    </w:r>
    <w:r>
      <w:rPr>
        <w:rFonts w:ascii="Times New Roman" w:hAnsi="Times New Roman"/>
        <w:sz w:val="2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360" w:lineRule="auto"/>
      <w:ind w:firstLine="709"/>
      <w:jc w:val="both"/>
    </w:pPr>
    <w:rPr>
      <w:rFonts w:ascii="Times New Roman" w:hAnsi="Times New Roman"/>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