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" w:name="_bm_soderzhanie"/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  <w:bookmarkEnd w:id="2"/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spisok_sokraschenij_i_uslovnyh_oboznache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СПИСОК СОКРАЩЕНИЙ И УСЛОВНЫХ ОБОЗНАЧЕНИЙ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5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vvedenie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ВВЕДЕНИЕ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7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glava_1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Глава 1. SCADA-системы в распределительных электрических сетях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14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1_1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1.1 Назначение и основные функции SCADA-систем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14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1_2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1.2 Классификация SCADA-систем и область их применения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18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1_3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1.3 Особенности использования SCADA на автоматизированных воздушных линиях 6–10 кВ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22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1_4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1.4 Требования к системам мониторинга и диспетчерского управления в распределительных сетях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26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glava_2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Глава 2. Архитектура системы мониторинга автоматизированного участка воздушной линии 6–10 кВ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30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2_1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2.1 Общая структура автоматизированного участка ВЛ и состав оборудования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30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2_2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2.2 Источники данных и измеряемые параметры автоматизированного участка ВЛ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34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2_3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2.3 Каналы связи и способы передачи данных в SCADA-систему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36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2_4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2.4 Архитектура системы мониторинга и взаимодействие её элементов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39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2_5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2.5 Требования к надёжности и отказоустойчивости системы мониторинга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42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glava_3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Глава 3. Разработка прототипа SCADA-системы мониторинга автоматизированного участка ВЛ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46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3_1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3.1 Определение функциональных требований к прототипу системы мониторинга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46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3_2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3.2 Разработка структуры обмена данными между полевыми устройствами и SCADA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49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3_3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3.3 Логическая структура базы данных и обработка информации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52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3_4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3.4 Расчёт нагрузки на серверную инфраструктуру и архитектурные ограничения прототипа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55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3_5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3.5 Разработка интерфейса диспетчера для отображения состояния линии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58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glava_4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Глава 4. Оценка эффективности и перспектив внедрения системы мониторинга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62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4_1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4.1 Анализ работы прототипа системы мониторинга в различных режимах эксплуатации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62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4_2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4.2 Влияние внедрения SCADA на управляемость и надёжность распределительной сети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64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4_3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4.3 Сравнение разработанного решения с существующими SCADA-решениями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68</w:t>
        </w:r>
      </w:hyperlink>
    </w:p>
    <w:p>
      <w:pPr>
        <w:spacing w:line="360" w:lineRule="auto" w:before="0" w:after="0"/>
        <w:ind w:firstLine="0" w:left="709"/>
        <w:jc w:val="left"/>
        <w:tabs>
          <w:tab w:val="right" w:leader="dot" w:pos="9354"/>
        </w:tabs>
      </w:pPr>
      <w:hyperlink w:anchor="_bm_section_4_4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4.4 Учёт рыночных тенденций и перспектив промышленного внедрения системы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71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zaklyuchenie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ЗАКЛЮЧЕНИЕ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77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spisok_ispolzovannyh_istochnikov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СПИСОК ИСПОЛЬЗОВАННЫХ ИСТОЧНИКОВ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79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prilozhenie_a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ПРИЛОЖЕНИЕ А (Листинг генерации графика рыночного прогноза)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82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prilozhenie_b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ПРИЛОЖЕНИЕ Б (Листинг расчёта экономического эффекта)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83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prilozhenie_v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ПРИЛОЖЕНИЕ В (Листинг прототипа SCADA-сервера)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85</w:t>
        </w:r>
      </w:hyperlink>
    </w:p>
    <w:p>
      <w:pPr>
        <w:spacing w:line="360" w:lineRule="auto" w:before="0" w:after="0"/>
        <w:ind w:firstLine="0"/>
        <w:jc w:val="left"/>
        <w:tabs>
          <w:tab w:val="right" w:leader="dot" w:pos="9354"/>
        </w:tabs>
      </w:pPr>
      <w:hyperlink w:anchor="_bm_prilozhenie_g" w:history="1"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ПРИЛОЖЕНИЕ Г (Листинг клиента протокола МЭК 60870-5-104)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	</w:t>
        </w:r>
        <w:r>
          <w:rPr>
            <w:rFonts w:ascii="Times New Roman" w:hAnsi="Times New Roman" w:cs="Times New Roman"/>
            <w:sz w:val="28"/>
            <w:szCs w:val="28"/>
            <w:color w:val="000000"/>
          </w:rPr>
          <w:t xml:space="preserve">89</w:t>
        </w:r>
      </w:hyperlink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