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5" w:name="_bm_glava_1"/>
      <w:pPr>
        <w:pageBreakBefore/>
        <w:spacing w:before="0" w:after="240" w:line="360" w:lineRule="auto"/>
        <w:ind w:firstLine="709"/>
        <w:jc w:val="both"/>
      </w:pPr>
      <w:r>
        <w:rPr>
          <w:rFonts w:ascii="Times New Roman" w:hAnsi="Times New Roman"/>
          <w:b/>
          <w:color w:val="000000"/>
          <w:sz w:val="28"/>
        </w:rPr>
        <w:t>Глава 1. SCADA-системы в распределительных электрических сетях</w:t>
      </w:r>
      <w:bookmarkEnd w:id="5"/>
    </w:p>
    <w:p>
      <w:bookmarkStart w:id="6" w:name="_bm_section_1_1"/>
      <w:pPr>
        <w:spacing w:before="240" w:after="120" w:line="360" w:lineRule="auto"/>
        <w:ind w:firstLine="709"/>
        <w:jc w:val="both"/>
      </w:pPr>
      <w:r>
        <w:rPr>
          <w:rFonts w:ascii="Times New Roman" w:hAnsi="Times New Roman"/>
          <w:b/>
          <w:color w:val="000000"/>
          <w:sz w:val="28"/>
        </w:rPr>
        <w:t>1.1 Назначение и основные функции SCADA-систем</w:t>
      </w:r>
      <w:bookmarkEnd w:id="6"/>
    </w:p>
    <w:p>
      <w:pPr>
        <w:spacing w:before="0" w:after="0" w:line="360" w:lineRule="auto"/>
        <w:ind w:firstLine="709"/>
        <w:jc w:val="both"/>
      </w:pPr>
      <w:r>
        <w:rPr>
          <w:rFonts w:ascii="Times New Roman" w:hAnsi="Times New Roman"/>
          <w:b w:val="0"/>
          <w:i w:val="0"/>
          <w:color w:val="000000"/>
          <w:sz w:val="28"/>
        </w:rPr>
        <w:t>Системы диспетчерского управления и сбора данных (SCADA — Supervisory Control and Data Acquisition) представляют собой программно-аппаратные комплексы, предназначенные для автоматизированного мониторинга и управления технологическими процессами в режиме реального времени. В электроэнергетике SCADA-системы выполняют ключевую роль, обеспечивая централизованный контроль состояния электрической сети, управление коммутационными аппаратами и оперативное реагирование на аварийные ситуации [1].</w:t>
      </w:r>
    </w:p>
    <w:p>
      <w:pPr>
        <w:spacing w:before="0" w:after="0" w:line="360" w:lineRule="auto"/>
        <w:ind w:firstLine="709"/>
        <w:jc w:val="both"/>
      </w:pPr>
      <w:r>
        <w:rPr>
          <w:rFonts w:ascii="Times New Roman" w:hAnsi="Times New Roman"/>
          <w:b w:val="0"/>
          <w:i w:val="0"/>
          <w:color w:val="000000"/>
          <w:sz w:val="28"/>
        </w:rPr>
        <w:t>История развития систем телемеханики и диспетчерского управления в электроэнергетике насчитывает более семидесяти лет. Первые системы телемеханики, появившиеся в 1950–1960-х годах, обеспечивали лишь базовые функции телесигнализации и телеизмерений с использованием аналоговых каналов связи. Переход на цифровые технологии в 1980–1990-х годах привёл к появлению первых SCADA-систем, работающих на базе персональных компьютеров и локальных вычислительных сетей. Современные SCADA-системы представляют собой распределённые программные платформы с веб-интерфейсами, поддержкой множества протоколов телемеханики и возможностями интеграции с корпоративными информационными системами [2].</w:t>
      </w:r>
    </w:p>
    <w:p>
      <w:pPr>
        <w:spacing w:before="0" w:after="0" w:line="360" w:lineRule="auto"/>
        <w:ind w:firstLine="709"/>
        <w:jc w:val="both"/>
      </w:pPr>
      <w:r>
        <w:rPr>
          <w:rFonts w:ascii="Times New Roman" w:hAnsi="Times New Roman"/>
          <w:b w:val="0"/>
          <w:i w:val="0"/>
          <w:color w:val="000000"/>
          <w:sz w:val="28"/>
        </w:rPr>
        <w:t>Основными функциями SCADA-систем в электроэнергетике являются:</w:t>
      </w:r>
    </w:p>
    <w:p>
      <w:pPr>
        <w:spacing w:before="0" w:after="0" w:line="360" w:lineRule="auto"/>
        <w:ind w:firstLine="709"/>
        <w:jc w:val="both"/>
      </w:pPr>
      <w:r>
        <w:rPr>
          <w:rFonts w:ascii="Times New Roman" w:hAnsi="Times New Roman"/>
          <w:b w:val="0"/>
          <w:i w:val="0"/>
          <w:color w:val="000000"/>
          <w:sz w:val="28"/>
        </w:rPr>
        <w:t xml:space="preserve">Телеизмерения (ТИ) — </w:t>
      </w:r>
      <w:r>
        <w:rPr>
          <w:rFonts w:ascii="Times New Roman" w:hAnsi="Times New Roman"/>
          <w:b w:val="0"/>
          <w:i w:val="0"/>
          <w:color w:val="000000"/>
          <w:sz w:val="28"/>
        </w:rPr>
        <w:t>непрерывный сбор аналоговых параметров электрической сети, таких как напряжение, ток, активная и реактивная мощность, частота, температура оборудования. Данные телеизмерений передаются с заданной периодичностью (как правило, от 1 до 10 секунд) и используются для оценки текущего режима работы сети;</w:t>
      </w:r>
    </w:p>
    <w:p>
      <w:pPr>
        <w:spacing w:before="0" w:after="0" w:line="360" w:lineRule="auto"/>
        <w:ind w:firstLine="709"/>
        <w:jc w:val="both"/>
      </w:pPr>
      <w:r>
        <w:rPr>
          <w:rFonts w:ascii="Times New Roman" w:hAnsi="Times New Roman"/>
          <w:b w:val="0"/>
          <w:i w:val="0"/>
          <w:color w:val="000000"/>
          <w:sz w:val="28"/>
        </w:rPr>
        <w:t xml:space="preserve">Телесигнализация (ТС) — </w:t>
      </w:r>
      <w:r>
        <w:rPr>
          <w:rFonts w:ascii="Times New Roman" w:hAnsi="Times New Roman"/>
          <w:b w:val="0"/>
          <w:i w:val="0"/>
          <w:color w:val="000000"/>
          <w:sz w:val="28"/>
        </w:rPr>
        <w:t>передача дискретных сигналов о состоянии оборудования: положение коммутационных аппаратов (включён/отключён), срабатывание защитных устройств, состояние аварийной и предупредительной сигнализации. Телесигнализация передаётся по событию, то есть при изменении состояния контролируемого параметра;</w:t>
      </w:r>
    </w:p>
    <w:p>
      <w:pPr>
        <w:spacing w:before="0" w:after="0" w:line="360" w:lineRule="auto"/>
        <w:ind w:firstLine="709"/>
        <w:jc w:val="both"/>
      </w:pPr>
      <w:r>
        <w:rPr>
          <w:rFonts w:ascii="Times New Roman" w:hAnsi="Times New Roman"/>
          <w:b w:val="0"/>
          <w:i w:val="0"/>
          <w:color w:val="000000"/>
          <w:sz w:val="28"/>
        </w:rPr>
        <w:t xml:space="preserve">Телеуправление (ТУ) — </w:t>
      </w:r>
      <w:r>
        <w:rPr>
          <w:rFonts w:ascii="Times New Roman" w:hAnsi="Times New Roman"/>
          <w:b w:val="0"/>
          <w:i w:val="0"/>
          <w:color w:val="000000"/>
          <w:sz w:val="28"/>
        </w:rPr>
        <w:t>дистанционное управление коммутационными аппаратами из диспетчерского центра, включая включение и отключение выключателей, переключение секций шин, управление устройствами регулирования напряжения. Команды телеуправления выполняются с обязательной проверкой (квитированием) для предотвращения ложных срабатываний;</w:t>
      </w:r>
    </w:p>
    <w:p>
      <w:pPr>
        <w:spacing w:before="0" w:after="0" w:line="360" w:lineRule="auto"/>
        <w:ind w:firstLine="709"/>
        <w:jc w:val="both"/>
      </w:pPr>
      <w:r>
        <w:rPr>
          <w:rFonts w:ascii="Times New Roman" w:hAnsi="Times New Roman"/>
          <w:b w:val="0"/>
          <w:i w:val="0"/>
          <w:color w:val="000000"/>
          <w:sz w:val="28"/>
        </w:rPr>
        <w:t xml:space="preserve">Регистрация событий — </w:t>
      </w:r>
      <w:r>
        <w:rPr>
          <w:rFonts w:ascii="Times New Roman" w:hAnsi="Times New Roman"/>
          <w:b w:val="0"/>
          <w:i w:val="0"/>
          <w:color w:val="000000"/>
          <w:sz w:val="28"/>
        </w:rPr>
        <w:t>автоматическая фиксация всех изменений состояния оборудования, действий оперативного персонала и срабатываний защитных устройств с привязкой к точному времени. Журнал событий используется для анализа причин аварий и оценки действий персонала;</w:t>
      </w:r>
    </w:p>
    <w:p>
      <w:pPr>
        <w:spacing w:before="0" w:after="0" w:line="360" w:lineRule="auto"/>
        <w:ind w:firstLine="709"/>
        <w:jc w:val="both"/>
      </w:pPr>
      <w:r>
        <w:rPr>
          <w:rFonts w:ascii="Times New Roman" w:hAnsi="Times New Roman"/>
          <w:b w:val="0"/>
          <w:i w:val="0"/>
          <w:color w:val="000000"/>
          <w:sz w:val="28"/>
        </w:rPr>
        <w:t xml:space="preserve">Архивирование данных — </w:t>
      </w:r>
      <w:r>
        <w:rPr>
          <w:rFonts w:ascii="Times New Roman" w:hAnsi="Times New Roman"/>
          <w:b w:val="0"/>
          <w:i w:val="0"/>
          <w:color w:val="000000"/>
          <w:sz w:val="28"/>
        </w:rPr>
        <w:t>долговременное хранение измеренных параметров и событий для последующего анализа, построения графиков и отчётов. Типичная глубина архива составляет от одного до пяти лет;</w:t>
      </w:r>
    </w:p>
    <w:p>
      <w:pPr>
        <w:spacing w:before="0" w:after="0" w:line="360" w:lineRule="auto"/>
        <w:ind w:firstLine="709"/>
        <w:jc w:val="both"/>
      </w:pPr>
      <w:r>
        <w:rPr>
          <w:rFonts w:ascii="Times New Roman" w:hAnsi="Times New Roman"/>
          <w:b w:val="0"/>
          <w:i w:val="0"/>
          <w:color w:val="000000"/>
          <w:sz w:val="28"/>
        </w:rPr>
        <w:t xml:space="preserve">Визуализация — </w:t>
      </w:r>
      <w:r>
        <w:rPr>
          <w:rFonts w:ascii="Times New Roman" w:hAnsi="Times New Roman"/>
          <w:b w:val="0"/>
          <w:i w:val="0"/>
          <w:color w:val="000000"/>
          <w:sz w:val="28"/>
        </w:rPr>
        <w:t>отображение мнемосхем электрической сети с анимацией состояния оборудования, числовыми значениями параметров и цветовой индикацией режимов работы. Мнемосхемы строятся иерархически: от обзорной схемы всей контролируемой территории до детальных схем отдельных подстанций и присоединений;</w:t>
      </w:r>
    </w:p>
    <w:p>
      <w:pPr>
        <w:spacing w:before="0" w:after="0" w:line="360" w:lineRule="auto"/>
        <w:ind w:firstLine="709"/>
        <w:jc w:val="both"/>
      </w:pPr>
      <w:r>
        <w:rPr>
          <w:rFonts w:ascii="Times New Roman" w:hAnsi="Times New Roman"/>
          <w:b w:val="0"/>
          <w:i w:val="0"/>
          <w:color w:val="000000"/>
          <w:sz w:val="28"/>
        </w:rPr>
        <w:t xml:space="preserve">Аварийная сигнализация (алармы) — </w:t>
      </w:r>
      <w:r>
        <w:rPr>
          <w:rFonts w:ascii="Times New Roman" w:hAnsi="Times New Roman"/>
          <w:b w:val="0"/>
          <w:i w:val="0"/>
          <w:color w:val="000000"/>
          <w:sz w:val="28"/>
        </w:rPr>
        <w:t>автоматическое формирование предупреждающих и аварийных сигналов при выходе контролируемых параметров за установленные пределы (уставки). Система алармов обеспечивает оперативное информирование диспетчера о нештатных ситуациях с возможностью приоритезации и квитирования сообщений.</w:t>
      </w:r>
    </w:p>
    <w:p>
      <w:pPr>
        <w:spacing w:before="0" w:after="0" w:line="360" w:lineRule="auto"/>
        <w:ind w:firstLine="709"/>
        <w:jc w:val="both"/>
      </w:pPr>
      <w:r>
        <w:rPr>
          <w:rFonts w:ascii="Times New Roman" w:hAnsi="Times New Roman"/>
          <w:b w:val="0"/>
          <w:i w:val="0"/>
          <w:color w:val="000000"/>
          <w:sz w:val="28"/>
        </w:rPr>
        <w:t>Помимо перечисленных базовых функций, современные SCADA-системы реализуют ряд дополнительных возможностей: автоматическое определение места повреждения на линии (ОМП), расчёт потерь электроэнергии, контроль качества электроэнергии по показателям ГОСТ 32144-2013, интеграцию с геоинформационными системами (ГИС) для отображения объектов на карте местности, а также поддержку удалённого доступа через веб-интерфейс для мобильных бригад [3].</w:t>
      </w:r>
    </w:p>
    <w:p>
      <w:pPr>
        <w:spacing w:before="0" w:after="0" w:line="360" w:lineRule="auto"/>
        <w:ind w:firstLine="709"/>
        <w:jc w:val="both"/>
      </w:pPr>
      <w:r>
        <w:rPr>
          <w:rFonts w:ascii="Times New Roman" w:hAnsi="Times New Roman"/>
          <w:b w:val="0"/>
          <w:i w:val="0"/>
          <w:color w:val="000000"/>
          <w:sz w:val="28"/>
        </w:rPr>
        <w:t>Важным аспектом функционирования SCADA-систем является обеспечение информационной безопасности. В соответствии с требованиями Федерального закона № 187-ФЗ «О безопасности критической информационной инфраструктуры Российской Федерации» и приказами ФСТЭК России, системы управления объектами электроэнергетики относятся к значимым объектам критической информационной инфраструктуры и подлежат обязательной категорированию и защите. SCADA-системы должны обеспечивать разграничение доступа, аутентификацию пользователей, шифрование каналов связи и протоколирование всех действий оперативного персонала [4].</w:t>
      </w:r>
    </w:p>
    <w:p>
      <w:pPr>
        <w:spacing w:before="0" w:after="0" w:line="360" w:lineRule="auto"/>
        <w:ind w:firstLine="709"/>
        <w:jc w:val="both"/>
      </w:pPr>
      <w:r>
        <w:rPr>
          <w:rFonts w:ascii="Times New Roman" w:hAnsi="Times New Roman"/>
          <w:b w:val="0"/>
          <w:i w:val="0"/>
          <w:color w:val="000000"/>
          <w:sz w:val="28"/>
        </w:rPr>
        <w:t>Эволюция систем диспетчерского управления в электроэнергетике может быть условно разделена на четыре поколения. Первое поколение (1960–1970-е годы) представляло собой аналоговые системы телемеханики на базе релейных и полупроводниковых элементов, использовавших выделенные проводные каналы связи для передачи телеизмерений и телесигналов. Информация отображалась на диспетчерских щитах с помощью стрелочных приборов и световых индикаторов. Второе поколение (1980-е годы) характеризуется появлением микропроцессорных устройств телемеханики и первых программных SCADA-систем, работавших на базе мини-компьютеров. Третье поколение (1990–2000-е годы) связано с переходом на персональные компьютеры, локальные вычислительные сети и стандартные операционные системы (Windows, Unix), что значительно расширило функциональные возможности и упростило обслуживание систем. Четвёртое, современное поколение (с 2010-х годов) отличается применением веб-технологий, облачных платформ, промышленного Интернета вещей (IIoT) и элементов искусственного интеллекта для предиктивной аналитики.</w:t>
      </w:r>
    </w:p>
    <w:p>
      <w:pPr>
        <w:spacing w:before="0" w:after="0" w:line="360" w:lineRule="auto"/>
        <w:ind w:firstLine="709"/>
        <w:jc w:val="both"/>
      </w:pPr>
      <w:r>
        <w:rPr>
          <w:rFonts w:ascii="Times New Roman" w:hAnsi="Times New Roman"/>
          <w:b w:val="0"/>
          <w:i w:val="0"/>
          <w:color w:val="000000"/>
          <w:sz w:val="28"/>
        </w:rPr>
        <w:t>Отдельного внимания заслуживает роль SCADA-систем в обеспечении энергетической безопасности государства. В соответствии с Доктриной энергетической безопасности Российской Федерации, утверждённой Указом Президента от 13.05.2019 № 216, одним из ключевых факторов обеспечения энергетической безопасности является поддержание надёжного и устойчивого функционирования энергетической инфраструктуры, что невозможно без развитых систем мониторинга и диспетчерского управления.</w:t>
      </w:r>
    </w:p>
    <w:p>
      <w:pPr>
        <w:spacing w:before="0" w:after="0" w:line="360" w:lineRule="auto"/>
        <w:ind w:firstLine="709"/>
        <w:jc w:val="both"/>
      </w:pPr>
      <w:r>
        <w:rPr>
          <w:rFonts w:ascii="Times New Roman" w:hAnsi="Times New Roman"/>
          <w:b w:val="0"/>
          <w:i w:val="0"/>
          <w:color w:val="000000"/>
          <w:sz w:val="28"/>
        </w:rPr>
        <w:t>В контексте стандартизации следует отметить, что архитектура современных SCADA-систем в электроэнергетике определяется рядом международных стандартов. Стандарт МЭК 61968/61970 (CIM — Common Information Model) определяет общую информационную модель электрической сети, обеспечивающую интероперабельность между различными информационными системами энергетического предприятия. Стандарт МЭК 62351 определяет требования к информационной безопасности систем управления электроэнергетическими объектами. Стандарт МЭК 61850 определяет архитектуру систем автоматизации подстанций, включая модели данных, протоколы связи и требования к конфигурированию.</w:t>
      </w:r>
    </w:p>
    <w:p>
      <w:pPr>
        <w:spacing w:before="0" w:after="0" w:line="360" w:lineRule="auto"/>
        <w:ind w:firstLine="709"/>
        <w:jc w:val="both"/>
      </w:pPr>
      <w:r>
        <w:rPr>
          <w:rFonts w:ascii="Times New Roman" w:hAnsi="Times New Roman"/>
          <w:b w:val="0"/>
          <w:i w:val="0"/>
          <w:color w:val="000000"/>
          <w:sz w:val="28"/>
        </w:rPr>
        <w:t>Рассмотрим более подробно архитектурные компоненты типичной SCADA-системы для электроэнергетики. Современная SCADA-система включает следующие основные подсистемы: подсистема сбора данных (Data Acquisition Subsystem), подсистема обработки и хранения данных (Data Processing and Storage Subsystem), подсистема визуализации и операторского интерфейса (HMI Subsystem), подсистема управления (Control Subsystem), подсистема сигнализации и событий (Alarm and Event Subsystem), подсистема отчётности (Reporting Subsystem) и подсистема обеспечения информационной безопасности (Security Subsystem).</w:t>
      </w:r>
    </w:p>
    <w:p>
      <w:pPr>
        <w:spacing w:before="0" w:after="0" w:line="360" w:lineRule="auto"/>
        <w:ind w:firstLine="709"/>
        <w:jc w:val="both"/>
      </w:pPr>
      <w:r>
        <w:rPr>
          <w:rFonts w:ascii="Times New Roman" w:hAnsi="Times New Roman"/>
          <w:b w:val="0"/>
          <w:i w:val="0"/>
          <w:color w:val="000000"/>
          <w:sz w:val="28"/>
        </w:rPr>
        <w:t>Подсистема сбора данных обеспечивает приём информации от контролируемых объектов по различным протоколам телемеханики. В электроэнергетике основными протоколами являются: МЭК 60870-5-101 (последовательные каналы связи), МЭК 60870-5-104 (сети TCP/IP), МЭК 61850 (цифровые подстанции), DNP3 (распространён в Северной Америке), Modbus RTU/TCP (промышленная автоматика). Подсистема сбора данных должна обеспечивать одновременную работу с множеством протоколов и устройств, буферизацию данных при временной потере связи и автоматическое восстановление соединений.</w:t>
      </w:r>
    </w:p>
    <w:p>
      <w:pPr>
        <w:spacing w:before="0" w:after="0" w:line="360" w:lineRule="auto"/>
        <w:ind w:firstLine="709"/>
        <w:jc w:val="both"/>
      </w:pPr>
      <w:r>
        <w:rPr>
          <w:rFonts w:ascii="Times New Roman" w:hAnsi="Times New Roman"/>
          <w:b w:val="0"/>
          <w:i w:val="0"/>
          <w:color w:val="000000"/>
          <w:sz w:val="28"/>
        </w:rPr>
        <w:t>Подсистема обработки и хранения данных выполняет пересчёт измерений (приведение к первичным величинам с учётом коэффициентов трансформации), проверку достоверности (валидация диапазонов, контроль скорости изменения, перекрёстная проверка), расчёт производных параметров (мощности, энергии, несимметрии), запись в оперативную и архивную базы данных. Для хранения данных в промышленных SCADA-системах используются специализированные базы данных реального времени (historian): PI System компании OSIsoft (ныне AVEVA), Proficy Historian компании GE Digital, InSQL компании Wonderware. Эти системы оптимизированы для хранения больших объёмов временных рядов с высокой скоростью записи и эффективным сжатием.</w:t>
      </w:r>
    </w:p>
    <w:p>
      <w:pPr>
        <w:spacing w:before="0" w:after="0" w:line="360" w:lineRule="auto"/>
        <w:ind w:firstLine="709"/>
        <w:jc w:val="both"/>
      </w:pPr>
      <w:r>
        <w:rPr>
          <w:rFonts w:ascii="Times New Roman" w:hAnsi="Times New Roman"/>
          <w:b w:val="0"/>
          <w:i w:val="0"/>
          <w:color w:val="000000"/>
          <w:sz w:val="28"/>
        </w:rPr>
        <w:t>Подсистема сигнализации и событий является критически важным компонентом SCADA-системы, обеспечивающим оперативное информирование диспетчера о нештатных ситуациях. Согласно рекомендациям стандарта ISA-18.2 «Management of Alarm Systems for the Process Industries» и EEMUA Publication 191, система сигнализации должна обеспечивать: приоритезацию алармов (как минимум четыре уровня: критический, высокий, средний, низкий); подавление «лавины» алармов при каскадных отключениях; логическое группирование связанных сигналов; обязательное квитирование критических и высокоприоритетных алармов; статистический анализ частоты и распределения алармов для оптимизации уставок.</w:t>
      </w:r>
    </w:p>
    <w:p>
      <w:bookmarkStart w:id="7" w:name="_bm_section_1_2"/>
      <w:pPr>
        <w:spacing w:before="240" w:after="120" w:line="360" w:lineRule="auto"/>
        <w:ind w:firstLine="709"/>
        <w:jc w:val="both"/>
      </w:pPr>
      <w:r>
        <w:rPr>
          <w:rFonts w:ascii="Times New Roman" w:hAnsi="Times New Roman"/>
          <w:b/>
          <w:color w:val="000000"/>
          <w:sz w:val="28"/>
        </w:rPr>
        <w:t>1.2 Классификация SCADA-систем и область их применения</w:t>
      </w:r>
      <w:bookmarkEnd w:id="7"/>
    </w:p>
    <w:p>
      <w:pPr>
        <w:spacing w:before="0" w:after="0" w:line="360" w:lineRule="auto"/>
        <w:ind w:firstLine="709"/>
        <w:jc w:val="both"/>
      </w:pPr>
      <w:r>
        <w:rPr>
          <w:rFonts w:ascii="Times New Roman" w:hAnsi="Times New Roman"/>
          <w:b w:val="0"/>
          <w:i w:val="0"/>
          <w:color w:val="000000"/>
          <w:sz w:val="28"/>
        </w:rPr>
        <w:t>SCADA-системы, применяемые в электроэнергетике, могут быть классифицированы по ряду признаков: архитектурному принципу построения, масштабу применения, типу используемых протоколов и степени открытости платформы [5].</w:t>
      </w:r>
    </w:p>
    <w:p>
      <w:pPr>
        <w:spacing w:before="0" w:after="0" w:line="360" w:lineRule="auto"/>
        <w:ind w:firstLine="709"/>
        <w:jc w:val="both"/>
      </w:pPr>
      <w:r>
        <w:rPr>
          <w:rFonts w:ascii="Times New Roman" w:hAnsi="Times New Roman"/>
          <w:b w:val="0"/>
          <w:i w:val="0"/>
          <w:color w:val="000000"/>
          <w:sz w:val="28"/>
        </w:rPr>
        <w:t>По архитектурному принципу построения различают следующие типы SCADA-систем:</w:t>
      </w:r>
    </w:p>
    <w:p>
      <w:pPr>
        <w:spacing w:before="0" w:after="0" w:line="360" w:lineRule="auto"/>
        <w:ind w:firstLine="709"/>
        <w:jc w:val="both"/>
      </w:pPr>
      <w:r>
        <w:rPr>
          <w:rFonts w:ascii="Times New Roman" w:hAnsi="Times New Roman"/>
          <w:b w:val="0"/>
          <w:i w:val="0"/>
          <w:color w:val="000000"/>
          <w:sz w:val="28"/>
        </w:rPr>
        <w:t xml:space="preserve">Монолитные (централизованные) системы. </w:t>
      </w:r>
      <w:r>
        <w:rPr>
          <w:rFonts w:ascii="Times New Roman" w:hAnsi="Times New Roman"/>
          <w:b w:val="0"/>
          <w:i w:val="0"/>
          <w:color w:val="000000"/>
          <w:sz w:val="28"/>
        </w:rPr>
        <w:t>представляют собой единый программный комплекс, установленный на одном сервере или рабочей станции. Все функции — сбор данных, обработка, визуализация и управление — выполняются в рамках одного приложения. К достоинствам монолитных систем относятся простота установки и настройки, низкие требования к вычислительным ресурсам. Основным недостатком является ограниченная масштабируемость и наличие единой точки отказа. Монолитные системы применяются на небольших объектах с количеством контролируемых параметров до нескольких сотен.</w:t>
      </w:r>
    </w:p>
    <w:p>
      <w:pPr>
        <w:spacing w:before="0" w:after="0" w:line="360" w:lineRule="auto"/>
        <w:ind w:firstLine="709"/>
        <w:jc w:val="both"/>
      </w:pPr>
      <w:r>
        <w:rPr>
          <w:rFonts w:ascii="Times New Roman" w:hAnsi="Times New Roman"/>
          <w:b w:val="0"/>
          <w:i w:val="0"/>
          <w:color w:val="000000"/>
          <w:sz w:val="28"/>
        </w:rPr>
        <w:t xml:space="preserve">Распределённые (клиент-серверные) системы. </w:t>
      </w:r>
      <w:r>
        <w:rPr>
          <w:rFonts w:ascii="Times New Roman" w:hAnsi="Times New Roman"/>
          <w:b w:val="0"/>
          <w:i w:val="0"/>
          <w:color w:val="000000"/>
          <w:sz w:val="28"/>
        </w:rPr>
        <w:t>строятся на основе архитектуры «клиент-сервер», где серверная часть отвечает за сбор и обработку данных, а клиентские приложения обеспечивают визуализацию и интерфейс оператора. Серверная часть может быть резервирована для обеспечения отказоустойчивости. Данный тип архитектуры является наиболее распространённым в современных SCADA-системах промышленного класса и позволяет обслуживать десятки тысяч контролируемых параметров.</w:t>
      </w:r>
    </w:p>
    <w:p>
      <w:pPr>
        <w:spacing w:before="0" w:after="0" w:line="360" w:lineRule="auto"/>
        <w:ind w:firstLine="709"/>
        <w:jc w:val="both"/>
      </w:pPr>
      <w:r>
        <w:rPr>
          <w:rFonts w:ascii="Times New Roman" w:hAnsi="Times New Roman"/>
          <w:b w:val="0"/>
          <w:i w:val="0"/>
          <w:color w:val="000000"/>
          <w:sz w:val="28"/>
        </w:rPr>
        <w:t xml:space="preserve">Веб-ориентированные системы. </w:t>
      </w:r>
      <w:r>
        <w:rPr>
          <w:rFonts w:ascii="Times New Roman" w:hAnsi="Times New Roman"/>
          <w:b w:val="0"/>
          <w:i w:val="0"/>
          <w:color w:val="000000"/>
          <w:sz w:val="28"/>
        </w:rPr>
        <w:t>используют технологии веб-приложений для предоставления пользовательского интерфейса через стандартный веб-браузер. Это обеспечивает возможность доступа к системе с любого устройства без установки специализированного клиентского программного обеспечения. Веб-ориентированные SCADA-системы активно развиваются в последние годы и особенно востребованы для мониторинга территориально распределённых объектов.</w:t>
      </w:r>
    </w:p>
    <w:p>
      <w:pPr>
        <w:spacing w:before="0" w:after="0" w:line="360" w:lineRule="auto"/>
        <w:ind w:firstLine="709"/>
        <w:jc w:val="both"/>
      </w:pPr>
      <w:r>
        <w:rPr>
          <w:rFonts w:ascii="Times New Roman" w:hAnsi="Times New Roman"/>
          <w:b w:val="0"/>
          <w:i w:val="0"/>
          <w:color w:val="000000"/>
          <w:sz w:val="28"/>
        </w:rPr>
        <w:t xml:space="preserve">Облачные (IoT-based) системы. </w:t>
      </w:r>
      <w:r>
        <w:rPr>
          <w:rFonts w:ascii="Times New Roman" w:hAnsi="Times New Roman"/>
          <w:b w:val="0"/>
          <w:i w:val="0"/>
          <w:color w:val="000000"/>
          <w:sz w:val="28"/>
        </w:rPr>
        <w:t>размещают серверную инфраструктуру в облачных дата-центрах и используют промышленный Интернет вещей (IIoT) для сбора данных от полевых устройств. Облачная архитектура обеспечивает практически неограниченную масштабируемость и снижение затрат на инфраструктуру, однако вызывает вопросы в части информационной безопасности и зависимости от каналов связи с дата-центром.</w:t>
      </w:r>
    </w:p>
    <w:p>
      <w:pPr>
        <w:spacing w:before="240" w:after="120" w:line="360" w:lineRule="auto"/>
        <w:ind w:firstLine="0"/>
        <w:jc w:val="left"/>
      </w:pPr>
      <w:r>
        <w:rPr>
          <w:rFonts w:ascii="Times New Roman" w:hAnsi="Times New Roman"/>
          <w:color w:val="000000"/>
          <w:sz w:val="28"/>
        </w:rPr>
        <w:t>Таблица 1 – Сравнительная характеристика SCADA-систем</w:t>
      </w:r>
    </w:p>
    <w:tbl>
      <w:tblPr>
        <w:tblStyle w:val="TableGrid"/>
        <w:tblW w:type="auto" w:w="0"/>
        <w:tblLook w:firstColumn="1" w:firstRow="1" w:lastColumn="0" w:lastRow="0" w:noHBand="0" w:noVBand="1" w:val="04A0"/>
        <w:tblW w:type="pct" w:w="5000"/>
      </w:tblPr>
      <w:tblGrid>
        <w:gridCol w:w="1871"/>
        <w:gridCol w:w="1871"/>
        <w:gridCol w:w="1871"/>
        <w:gridCol w:w="1871"/>
        <w:gridCol w:w="1871"/>
      </w:tblGrid>
      <w:tr>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Характеристика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WinCC (Siemens)</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MasterSCADA (ИнСАТ)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ClearSCADA (Schneider)</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ЭНТЕК (ТомскСофт)</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Страна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Германия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Россия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Франция/Великобритания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Россия</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Архитектура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Клиент-сервер</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Клиент-сервер</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Клиент-сервер + веб</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Клиент-сервер</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Макс. кол-во тегов</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до 256 000</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до 500 000</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до 2 000 000</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до 100 000</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Протоколы</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IEC 104, DNP3, Modbus, OPC</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IEC 104, Modbus, OPC UA</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IEC 104, DNP3, Modbus</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IEC 104, Modbus</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Веб-интерфейс</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 (WinCC/WebNavigator)</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 (встроенный)</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Ограниченно</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Резервирование</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Горячее</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Горячее/тёплое</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Горячее</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Тёплое</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Стоимость лицензии</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Высокая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Средняя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Высокая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Низкая</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Реестр отечест. ПО</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ОС</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Windows</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Windows/Linux</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Windows</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Windows/Linux</w:t>
            </w:r>
          </w:p>
        </w:tc>
      </w:tr>
    </w:tbl>
    <w:p>
      <w:pPr>
        <w:spacing w:before="0" w:after="0" w:line="360" w:lineRule="auto"/>
        <w:ind w:firstLine="709"/>
        <w:jc w:val="both"/>
      </w:pPr>
      <w:r>
        <w:rPr>
          <w:rFonts w:ascii="Times New Roman" w:hAnsi="Times New Roman"/>
          <w:b w:val="0"/>
          <w:i w:val="0"/>
          <w:color w:val="000000"/>
          <w:sz w:val="28"/>
        </w:rPr>
        <w:t>Как видно из таблицы 1, отечественные SCADA-системы MasterSCADA и ЭНТЕК обладают рядом преимуществ для российского рынка: они включены в Единый реестр российских программ для ЭВМ и баз данных, имеют более доступную стоимость лицензий и поддерживают работу на операционных системах семейства Linux, что соответствует требованиям импортозамещения. Вместе с тем, зарубежные системы WinCC и ClearSCADA превосходят отечественные аналоги по максимальному количеству поддерживаемых тегов и богатству функциональных возможностей [6].</w:t>
      </w:r>
    </w:p>
    <w:p>
      <w:pPr>
        <w:spacing w:before="0" w:after="0" w:line="360" w:lineRule="auto"/>
        <w:ind w:firstLine="709"/>
        <w:jc w:val="both"/>
      </w:pPr>
      <w:r>
        <w:rPr>
          <w:rFonts w:ascii="Times New Roman" w:hAnsi="Times New Roman"/>
          <w:b w:val="0"/>
          <w:i w:val="0"/>
          <w:color w:val="000000"/>
          <w:sz w:val="28"/>
        </w:rPr>
        <w:t>По масштабу применения SCADA-системы в электроэнергетике подразделяются на системы уровня подстанции (реализуют функции автоматизированной системы управления технологическим процессом — АСУ ТП), системы уровня диспетчерского управления распределительной сетью (районные или городские диспетчерские центры) и системы уровня оперативно-диспетчерского управления (ОДУ) региональных и национальных энергосистем. Каждый уровень предъявляет свои требования к производительности, объёму обрабатываемых данных и функциональным возможностям системы [7].</w:t>
      </w:r>
    </w:p>
    <w:p>
      <w:pPr>
        <w:spacing w:before="0" w:after="0" w:line="360" w:lineRule="auto"/>
        <w:ind w:firstLine="709"/>
        <w:jc w:val="both"/>
      </w:pPr>
      <w:r>
        <w:rPr>
          <w:rFonts w:ascii="Times New Roman" w:hAnsi="Times New Roman"/>
          <w:b w:val="0"/>
          <w:i w:val="0"/>
          <w:color w:val="000000"/>
          <w:sz w:val="28"/>
        </w:rPr>
        <w:t>Более детальное рассмотрение каждого из представленных в таблице 1 SCADA-решений позволяет выявить их специфические особенности применительно к задачам автоматизации распределительных сетей 6–10 кВ.</w:t>
      </w:r>
    </w:p>
    <w:p>
      <w:pPr>
        <w:spacing w:before="0" w:after="0" w:line="360" w:lineRule="auto"/>
        <w:ind w:firstLine="709"/>
        <w:jc w:val="both"/>
      </w:pPr>
      <w:r>
        <w:rPr>
          <w:rFonts w:ascii="Times New Roman" w:hAnsi="Times New Roman"/>
          <w:b w:val="0"/>
          <w:i w:val="0"/>
          <w:color w:val="000000"/>
          <w:sz w:val="28"/>
        </w:rPr>
        <w:t>Siemens WinCC является одной из наиболее функциональных SCADA-платформ мирового уровня. Система поддерживает масштабные инсталляции с количеством тегов до 256 000, обладает развитыми средствами визуализации (графический редактор, менеджер алармов, система трендов), поддерживает горячее резервирование серверов и интеграцию с системой MES/ERP уровня через OPC UA. Однако использование WinCC в российских электросетевых компаниях сопряжено со значительными рисками: система работает исключительно под управлением Windows, стоимость лицензий является высокой, а возможность получения технической поддержки и обновлений от Siemens существенно ограничена в условиях действующего санкционного режима.</w:t>
      </w:r>
    </w:p>
    <w:p>
      <w:pPr>
        <w:spacing w:before="0" w:after="0" w:line="360" w:lineRule="auto"/>
        <w:ind w:firstLine="709"/>
        <w:jc w:val="both"/>
      </w:pPr>
      <w:r>
        <w:rPr>
          <w:rFonts w:ascii="Times New Roman" w:hAnsi="Times New Roman"/>
          <w:b w:val="0"/>
          <w:i w:val="0"/>
          <w:color w:val="000000"/>
          <w:sz w:val="28"/>
        </w:rPr>
        <w:t>MasterSCADA компании «ИнСАТ» (Москва) является ведущей отечественной SCADA-платформой, включённой в Единый реестр российских программ. Последняя версия MasterSCADA 4D поддерживает работу как на Windows, так и на Linux (Astra Linux, ALT Linux), что соответствует требованиям импортозамещения операционных систем. Система обеспечивает количество тегов до 500 000, поддерживает протоколы МЭК 60870-5-104, Modbus RTU/TCP, OPC UA, имеет встроенные средства веб-визуализации. Стоимость лицензий MasterSCADA существенно ниже зарубежных аналогов, при этом функциональность достаточна для большинства задач автоматизации распределительных сетей.</w:t>
      </w:r>
    </w:p>
    <w:p>
      <w:pPr>
        <w:spacing w:before="0" w:after="0" w:line="360" w:lineRule="auto"/>
        <w:ind w:firstLine="709"/>
        <w:jc w:val="both"/>
      </w:pPr>
      <w:r>
        <w:rPr>
          <w:rFonts w:ascii="Times New Roman" w:hAnsi="Times New Roman"/>
          <w:b w:val="0"/>
          <w:i w:val="0"/>
          <w:color w:val="000000"/>
          <w:sz w:val="28"/>
        </w:rPr>
        <w:t>Платформа ЭНТЕК компании «ТомскСофт» представляет собой отечественную SCADA-систему, ориентированную на электроэнергетику. Система отличается относительно невысокой стоимостью лицензий и включением в реестр отечественного ПО. Вместе с тем, ЭНТЕК имеет ограничения по масштабируемости (до 100 000 тегов) и менее развитые средства веб-визуализации по сравнению с MasterSCADA.</w:t>
      </w:r>
    </w:p>
    <w:p>
      <w:pPr>
        <w:spacing w:before="0" w:after="0" w:line="360" w:lineRule="auto"/>
        <w:ind w:firstLine="709"/>
        <w:jc w:val="both"/>
      </w:pPr>
      <w:r>
        <w:rPr>
          <w:rFonts w:ascii="Times New Roman" w:hAnsi="Times New Roman"/>
          <w:b w:val="0"/>
          <w:i w:val="0"/>
          <w:color w:val="000000"/>
          <w:sz w:val="28"/>
        </w:rPr>
        <w:t>Помимо перечисленных систем, на российском рынке присутствуют и другие SCADA-платформы: Trace Mode (AdAstrA), LabView DSC (National Instruments), Wonderware (Schneider Electric), iFIX (GE Digital). Однако большинство из них являются зарубежными разработками и не включены в реестр отечественного ПО, что ограничивает их применение в организациях с государственным участием.</w:t>
      </w:r>
    </w:p>
    <w:p>
      <w:pPr>
        <w:spacing w:before="0" w:after="0" w:line="360" w:lineRule="auto"/>
        <w:ind w:firstLine="709"/>
        <w:jc w:val="both"/>
      </w:pPr>
      <w:r>
        <w:rPr>
          <w:rFonts w:ascii="Times New Roman" w:hAnsi="Times New Roman"/>
          <w:b w:val="0"/>
          <w:i w:val="0"/>
          <w:color w:val="000000"/>
          <w:sz w:val="28"/>
        </w:rPr>
        <w:t>Важным аспектом выбора SCADA-платформы для распределительных сетей является поддержка работы в условиях ограниченной полосы пропускания каналов связи. Монолитные системы, такие как ранние версии WinCC, требуют постоянного высокоскоростного соединения между серверной и клиентской частями, что делает их малопригодными для территориально распределённых объектов. Распределённые системы, напротив, способны функционировать в условиях периодического разрыва связи за счёт локального буферирования данных на уровне контроллеров и концентраторов. Современные веб-ориентированные платформы обеспечивают компромисс между функциональностью и требованиями к каналу связи, используя механизмы компрессии трафика и асинхронной передачи данных.</w:t>
      </w:r>
    </w:p>
    <w:p>
      <w:pPr>
        <w:spacing w:before="0" w:after="0" w:line="360" w:lineRule="auto"/>
        <w:ind w:firstLine="709"/>
        <w:jc w:val="both"/>
      </w:pPr>
      <w:r>
        <w:rPr>
          <w:rFonts w:ascii="Times New Roman" w:hAnsi="Times New Roman"/>
          <w:b w:val="0"/>
          <w:i w:val="0"/>
          <w:color w:val="000000"/>
          <w:sz w:val="28"/>
        </w:rPr>
        <w:t>Анализ существующих внедрений SCADA-систем в российских электросетевых компаниях показывает, что наиболее широкое распространение получили платформы Siemens WinCC и отечественная разработка MasterSCADA. По данным ПАО «Россети», на конец 2023 года системой WinCC оснащены около 35 процентов автоматизированных подстанций, MasterSCADA — около 25 процентов, прочие платформы (включая ClearSCADA, ЭНТЕК и собственные разработки) занимают оставшиеся 40 процентов рынка. При этом на уровне распределительных сетей 6–10 кВ доля автоматизированных участков остаётся крайне низкой — менее 10 процентов от общего числа линий оснащены системами удалённого мониторинга.</w:t>
      </w:r>
    </w:p>
    <w:p>
      <w:pPr>
        <w:spacing w:before="0" w:after="0" w:line="360" w:lineRule="auto"/>
        <w:ind w:firstLine="709"/>
        <w:jc w:val="both"/>
      </w:pPr>
      <w:r>
        <w:rPr>
          <w:rFonts w:ascii="Times New Roman" w:hAnsi="Times New Roman"/>
          <w:b w:val="0"/>
          <w:i w:val="0"/>
          <w:color w:val="000000"/>
          <w:sz w:val="28"/>
        </w:rPr>
        <w:t>Тенденция к переходу на микросервисную архитектуру SCADA-систем обусловлена необходимостью обеспечения горизонтальной масштабируемости и отказоустойчивости. В отличие от монолитных решений, где выход из строя центрального сервера приводит к полной потере управления, микросервисная архитектура позволяет распределить функциональность между независимыми компонентами. Каждый микросервис отвечает за конкретную функцию (сбор данных, обработка алармов, визуализация, архивирование) и может быть развёрнут на отдельном вычислительном узле. Такой подход существенно упрощает процедуры обновления и масштабирования системы, а также повышает её устойчивость к единичным отказам.</w:t>
      </w:r>
    </w:p>
    <w:p>
      <w:bookmarkStart w:id="8" w:name="_bm_section_1_3"/>
      <w:pPr>
        <w:spacing w:before="240" w:after="120" w:line="360" w:lineRule="auto"/>
        <w:ind w:firstLine="709"/>
        <w:jc w:val="both"/>
      </w:pPr>
      <w:r>
        <w:rPr>
          <w:rFonts w:ascii="Times New Roman" w:hAnsi="Times New Roman"/>
          <w:b/>
          <w:color w:val="000000"/>
          <w:sz w:val="28"/>
        </w:rPr>
        <w:t>1.3 Особенности использования SCADA на автоматизированных воздушных линиях 6–10 кВ</w:t>
      </w:r>
      <w:bookmarkEnd w:id="8"/>
    </w:p>
    <w:p>
      <w:pPr>
        <w:spacing w:before="0" w:after="0" w:line="360" w:lineRule="auto"/>
        <w:ind w:firstLine="709"/>
        <w:jc w:val="both"/>
      </w:pPr>
      <w:r>
        <w:rPr>
          <w:rFonts w:ascii="Times New Roman" w:hAnsi="Times New Roman"/>
          <w:b w:val="0"/>
          <w:i w:val="0"/>
          <w:color w:val="000000"/>
          <w:sz w:val="28"/>
        </w:rPr>
        <w:t>Воздушные линии электропередачи напряжением 6–10 кВ являются основой распределительных сетей, обеспечивающих электроснабжение конечных потребителей — населённых пунктов, промышленных предприятий, сельскохозяйственных объектов. По данным ПАО «Россети», общая протяжённость воздушных линий 6–10 кВ в Российской Федерации составляет около 800 тысяч километров, что делает их наиболее масштабным элементом электросетевой инфраструктуры страны [8].</w:t>
      </w:r>
    </w:p>
    <w:p>
      <w:pPr>
        <w:spacing w:before="0" w:after="0" w:line="360" w:lineRule="auto"/>
        <w:ind w:firstLine="709"/>
        <w:jc w:val="both"/>
      </w:pPr>
      <w:r>
        <w:rPr>
          <w:rFonts w:ascii="Times New Roman" w:hAnsi="Times New Roman"/>
          <w:b w:val="0"/>
          <w:i w:val="0"/>
          <w:color w:val="000000"/>
          <w:sz w:val="28"/>
        </w:rPr>
        <w:t>Отличительной особенностью воздушных линий среднего напряжения является их высокая подверженность внешним воздействиям, что обусловливает значительное количество технологических нарушений. К основным причинам аварийных отключений на ВЛ 6–10 кВ относятся: воздействие атмосферных перенапряжений (грозовые разряды), механические повреждения проводов и опор вследствие ветровых нагрузок и гололёдных отложений, падение деревьев на провода, а также повреждения, вызванные действиями третьих лиц. По статистике, средний показатель аварийности на ВЛ 6–10 кВ составляет от 5 до 15 аварийных отключений на 100 км трассы в год, в зависимости от климатического района и состояния линии [9].</w:t>
      </w:r>
    </w:p>
    <w:p>
      <w:pPr>
        <w:spacing w:before="0" w:after="0" w:line="360" w:lineRule="auto"/>
        <w:ind w:firstLine="709"/>
        <w:jc w:val="both"/>
      </w:pPr>
      <w:r>
        <w:rPr>
          <w:rFonts w:ascii="Times New Roman" w:hAnsi="Times New Roman"/>
          <w:b w:val="0"/>
          <w:i w:val="0"/>
          <w:color w:val="000000"/>
          <w:sz w:val="28"/>
        </w:rPr>
        <w:t>Традиционно воздушные линии 6–10 кВ не оснащались средствами телемеханики. Информация об аварийных отключениях поступала в диспетчерский центр от потребителей или обнаруживалась выездными ремонтными бригадами путём визуального осмотра линии. Среднее время обнаружения и локализации повреждения составляло от двух до шести часов, а в труднодоступных районах могло достигать суток. Это приводило к длительным перерывам в электроснабжении потребителей и значительным экономическим потерям [10].</w:t>
      </w:r>
    </w:p>
    <w:p>
      <w:pPr>
        <w:spacing w:before="0" w:after="0" w:line="360" w:lineRule="auto"/>
        <w:ind w:firstLine="709"/>
        <w:jc w:val="both"/>
      </w:pPr>
      <w:r>
        <w:rPr>
          <w:rFonts w:ascii="Times New Roman" w:hAnsi="Times New Roman"/>
          <w:b w:val="0"/>
          <w:i w:val="0"/>
          <w:color w:val="000000"/>
          <w:sz w:val="28"/>
        </w:rPr>
        <w:t>Внедрение интеллектуальных коммутационных аппаратов — реклоузеров — кардинально изменяет ситуацию. Реклоузер представляет собой автоматический выключатель, устанавливаемый на воздушной линии 6–10 кВ и оснащённый микропроцессорным блоком управления, встроенными датчиками тока и напряжения, а также модулем телекоммуникации. Реклоузер обеспечивает следующие функции [11]:</w:t>
      </w:r>
    </w:p>
    <w:p>
      <w:pPr>
        <w:spacing w:before="0" w:after="0" w:line="360" w:lineRule="auto"/>
        <w:ind w:firstLine="709"/>
        <w:jc w:val="both"/>
      </w:pPr>
      <w:r>
        <w:rPr>
          <w:rFonts w:ascii="Times New Roman" w:hAnsi="Times New Roman"/>
          <w:color w:val="000000"/>
          <w:sz w:val="28"/>
        </w:rPr>
        <w:t>– автоматическое отключение повреждённого участка линии при возникновении короткого замыкания с последующим автоматическим повторным включением (АПВ) — до четырёх циклов;</w:t>
      </w:r>
    </w:p>
    <w:p>
      <w:pPr>
        <w:spacing w:before="0" w:after="0" w:line="360" w:lineRule="auto"/>
        <w:ind w:firstLine="709"/>
        <w:jc w:val="both"/>
      </w:pPr>
      <w:r>
        <w:rPr>
          <w:rFonts w:ascii="Times New Roman" w:hAnsi="Times New Roman"/>
          <w:color w:val="000000"/>
          <w:sz w:val="28"/>
        </w:rPr>
        <w:t>– секционирование линии для минимизации зоны отключения и локализации повреждённого участка;</w:t>
      </w:r>
    </w:p>
    <w:p>
      <w:pPr>
        <w:spacing w:before="0" w:after="0" w:line="360" w:lineRule="auto"/>
        <w:ind w:firstLine="709"/>
        <w:jc w:val="both"/>
      </w:pPr>
      <w:r>
        <w:rPr>
          <w:rFonts w:ascii="Times New Roman" w:hAnsi="Times New Roman"/>
          <w:color w:val="000000"/>
          <w:sz w:val="28"/>
        </w:rPr>
        <w:t>– измерение параметров электрического режима: тока, напряжения, мощности, частоты, коэффициента мощности;</w:t>
      </w:r>
    </w:p>
    <w:p>
      <w:pPr>
        <w:spacing w:before="0" w:after="0" w:line="360" w:lineRule="auto"/>
        <w:ind w:firstLine="709"/>
        <w:jc w:val="both"/>
      </w:pPr>
      <w:r>
        <w:rPr>
          <w:rFonts w:ascii="Times New Roman" w:hAnsi="Times New Roman"/>
          <w:color w:val="000000"/>
          <w:sz w:val="28"/>
        </w:rPr>
        <w:t>– регистрация аварийных событий с привязкой к времени и осциллографированием токов и напряжений;</w:t>
      </w:r>
    </w:p>
    <w:p>
      <w:pPr>
        <w:spacing w:before="0" w:after="0" w:line="360" w:lineRule="auto"/>
        <w:ind w:firstLine="709"/>
        <w:jc w:val="both"/>
      </w:pPr>
      <w:r>
        <w:rPr>
          <w:rFonts w:ascii="Times New Roman" w:hAnsi="Times New Roman"/>
          <w:color w:val="000000"/>
          <w:sz w:val="28"/>
        </w:rPr>
        <w:t>– передача телеметрических данных и аварийных сообщений в диспетчерский центр по различным каналам связи;</w:t>
      </w:r>
    </w:p>
    <w:p>
      <w:pPr>
        <w:spacing w:before="0" w:after="0" w:line="360" w:lineRule="auto"/>
        <w:ind w:firstLine="709"/>
        <w:jc w:val="both"/>
      </w:pPr>
      <w:r>
        <w:rPr>
          <w:rFonts w:ascii="Times New Roman" w:hAnsi="Times New Roman"/>
          <w:color w:val="000000"/>
          <w:sz w:val="28"/>
        </w:rPr>
        <w:t>– приём команд дистанционного управления (включение/отключение) от диспетчера.</w:t>
      </w:r>
    </w:p>
    <w:p>
      <w:pPr>
        <w:spacing w:before="0" w:after="0" w:line="360" w:lineRule="auto"/>
        <w:ind w:firstLine="709"/>
        <w:jc w:val="both"/>
      </w:pPr>
      <w:r>
        <w:rPr>
          <w:rFonts w:ascii="Times New Roman" w:hAnsi="Times New Roman"/>
          <w:b w:val="0"/>
          <w:i w:val="0"/>
          <w:color w:val="000000"/>
          <w:sz w:val="28"/>
        </w:rPr>
        <w:t>Типовая схема автоматизации участка ВЛ 6–10 кВ предусматривает установку от двух до четырёх реклоузеров на линии протяжённостью 15–25 км, что позволяет разделить линию на три—пять секций. При возникновении короткого замыкания реклоузеры взаимодействуют между собой по принципу «защита с ускорением», обеспечивая автоматическую изоляцию повреждённой секции и восстановление питания неповреждённых участков в течение нескольких секунд [12].</w:t>
      </w:r>
    </w:p>
    <w:p>
      <w:pPr>
        <w:spacing w:before="0" w:after="0" w:line="360" w:lineRule="auto"/>
        <w:ind w:firstLine="709"/>
        <w:jc w:val="both"/>
      </w:pPr>
      <w:r>
        <w:rPr>
          <w:rFonts w:ascii="Times New Roman" w:hAnsi="Times New Roman"/>
          <w:b w:val="0"/>
          <w:i w:val="0"/>
          <w:color w:val="000000"/>
          <w:sz w:val="28"/>
        </w:rPr>
        <w:t>Интеграция реклоузеров в SCADA-систему обеспечивает диспетчеру возможность удалённого мониторинга и управления участком ВЛ в режиме реального времени. На мнемосхеме SCADA-системы отображается однолинейная схема линии с указанием положения реклоузеров (включён/отключён), текущих значений тока и напряжения, а также аварийных сигналов. Диспетчер имеет возможность дистанционно включать и отключать реклоузеры, изменять параметры уставок релейной защиты и просматривать архивы событий [13].</w:t>
      </w:r>
    </w:p>
    <w:p>
      <w:pPr>
        <w:spacing w:before="0" w:after="0" w:line="360" w:lineRule="auto"/>
        <w:ind w:firstLine="709"/>
        <w:jc w:val="both"/>
      </w:pPr>
      <w:r>
        <w:rPr>
          <w:rFonts w:ascii="Times New Roman" w:hAnsi="Times New Roman"/>
          <w:b w:val="0"/>
          <w:i w:val="0"/>
          <w:color w:val="000000"/>
          <w:sz w:val="28"/>
        </w:rPr>
        <w:t>Основные особенности, определяющие специфику SCADA-систем для ВЛ 6–10 кВ:</w:t>
      </w:r>
    </w:p>
    <w:p>
      <w:pPr>
        <w:spacing w:before="0" w:after="0" w:line="360" w:lineRule="auto"/>
        <w:ind w:firstLine="709"/>
        <w:jc w:val="both"/>
      </w:pPr>
      <w:r>
        <w:rPr>
          <w:rFonts w:ascii="Times New Roman" w:hAnsi="Times New Roman"/>
          <w:b w:val="0"/>
          <w:i w:val="0"/>
          <w:color w:val="000000"/>
          <w:sz w:val="28"/>
        </w:rPr>
        <w:t xml:space="preserve">Территориальная распределённость. </w:t>
      </w:r>
      <w:r>
        <w:rPr>
          <w:rFonts w:ascii="Times New Roman" w:hAnsi="Times New Roman"/>
          <w:b w:val="0"/>
          <w:i w:val="0"/>
          <w:color w:val="000000"/>
          <w:sz w:val="28"/>
        </w:rPr>
        <w:t>объекты контроля (реклоузеры) расположены на значительном удалении друг от друга и от диспетчерского центра, что предъявляет повышенные требования к каналам связи и обуславливает необходимость использования беспроводных технологий (GSM/GPRS/LTE, радиоканал);</w:t>
      </w:r>
    </w:p>
    <w:p>
      <w:pPr>
        <w:spacing w:before="0" w:after="0" w:line="360" w:lineRule="auto"/>
        <w:ind w:firstLine="709"/>
        <w:jc w:val="both"/>
      </w:pPr>
      <w:r>
        <w:rPr>
          <w:rFonts w:ascii="Times New Roman" w:hAnsi="Times New Roman"/>
          <w:b w:val="0"/>
          <w:i w:val="0"/>
          <w:color w:val="000000"/>
          <w:sz w:val="28"/>
        </w:rPr>
        <w:t xml:space="preserve">Ограниченная инфраструктура. </w:t>
      </w:r>
      <w:r>
        <w:rPr>
          <w:rFonts w:ascii="Times New Roman" w:hAnsi="Times New Roman"/>
          <w:b w:val="0"/>
          <w:i w:val="0"/>
          <w:color w:val="000000"/>
          <w:sz w:val="28"/>
        </w:rPr>
        <w:t>в большинстве случаев на участке ВЛ 6–10 кВ отсутствует стационарное электропитание для средств связи (за исключением реклоузеров, которые питаются от контролируемой линии), что ограничивает выбор коммуникационного оборудования;</w:t>
      </w:r>
    </w:p>
    <w:p>
      <w:pPr>
        <w:spacing w:before="0" w:after="0" w:line="360" w:lineRule="auto"/>
        <w:ind w:firstLine="709"/>
        <w:jc w:val="both"/>
      </w:pPr>
      <w:r>
        <w:rPr>
          <w:rFonts w:ascii="Times New Roman" w:hAnsi="Times New Roman"/>
          <w:b w:val="0"/>
          <w:i w:val="0"/>
          <w:color w:val="000000"/>
          <w:sz w:val="28"/>
        </w:rPr>
        <w:t xml:space="preserve">Суровые условия эксплуатации. </w:t>
      </w:r>
      <w:r>
        <w:rPr>
          <w:rFonts w:ascii="Times New Roman" w:hAnsi="Times New Roman"/>
          <w:b w:val="0"/>
          <w:i w:val="0"/>
          <w:color w:val="000000"/>
          <w:sz w:val="28"/>
        </w:rPr>
        <w:t>оборудование работает в широком диапазоне температур (от −40 до +50°C), подвержено воздействию атмосферных осадков, пыли, вибраций, электромагнитных помех от высоковольтного оборудования;</w:t>
      </w:r>
    </w:p>
    <w:p>
      <w:pPr>
        <w:spacing w:before="0" w:after="0" w:line="360" w:lineRule="auto"/>
        <w:ind w:firstLine="709"/>
        <w:jc w:val="both"/>
      </w:pPr>
      <w:r>
        <w:rPr>
          <w:rFonts w:ascii="Times New Roman" w:hAnsi="Times New Roman"/>
          <w:b w:val="0"/>
          <w:i w:val="0"/>
          <w:color w:val="000000"/>
          <w:sz w:val="28"/>
        </w:rPr>
        <w:t xml:space="preserve">Невысокая скорость передачи данных. </w:t>
      </w:r>
      <w:r>
        <w:rPr>
          <w:rFonts w:ascii="Times New Roman" w:hAnsi="Times New Roman"/>
          <w:b w:val="0"/>
          <w:i w:val="0"/>
          <w:color w:val="000000"/>
          <w:sz w:val="28"/>
        </w:rPr>
        <w:t>использование каналов связи GSM/GPRS обуславливает ограниченную пропускную способность (до 40–80 Кбит/с) и переменную задержку передачи данных, что необходимо учитывать при проектировании информационного обмена.</w:t>
      </w:r>
    </w:p>
    <w:p>
      <w:pPr>
        <w:spacing w:before="0" w:after="0" w:line="360" w:lineRule="auto"/>
        <w:ind w:firstLine="709"/>
        <w:jc w:val="both"/>
      </w:pPr>
      <w:r>
        <w:rPr>
          <w:rFonts w:ascii="Times New Roman" w:hAnsi="Times New Roman"/>
          <w:b w:val="0"/>
          <w:i w:val="0"/>
          <w:color w:val="000000"/>
          <w:sz w:val="28"/>
        </w:rPr>
        <w:t>Перечисленные особенности определяют требования к SCADA-системе для ВЛ 6–10 кВ: она должна быть устойчива к нестабильным каналам связи, поддерживать работу с ограниченным количеством телеметрических параметров от каждого объекта (как правило, от 20 до 50 параметров на реклоузер), обеспечивать приоритетную передачу аварийных сообщений и иметь механизмы восстановления данных при временной потере связи [14].</w:t>
      </w:r>
    </w:p>
    <w:p>
      <w:pPr>
        <w:spacing w:before="0" w:after="0" w:line="360" w:lineRule="auto"/>
        <w:ind w:firstLine="709"/>
        <w:jc w:val="both"/>
      </w:pPr>
      <w:r>
        <w:rPr>
          <w:rFonts w:ascii="Times New Roman" w:hAnsi="Times New Roman"/>
          <w:b w:val="0"/>
          <w:i w:val="0"/>
          <w:color w:val="000000"/>
          <w:sz w:val="28"/>
        </w:rPr>
        <w:t>Анализ опыта внедрения реклоузеров в распределительных сетях России показывает следующие результаты. Филиал ПАО «Россети» — «Россети Центр» к 2025 году установил более 8 000 реклоузеров на воздушных линиях 6–10 кВ в 11 регионах Центрального федерального округа. По данным компании, это позволило сократить среднее время восстановления электроснабжения потребителей с 4,2 до 1,5 часов и уменьшить количество выездов ремонтных бригад на 35%. Аналогичные программы реализуются в филиалах «Россети Волга», «Россети Урал» и «Россети Сибирь».</w:t>
      </w:r>
    </w:p>
    <w:p>
      <w:pPr>
        <w:spacing w:before="0" w:after="0" w:line="360" w:lineRule="auto"/>
        <w:ind w:firstLine="709"/>
        <w:jc w:val="both"/>
      </w:pPr>
      <w:r>
        <w:rPr>
          <w:rFonts w:ascii="Times New Roman" w:hAnsi="Times New Roman"/>
          <w:b w:val="0"/>
          <w:i w:val="0"/>
          <w:color w:val="000000"/>
          <w:sz w:val="28"/>
        </w:rPr>
        <w:t>Среди производителей реклоузеров, представленных на российском рынке, следует выделить следующих. Группа компаний «Таврида Электрик» (Россия) производит реклоузеры серии РВА/TEL с вакуумной камерой, встроенным микропроцессорным блоком управления SMART и модулями телекоммуникации (GSM/GPRS, радиоканал, Ethernet). Компания ABB предлагает реклоузеры серии OVR с пружинным приводом, однако их поставки в Россию ограничены. Отечественная компания «НТПК» (Новосибирск) разработала реклоузеры серии PBA с поддержкой протоколов МЭК 60870-5-104 и МЭК 61850.</w:t>
      </w:r>
    </w:p>
    <w:p>
      <w:pPr>
        <w:spacing w:before="0" w:after="0" w:line="360" w:lineRule="auto"/>
        <w:ind w:firstLine="709"/>
        <w:jc w:val="both"/>
      </w:pPr>
      <w:r>
        <w:rPr>
          <w:rFonts w:ascii="Times New Roman" w:hAnsi="Times New Roman"/>
          <w:b w:val="0"/>
          <w:i w:val="0"/>
          <w:color w:val="000000"/>
          <w:sz w:val="28"/>
        </w:rPr>
        <w:t>Важным аспектом применения реклоузеров на ВЛ 6–10 кВ является организация их взаимодействия при изоляции повреждённого участка. Существуют два основных подхода: централизованный и децентрализованный. При централизованном подходе логика секционирования реализуется в SCADA-системе диспетчерского центра, которая анализирует данные от всех реклоузеров и формирует команды управления. Данный подход обеспечивает максимальную гибкость, но зависит от наличия связи между реклоузерами и диспетчерским центром. При децентрализованном подходе логика секционирования заложена непосредственно в контроллерах реклоузеров, которые взаимодействуют между собой по протоколу «защита с ускорением» без участия диспетчерского центра. Этот подход обеспечивает автоматическое секционирование даже при потере связи, но менее гибок в настройке.</w:t>
      </w:r>
    </w:p>
    <w:p>
      <w:pPr>
        <w:spacing w:before="0" w:after="0" w:line="360" w:lineRule="auto"/>
        <w:ind w:firstLine="709"/>
        <w:jc w:val="both"/>
      </w:pPr>
      <w:r>
        <w:rPr>
          <w:rFonts w:ascii="Times New Roman" w:hAnsi="Times New Roman"/>
          <w:b w:val="0"/>
          <w:i w:val="0"/>
          <w:color w:val="000000"/>
          <w:sz w:val="28"/>
        </w:rPr>
        <w:t>Отдельного внимания заслуживает вопрос организации электропитания оборудования автоматизации на ВЛ 6–10 кВ. Контроллеры реклоузеров и коммуникационное оборудование требуют надёжного электропитания для обеспечения непрерывной работы системы мониторинга. Основным источником питания является собственно контролируемая линия 6–10 кВ через встроенный в реклоузер трансформатор напряжения. При обесточении линии (что является типичной ситуацией при аварии) электропитание обеспечивается встроенной аккумуляторной батареей. Современные реклоузеры оснащаются герметичными необслуживаемыми аккумуляторами ёмкостью от 7 до 26 А·ч, обеспечивающими автономную работу от 8 до 72 часов в зависимости от конфигурации и температуры окружающей среды.</w:t>
      </w:r>
    </w:p>
    <w:p>
      <w:pPr>
        <w:spacing w:before="0" w:after="0" w:line="360" w:lineRule="auto"/>
        <w:ind w:firstLine="709"/>
        <w:jc w:val="both"/>
      </w:pPr>
      <w:r>
        <w:rPr>
          <w:rFonts w:ascii="Times New Roman" w:hAnsi="Times New Roman"/>
          <w:b w:val="0"/>
          <w:i w:val="0"/>
          <w:color w:val="000000"/>
          <w:sz w:val="28"/>
        </w:rPr>
        <w:t>В регионах с суровым климатом (Сибирь, Дальний Восток, Крайний Север) эксплуатация оборудования автоматизации на ВЛ 6–10 кВ сопряжена с дополнительными трудностями. При температурах ниже минус 30 градусов Цельсия существенно снижается ёмкость аккумуляторных батарей (до 30–50% от номинальной), увеличивается время реакции электронных компонентов, возможно обледенение антенн связи. Для работы в таких условиях применяются специальные меры: подогрев отсека контроллера за счёт потерь в силовых цепях, использование литий-железо-фосфатных (LiFePO4) аккумуляторов с расширенным температурным диапазоном, установка антенн связи в защитных обтекателях.</w:t>
      </w:r>
    </w:p>
    <w:p>
      <w:pPr>
        <w:spacing w:before="0" w:after="0" w:line="360" w:lineRule="auto"/>
        <w:ind w:firstLine="709"/>
        <w:jc w:val="both"/>
      </w:pPr>
      <w:r>
        <w:rPr>
          <w:rFonts w:ascii="Times New Roman" w:hAnsi="Times New Roman"/>
          <w:b w:val="0"/>
          <w:i w:val="0"/>
          <w:color w:val="000000"/>
          <w:sz w:val="28"/>
        </w:rPr>
        <w:t>Следует также отметить проблему электромагнитной совместимости (ЭМС) оборудования автоматизации на ВЛ 6–10 кВ. Контроллеры реклоузеров и коммуникационное оборудование работают в непосредственной близости от высоковольтного оборудования и подвергаются воздействию мощных электромагнитных помех: коммутационных перенапряжений при включении и отключении нагрузки, грозовых перенапряжений, импульсных помех при работе устройств защиты. Оборудование должно соответствовать требованиям ЭМС по ГОСТ Р 51317 (устойчивость к электростатическим разрядам, радиочастотным помехам, импульсным помехам, колебаниям напряжения питания).</w:t>
      </w:r>
    </w:p>
    <w:p>
      <w:bookmarkStart w:id="9" w:name="_bm_section_1_4"/>
      <w:pPr>
        <w:spacing w:before="240" w:after="120" w:line="360" w:lineRule="auto"/>
        <w:ind w:firstLine="709"/>
        <w:jc w:val="both"/>
      </w:pPr>
      <w:r>
        <w:rPr>
          <w:rFonts w:ascii="Times New Roman" w:hAnsi="Times New Roman"/>
          <w:b/>
          <w:color w:val="000000"/>
          <w:sz w:val="28"/>
        </w:rPr>
        <w:t>1.4 Требования к системам мониторинга и диспетчерского управления в распределительных сетях</w:t>
      </w:r>
      <w:bookmarkEnd w:id="9"/>
    </w:p>
    <w:p>
      <w:pPr>
        <w:spacing w:before="0" w:after="0" w:line="360" w:lineRule="auto"/>
        <w:ind w:firstLine="709"/>
        <w:jc w:val="both"/>
      </w:pPr>
      <w:r>
        <w:rPr>
          <w:rFonts w:ascii="Times New Roman" w:hAnsi="Times New Roman"/>
          <w:b w:val="0"/>
          <w:i w:val="0"/>
          <w:color w:val="000000"/>
          <w:sz w:val="28"/>
        </w:rPr>
        <w:t>Требования к системам мониторинга и диспетчерского управления распределительными электрическими сетями определяются комплексом нормативных документов, включая правила устройства электроустановок (ПУЭ), правила технической эксплуатации электрических станций и сетей (ПТЭ), стандарты серии МЭК 61850 и МЭК 60870, а также ведомственные руководящие документы электросетевых компаний [15].</w:t>
      </w:r>
    </w:p>
    <w:p>
      <w:pPr>
        <w:spacing w:before="0" w:after="0" w:line="360" w:lineRule="auto"/>
        <w:ind w:firstLine="709"/>
        <w:jc w:val="both"/>
      </w:pPr>
      <w:r>
        <w:rPr>
          <w:rFonts w:ascii="Times New Roman" w:hAnsi="Times New Roman"/>
          <w:b w:val="0"/>
          <w:i w:val="0"/>
          <w:color w:val="000000"/>
          <w:sz w:val="28"/>
        </w:rPr>
        <w:t>К функциональным требованиям относятся:</w:t>
      </w:r>
    </w:p>
    <w:p>
      <w:pPr>
        <w:spacing w:before="0" w:after="0" w:line="360" w:lineRule="auto"/>
        <w:ind w:firstLine="709"/>
        <w:jc w:val="both"/>
      </w:pPr>
      <w:r>
        <w:rPr>
          <w:rFonts w:ascii="Times New Roman" w:hAnsi="Times New Roman"/>
          <w:color w:val="000000"/>
          <w:sz w:val="28"/>
        </w:rPr>
        <w:t>– обеспечение непрерывного мониторинга параметров электрического режима контролируемого участка сети с периодичностью обновления данных не более 10 секунд для телеизмерений и не более 2 секунд для телесигнализации;</w:t>
      </w:r>
    </w:p>
    <w:p>
      <w:pPr>
        <w:spacing w:before="0" w:after="0" w:line="360" w:lineRule="auto"/>
        <w:ind w:firstLine="709"/>
        <w:jc w:val="both"/>
      </w:pPr>
      <w:r>
        <w:rPr>
          <w:rFonts w:ascii="Times New Roman" w:hAnsi="Times New Roman"/>
          <w:color w:val="000000"/>
          <w:sz w:val="28"/>
        </w:rPr>
        <w:t>– формирование и передача аварийных сообщений с задержкой не более 1 секунды от момента возникновения события;</w:t>
      </w:r>
    </w:p>
    <w:p>
      <w:pPr>
        <w:spacing w:before="0" w:after="0" w:line="360" w:lineRule="auto"/>
        <w:ind w:firstLine="709"/>
        <w:jc w:val="both"/>
      </w:pPr>
      <w:r>
        <w:rPr>
          <w:rFonts w:ascii="Times New Roman" w:hAnsi="Times New Roman"/>
          <w:color w:val="000000"/>
          <w:sz w:val="28"/>
        </w:rPr>
        <w:t>– обеспечение дистанционного управления коммутационными аппаратами с временем выполнения команды не более 5 секунд;</w:t>
      </w:r>
    </w:p>
    <w:p>
      <w:pPr>
        <w:spacing w:before="0" w:after="0" w:line="360" w:lineRule="auto"/>
        <w:ind w:firstLine="709"/>
        <w:jc w:val="both"/>
      </w:pPr>
      <w:r>
        <w:rPr>
          <w:rFonts w:ascii="Times New Roman" w:hAnsi="Times New Roman"/>
          <w:color w:val="000000"/>
          <w:sz w:val="28"/>
        </w:rPr>
        <w:t>– ведение архива телеизмерений с глубиной хранения не менее 3 лет и архива событий с глубиной хранения не менее 5 лет;</w:t>
      </w:r>
    </w:p>
    <w:p>
      <w:pPr>
        <w:spacing w:before="0" w:after="0" w:line="360" w:lineRule="auto"/>
        <w:ind w:firstLine="709"/>
        <w:jc w:val="both"/>
      </w:pPr>
      <w:r>
        <w:rPr>
          <w:rFonts w:ascii="Times New Roman" w:hAnsi="Times New Roman"/>
          <w:color w:val="000000"/>
          <w:sz w:val="28"/>
        </w:rPr>
        <w:t>– поддержка одновременной работы не менее трёх операторских рабочих станций;</w:t>
      </w:r>
    </w:p>
    <w:p>
      <w:pPr>
        <w:spacing w:before="0" w:after="0" w:line="360" w:lineRule="auto"/>
        <w:ind w:firstLine="709"/>
        <w:jc w:val="both"/>
      </w:pPr>
      <w:r>
        <w:rPr>
          <w:rFonts w:ascii="Times New Roman" w:hAnsi="Times New Roman"/>
          <w:color w:val="000000"/>
          <w:sz w:val="28"/>
        </w:rPr>
        <w:t>– обеспечение автоматического определения потери связи с контролируемым объектом и формирование соответствующего аварийного сообщения.</w:t>
      </w:r>
    </w:p>
    <w:p>
      <w:pPr>
        <w:spacing w:before="0" w:after="0" w:line="360" w:lineRule="auto"/>
        <w:ind w:firstLine="709"/>
        <w:jc w:val="both"/>
      </w:pPr>
      <w:r>
        <w:rPr>
          <w:rFonts w:ascii="Times New Roman" w:hAnsi="Times New Roman"/>
          <w:b w:val="0"/>
          <w:i w:val="0"/>
          <w:color w:val="000000"/>
          <w:sz w:val="28"/>
        </w:rPr>
        <w:t>К требованиям по надёжности и отказоустойчивости относятся следующие показатели. Коэффициент готовности SCADA-системы должен составлять не менее 0,999, что соответствует допустимому времени простоя не более 8,76 часа в год. Среднее время наработки на отказ (MTBF) серверного оборудования должно составлять не менее 50 000 часов. Среднее время восстановления работоспособности (MTTR) при отказе основного сервера не должно превышать 30 секунд при использовании горячего резервирования и 5 минут при использовании тёплого резервирования [16].</w:t>
      </w:r>
    </w:p>
    <w:p>
      <w:pPr>
        <w:spacing w:before="0" w:after="0" w:line="360" w:lineRule="auto"/>
        <w:ind w:firstLine="709"/>
        <w:jc w:val="both"/>
      </w:pPr>
      <w:r>
        <w:rPr>
          <w:rFonts w:ascii="Times New Roman" w:hAnsi="Times New Roman"/>
          <w:b w:val="0"/>
          <w:i w:val="0"/>
          <w:color w:val="000000"/>
          <w:sz w:val="28"/>
        </w:rPr>
        <w:t>Для обеспечения требуемого уровня надёжности SCADA-система должна предусматривать резервирование серверов (дублирование с автоматическим переключением), резервирование каналов связи (основной и резервный канал к каждому контролируемому объекту), резервное электропитание (источники бесперебойного питания с временем автономной работы не менее 2 часов) и регулярное автоматическое резервное копирование базы данных [17].</w:t>
      </w:r>
    </w:p>
    <w:p>
      <w:pPr>
        <w:spacing w:before="0" w:after="0" w:line="360" w:lineRule="auto"/>
        <w:ind w:firstLine="709"/>
        <w:jc w:val="both"/>
      </w:pPr>
      <w:r>
        <w:rPr>
          <w:rFonts w:ascii="Times New Roman" w:hAnsi="Times New Roman"/>
          <w:b w:val="0"/>
          <w:i w:val="0"/>
          <w:color w:val="000000"/>
          <w:sz w:val="28"/>
        </w:rPr>
        <w:t>Важным требованием является поддержка стандартных протоколов телемеханики. Основным протоколом для связи SCADA-системы с контроллерами реклоузеров на ВЛ 6–10 кВ является МЭК 60870-5-104 (IEC 104), который обеспечивает передачу телемеханической информации по сетям TCP/IP. Протокол определяет форматы телеграмм для передачи телеизмерений, телесигнализации, команд телеуправления и меток времени. Преимуществом IEC 104 является стандартизированность, широкая поддержка производителями оборудования и возможность работы по любым сетям TCP/IP, включая мобильные сети передачи данных [18].</w:t>
      </w:r>
    </w:p>
    <w:p>
      <w:pPr>
        <w:spacing w:before="0" w:after="0" w:line="360" w:lineRule="auto"/>
        <w:ind w:firstLine="709"/>
        <w:jc w:val="both"/>
      </w:pPr>
      <w:r>
        <w:rPr>
          <w:rFonts w:ascii="Times New Roman" w:hAnsi="Times New Roman"/>
          <w:b w:val="0"/>
          <w:i w:val="0"/>
          <w:color w:val="000000"/>
          <w:sz w:val="28"/>
        </w:rPr>
        <w:t>Дополнительно SCADA-система может поддерживать протоколы Modbus RTU/TCP для связи с устаревшим оборудованием, OPC UA для интеграции с верхнеуровневыми информационными системами (ERP, BI), а также протокол МЭК 61850 для связи с цифровыми подстанциями нового поколения [19].</w:t>
      </w:r>
    </w:p>
    <w:p>
      <w:pPr>
        <w:spacing w:before="0" w:after="0" w:line="360" w:lineRule="auto"/>
        <w:ind w:firstLine="709"/>
        <w:jc w:val="both"/>
      </w:pPr>
      <w:r>
        <w:rPr>
          <w:rFonts w:ascii="Times New Roman" w:hAnsi="Times New Roman"/>
          <w:b w:val="0"/>
          <w:i w:val="0"/>
          <w:color w:val="000000"/>
          <w:sz w:val="28"/>
        </w:rPr>
        <w:t>Таким образом, проведённый анализ показал, что SCADA-системы являются ключевым инструментом автоматизации распределительных электрических сетей. Их применение на воздушных линиях 6–10 кВ имеет ряд особенностей, связанных с территориальной распределённостью объектов и ограничениями каналов связи. Существующие отечественные SCADA-платформы обладают достаточным функционалом для решения задач мониторинга ВЛ 6–10 кВ, однако требуют адаптации под конкретные условия эксплуатации.</w:t>
      </w:r>
    </w:p>
    <w:p>
      <w:pPr>
        <w:spacing w:before="0" w:after="0" w:line="360" w:lineRule="auto"/>
        <w:ind w:firstLine="709"/>
        <w:jc w:val="both"/>
      </w:pPr>
      <w:r>
        <w:rPr>
          <w:rFonts w:ascii="Times New Roman" w:hAnsi="Times New Roman"/>
          <w:b w:val="0"/>
          <w:i w:val="0"/>
          <w:color w:val="000000"/>
          <w:sz w:val="28"/>
        </w:rPr>
        <w:t>Помимо функциональных требований и требований к надёжности, к SCADA-системам для распределительных сетей предъявляются требования по эргономике и пользовательскому интерфейсу. Согласно стандарту ISA-101 и рекомендациям ГОСТ Р ИСО 9241, интерфейс диспетчера должен обеспечивать: ситуационную осведомлённость оператора (situation awareness) — возможность быстро оценить текущее состояние контролируемого объекта; иерархическую навигацию — переход от обзорных экранов к детальным; стандартизированную цветовую палитру в соответствии с МЭК 60073; минимизацию количества действий для выполнения типовых операций; поддержку нескольких мониторов на рабочем месте диспетчера.</w:t>
      </w:r>
    </w:p>
    <w:p>
      <w:pPr>
        <w:spacing w:before="0" w:after="0" w:line="360" w:lineRule="auto"/>
        <w:ind w:firstLine="709"/>
        <w:jc w:val="both"/>
      </w:pPr>
      <w:r>
        <w:rPr>
          <w:rFonts w:ascii="Times New Roman" w:hAnsi="Times New Roman"/>
          <w:b w:val="0"/>
          <w:i w:val="0"/>
          <w:color w:val="000000"/>
          <w:sz w:val="28"/>
        </w:rPr>
        <w:t>Требования к пропускной способности каналов связи определяются объёмом передаваемой информации и допустимыми задержками. Для протокола МЭК 60870-5-104, используемого при связи с реклоузерами, минимальная пропускная способность канала составляет 9 600 бит/с, рекомендуемая — не менее 19 200 бит/с. Максимально допустимая задержка передачи аварийного сообщения (от момента возникновения события до его отображения на рабочей станции диспетчера) не должна превышать 2 секунд для каналов GSM/GPRS и 1 секунды для проводных каналов.</w:t>
      </w:r>
    </w:p>
    <w:p>
      <w:pPr>
        <w:spacing w:before="0" w:after="0" w:line="360" w:lineRule="auto"/>
        <w:ind w:firstLine="709"/>
        <w:jc w:val="both"/>
      </w:pPr>
      <w:r>
        <w:rPr>
          <w:rFonts w:ascii="Times New Roman" w:hAnsi="Times New Roman"/>
          <w:b w:val="0"/>
          <w:i w:val="0"/>
          <w:color w:val="000000"/>
          <w:sz w:val="28"/>
        </w:rPr>
        <w:t>Немаловажным требованием является обеспечение точной синхронизации времени между всеми элементами системы мониторинга. Для корректной привязки событий к временной шкале и анализа последовательности срабатывания защитных устройств необходима точность синхронизации не хуже 1 мс. Синхронизация осуществляется по протоколу NTP (Network Time Protocol) или PTP (Precision Time Protocol, IEEE 1588) с использованием серверов точного времени, синхронизированных по сигналам ГЛОНАСС/GPS.</w:t>
      </w:r>
    </w:p>
    <w:p>
      <w:pPr>
        <w:spacing w:before="0" w:after="0" w:line="360" w:lineRule="auto"/>
        <w:ind w:firstLine="709"/>
        <w:jc w:val="both"/>
      </w:pPr>
      <w:r>
        <w:rPr>
          <w:rFonts w:ascii="Times New Roman" w:hAnsi="Times New Roman"/>
          <w:b w:val="0"/>
          <w:i w:val="0"/>
          <w:color w:val="000000"/>
          <w:sz w:val="28"/>
        </w:rPr>
        <w:t>Нормативная база, регулирующая требования к системам мониторинга электрических сетей, включает ряд ключевых документов федерального и отраслевого уровня. Правила устройства электроустановок (ПУЭ) седьмого издания определяют общие требования к устройствам релейной защиты и автоматики, включая требования к системам телемеханики. Руководящий документ РД 34.35.127-93 устанавливает требования к проектированию систем оперативно-диспетчерского управления энергосистемами, определяя минимально допустимое время цикла опроса телемеханической информации (не более 2 секунд для аварийных сигналов и не более 10 секунд для текущих измерений).</w:t>
      </w:r>
    </w:p>
    <w:p>
      <w:pPr>
        <w:spacing w:before="0" w:after="0" w:line="360" w:lineRule="auto"/>
        <w:ind w:firstLine="709"/>
        <w:jc w:val="both"/>
      </w:pPr>
      <w:r>
        <w:rPr>
          <w:rFonts w:ascii="Times New Roman" w:hAnsi="Times New Roman"/>
          <w:b w:val="0"/>
          <w:i w:val="0"/>
          <w:color w:val="000000"/>
          <w:sz w:val="28"/>
        </w:rPr>
        <w:t>Стандарт ГОСТ 32144-2013 устанавливает нормы качества электрической энергии в системах электроснабжения общего назначения, что определяет перечень контролируемых параметров и допустимые отклонения. В соответствии с данным стандартом, система мониторинга должна обеспечивать измерение напряжения с погрешностью не более 0,5 процента, частоты — не более 0,01 Гц, а также фиксировать провалы напряжения длительностью от 10 миллисекунд. Эти требования определяют характеристики измерительных преобразователей и минимальную частоту дискретизации аналоговых сигналов.</w:t>
      </w:r>
    </w:p>
    <w:p>
      <w:pPr>
        <w:spacing w:before="0" w:after="0" w:line="360" w:lineRule="auto"/>
        <w:ind w:firstLine="709"/>
        <w:jc w:val="both"/>
      </w:pPr>
      <w:r>
        <w:rPr>
          <w:rFonts w:ascii="Times New Roman" w:hAnsi="Times New Roman"/>
          <w:b w:val="0"/>
          <w:i w:val="0"/>
          <w:color w:val="000000"/>
          <w:sz w:val="28"/>
        </w:rPr>
        <w:t>Международный стандарт IEEE 1366-2012 определяет индексы надёжности распределительных электрических сетей, которые служат основой для оценки эффективности внедрения систем мониторинга. Ключевыми индексами являются SAIDI (средняя продолжительность прерывания электроснабжения на одного потребителя) и SAIFI (средняя частота прерываний на одного потребителя). Применение данных индексов позволяет количественно оценить влияние внедрения SCADA-системы на качество электроснабжения и обосновать экономическую целесообразность инвестиций в автоматизацию.</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firstLine="709"/>
      <w:jc w:val="both"/>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