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0" w:name="_bm_glava_2"/>
      <w:pPr>
        <w:pageBreakBefore/>
        <w:spacing w:before="0" w:after="240" w:line="360" w:lineRule="auto"/>
        <w:ind w:firstLine="709"/>
        <w:jc w:val="both"/>
      </w:pPr>
      <w:r>
        <w:rPr>
          <w:rFonts w:ascii="Times New Roman" w:hAnsi="Times New Roman"/>
          <w:b/>
          <w:color w:val="000000"/>
          <w:sz w:val="28"/>
        </w:rPr>
        <w:t>Глава 2. Архитектура системы мониторинга автоматизированного участка воздушной линии 6–10 кВ</w:t>
      </w:r>
      <w:bookmarkEnd w:id="10"/>
    </w:p>
    <w:p>
      <w:bookmarkStart w:id="11" w:name="_bm_section_2_1"/>
      <w:pPr>
        <w:spacing w:before="240" w:after="120" w:line="360" w:lineRule="auto"/>
        <w:ind w:firstLine="709"/>
        <w:jc w:val="both"/>
      </w:pPr>
      <w:r>
        <w:rPr>
          <w:rFonts w:ascii="Times New Roman" w:hAnsi="Times New Roman"/>
          <w:b/>
          <w:color w:val="000000"/>
          <w:sz w:val="28"/>
        </w:rPr>
        <w:t>2.1 Общая структура автоматизированного участка ВЛ и состав оборудования</w:t>
      </w:r>
      <w:bookmarkEnd w:id="11"/>
    </w:p>
    <w:p>
      <w:pPr>
        <w:spacing w:before="0" w:after="0" w:line="360" w:lineRule="auto"/>
        <w:ind w:firstLine="709"/>
        <w:jc w:val="both"/>
      </w:pPr>
      <w:r>
        <w:rPr>
          <w:rFonts w:ascii="Times New Roman" w:hAnsi="Times New Roman"/>
          <w:b w:val="0"/>
          <w:i w:val="0"/>
          <w:color w:val="000000"/>
          <w:sz w:val="28"/>
        </w:rPr>
        <w:t>В настоящей работе разрабатываемая система мониторинга получила рабочее наименование SmartGrid Line. SmartGrid Line — это программно-аппаратная платформа для автоматизированного мониторинга и диспетчерского управления участками воздушных линий электропередачи 6–10 кВ, обеспечивающая сбор телеметрических данных от полевого оборудования (реклоузеров, датчиков), их обработку и визуализацию в режиме реального времени с интеграцией в SCADA-систему диспетчерского центра. Платформа реализует трёхуровневую архитектуру: полевой уровень (датчики и контроллеры реклоузеров на ВЛ 6–10 кВ), коммуникационный уровень (каналы GSM/GPRS/LTE) и диспетчерский уровень (сервер SCADA и веб-интерфейс оператора).</w:t>
      </w:r>
    </w:p>
    <w:p>
      <w:pPr>
        <w:spacing w:before="0" w:after="0" w:line="360" w:lineRule="auto"/>
        <w:ind w:firstLine="709"/>
        <w:jc w:val="both"/>
      </w:pPr>
      <w:r>
        <w:rPr>
          <w:rFonts w:ascii="Times New Roman" w:hAnsi="Times New Roman"/>
          <w:b w:val="0"/>
          <w:i w:val="0"/>
          <w:color w:val="000000"/>
          <w:sz w:val="28"/>
        </w:rPr>
        <w:t>Автоматизированный участок воздушной линии 6–10 кВ представляет собой совокупность электросетевого оборудования, средств релейной защиты и автоматики, коммуникационного оборудования и программного обеспечения, объединённых в единую информационно-управляющую систему. Рассматриваемый в данной работе типовой участок включает отходящий фидер питающей подстанции 35/10 кВ и магистральную воздушную линию 10 кВ протяжённостью 18 км с тремя ответвлениями к трансформаторным подстанциям (ТП) 10/0,4 кВ [1].</w:t>
      </w:r>
    </w:p>
    <w:p>
      <w:pPr>
        <w:spacing w:before="0" w:after="0" w:line="360" w:lineRule="auto"/>
        <w:ind w:firstLine="709"/>
        <w:jc w:val="both"/>
      </w:pPr>
      <w:r>
        <w:rPr>
          <w:rFonts w:ascii="Times New Roman" w:hAnsi="Times New Roman"/>
          <w:b w:val="0"/>
          <w:i w:val="0"/>
          <w:color w:val="000000"/>
          <w:sz w:val="28"/>
        </w:rPr>
        <w:t>На участке установлены три реклоузера, разделяющих линию на четыре секции. Реклоузер Р1 установлен на расстоянии 3 км от питающей подстанции и выполняет функцию головного секционирующего аппарата. Реклоузер Р2 расположен на расстоянии 9 км и обеспечивает секционирование средней части линии. Реклоузер Р3, установленный на расстоянии 15 км, разделяет удалённую часть линии. Такая схема секционирования позволяет при возникновении короткого замыкания автоматически отключить только повреждённую секцию, сохранив электроснабжение потребителей на неповреждённых участках [2].</w:t>
      </w:r>
    </w:p>
    <w:p>
      <w:pPr>
        <w:spacing w:before="0" w:after="0" w:line="360" w:lineRule="auto"/>
        <w:ind w:firstLine="709"/>
        <w:jc w:val="both"/>
      </w:pPr>
      <w:r>
        <w:rPr>
          <w:rFonts w:ascii="Times New Roman" w:hAnsi="Times New Roman"/>
          <w:b w:val="0"/>
          <w:i w:val="0"/>
          <w:color w:val="000000"/>
          <w:sz w:val="28"/>
        </w:rPr>
        <w:t>Каждый реклоузер оснащён контроллером с интегрированными функциями: релейная защита (максимальная токовая защита, защита от замыканий на землю, защита от обрыва провода), автоматика (автоматическое повторное включение, автоматическое секционирование), измерение параметров режима (токи, напряжения, мощности, частота, cosφ), регистрация осциллограмм аварийных режимов и телекоммуникационный модуль для связи с диспетчерским центром [3].</w:t>
      </w:r>
    </w:p>
    <w:p>
      <w:pPr>
        <w:spacing w:before="0" w:after="0" w:line="360" w:lineRule="auto"/>
        <w:ind w:firstLine="709"/>
        <w:jc w:val="both"/>
      </w:pPr>
      <w:r>
        <w:rPr>
          <w:rFonts w:ascii="Times New Roman" w:hAnsi="Times New Roman"/>
          <w:b w:val="0"/>
          <w:i w:val="0"/>
          <w:color w:val="000000"/>
          <w:sz w:val="28"/>
        </w:rPr>
        <w:t>Помимо реклоузеров, на участке установлены датчики контроля состояния линии. Датчики температуры провода крепятся непосредственно на токоведущих элементах и позволяют контролировать нагрев проводов при больших токовых нагрузках. Датчики гололёдообразования устанавливаются на специальных контрольных пролётах и обеспечивают раннее обнаружение ледяных отложений на проводах. Метеорологическая станция, расположенная в зоне обслуживания линии, передаёт данные о температуре воздуха, скорости и направлении ветра, количестве осадков [4].</w:t>
      </w:r>
    </w:p>
    <w:p>
      <w:pPr>
        <w:spacing w:before="0" w:after="0" w:line="360" w:lineRule="auto"/>
        <w:ind w:firstLine="709"/>
        <w:jc w:val="both"/>
      </w:pPr>
      <w:r>
        <w:rPr>
          <w:rFonts w:ascii="Times New Roman" w:hAnsi="Times New Roman"/>
          <w:b w:val="0"/>
          <w:i w:val="0"/>
          <w:color w:val="000000"/>
          <w:sz w:val="28"/>
        </w:rPr>
        <w:t>Общая структура автоматизированного участка может быть представлена в виде трёхуровневой иерархии: полевой уровень (оборудование, установленное непосредственно на линии), коммуникационный уровень (каналы связи и коммуникационное оборудование) и диспетчерский уровень (серверы SCADA-системы и рабочие станции операторов). Каждый из этих уровней подробно рассмотрен в последующих подразделах.</w:t>
      </w:r>
    </w:p>
    <w:p>
      <w:pPr>
        <w:spacing w:before="0" w:after="0" w:line="360" w:lineRule="auto"/>
        <w:ind w:firstLine="709"/>
        <w:jc w:val="both"/>
      </w:pPr>
      <w:r>
        <w:rPr>
          <w:rFonts w:ascii="Times New Roman" w:hAnsi="Times New Roman"/>
          <w:b w:val="0"/>
          <w:i w:val="0"/>
          <w:color w:val="000000"/>
          <w:sz w:val="28"/>
        </w:rPr>
        <w:t>Для более детального понимания структуры автоматизированного участка рассмотрим характеристики каждого из трёх реклоузеров, входящих в состав рассматриваемой схемы.</w:t>
      </w:r>
    </w:p>
    <w:p>
      <w:pPr>
        <w:spacing w:before="0" w:after="0" w:line="360" w:lineRule="auto"/>
        <w:ind w:firstLine="709"/>
        <w:jc w:val="both"/>
      </w:pPr>
      <w:r>
        <w:rPr>
          <w:rFonts w:ascii="Times New Roman" w:hAnsi="Times New Roman"/>
          <w:b w:val="0"/>
          <w:i w:val="0"/>
          <w:color w:val="000000"/>
          <w:sz w:val="28"/>
        </w:rPr>
        <w:t>Реклоузер Р1 (головной) установлен на отпайке от питающей подстанции 35/10 кВ «Западная». Номинальное напряжение — 10 кВ, номинальный ток — 400 А, отключающая способность — 12,5 кА. Реклоузер оснащён контроллером с функциями МТЗ (максимальная токовая защита) с двумя ступенями, ЗЗЗ (защита от замыканий на землю) по нулевой последовательности, защитой от обрыва провода и функцией АПВ (четырёхкратное). Уставки защит согласованы с защитами головного выключателя подстанции по принципу временной селективности с шагом 0,3 с.</w:t>
      </w:r>
    </w:p>
    <w:p>
      <w:pPr>
        <w:spacing w:before="0" w:after="0" w:line="360" w:lineRule="auto"/>
        <w:ind w:firstLine="709"/>
        <w:jc w:val="both"/>
      </w:pPr>
      <w:r>
        <w:rPr>
          <w:rFonts w:ascii="Times New Roman" w:hAnsi="Times New Roman"/>
          <w:b w:val="0"/>
          <w:i w:val="0"/>
          <w:color w:val="000000"/>
          <w:sz w:val="28"/>
        </w:rPr>
        <w:t>Реклоузер Р2 (секционирующий) расположен в средней части линии, в точке ответвления к трансформаторной подстанции ТП-5. Номинальный ток — 200 А. Уставки МТЗ согласованы с реклоузером Р1 по принципу убывания тока уставки и времени срабатывания по направлению от источника питания к нагрузке. Для реклоузера Р2 предусмотрена функция блокировки АПВ при подаче команды от SCADA-системы.</w:t>
      </w:r>
    </w:p>
    <w:p>
      <w:pPr>
        <w:spacing w:before="0" w:after="0" w:line="360" w:lineRule="auto"/>
        <w:ind w:firstLine="709"/>
        <w:jc w:val="both"/>
      </w:pPr>
      <w:r>
        <w:rPr>
          <w:rFonts w:ascii="Times New Roman" w:hAnsi="Times New Roman"/>
          <w:b w:val="0"/>
          <w:i w:val="0"/>
          <w:color w:val="000000"/>
          <w:sz w:val="28"/>
        </w:rPr>
        <w:t>Реклоузер Р3 (концевой) установлен в удалённой части линии, перед последней группой трансформаторных подстанций. Номинальный ток — 200 А. Данный реклоузер обеспечивает защиту наиболее удалённого и, как правило, наиболее повреждаемого участка линии. Для питания контроллера и коммуникационного оборудования используется встроенный трансформатор напряжения и аккумуляторная батарея ёмкостью 26 А·ч, обеспечивающая работу при обесточении линии в течение 24 часов.</w:t>
      </w:r>
    </w:p>
    <w:p>
      <w:pPr>
        <w:spacing w:before="0" w:after="0" w:line="360" w:lineRule="auto"/>
        <w:ind w:firstLine="709"/>
        <w:jc w:val="both"/>
      </w:pPr>
      <w:r>
        <w:rPr>
          <w:rFonts w:ascii="Times New Roman" w:hAnsi="Times New Roman"/>
          <w:b w:val="0"/>
          <w:i w:val="0"/>
          <w:color w:val="000000"/>
          <w:sz w:val="28"/>
        </w:rPr>
        <w:t>Помимо реклоузеров, в состав автоматизированного участка входят три комплекта датчиков мониторинга состояния линии. Каждый комплект включает: датчик температуры провода на базе инфракрасного сенсора с диапазоном измерения от минус 40 до плюс 120 градусов Цельсия и погрешностью не более 1 градуса; датчик наклона опоры с точностью 0,1 градуса для контроля механического состояния опорных конструкций; датчик токовой нагрузки на базе эффекта Холла. Данные от датчиков передаются по интерфейсу RS-485 на контроллер ближайшего реклоузера, который транслирует их в диспетчерский центр в составе общего телеметрического потока.</w:t>
      </w:r>
    </w:p>
    <w:p>
      <w:pPr>
        <w:spacing w:before="0" w:after="0" w:line="360" w:lineRule="auto"/>
        <w:ind w:firstLine="709"/>
        <w:jc w:val="both"/>
      </w:pPr>
      <w:r>
        <w:rPr>
          <w:rFonts w:ascii="Times New Roman" w:hAnsi="Times New Roman"/>
          <w:b w:val="0"/>
          <w:i w:val="0"/>
          <w:color w:val="000000"/>
          <w:sz w:val="28"/>
        </w:rPr>
        <w:t>Типовой автоматизированный участок воздушной линии 6–10 кВ, рассматриваемый в настоящей работе, включает три реклоузера, установленных на опорах линии электропередачи на расстоянии от 3 до 15 километров друг от друга. Каждый реклоузер оснащён встроенным микропроцессорным контроллером, выполняющим функции релейной защиты и автоматического повторного включения. Контроллер обеспечивает измерение токов и напряжений фаз, формирование дискретных сигналов о состоянии коммутационного аппарата, а также приём команд телеуправления по протоколу МЭК 60870-5-104.</w:t>
      </w:r>
    </w:p>
    <w:p>
      <w:pPr>
        <w:spacing w:before="0" w:after="0" w:line="360" w:lineRule="auto"/>
        <w:ind w:firstLine="709"/>
        <w:jc w:val="both"/>
      </w:pPr>
      <w:r>
        <w:rPr>
          <w:rFonts w:ascii="Times New Roman" w:hAnsi="Times New Roman"/>
          <w:b w:val="0"/>
          <w:i w:val="0"/>
          <w:color w:val="000000"/>
          <w:sz w:val="28"/>
        </w:rPr>
        <w:t>Помимо реклоузеров, в состав автоматизированного участка входят датчики параметров окружающей среды, размещённые на опорах линии. Комплект датчиков включает измерители температуры воздуха (диапазон от минус 50 до плюс 50 градусов Цельсия, погрешность не более 0,5 градуса), анемометры для измерения скорости ветра (диапазон от 0 до 60 метров в секунду), а также датчики гололёдной нагрузки. Метеорологические данные используются для прогнозирования условий эксплуатации линии и своевременного принятия решений о снижении нагрузки или выводе участка в ремонт.</w:t>
      </w:r>
    </w:p>
    <w:p>
      <w:pPr>
        <w:spacing w:before="0" w:after="0" w:line="360" w:lineRule="auto"/>
        <w:ind w:firstLine="709"/>
        <w:jc w:val="both"/>
      </w:pPr>
      <w:r>
        <w:rPr>
          <w:rFonts w:ascii="Times New Roman" w:hAnsi="Times New Roman"/>
          <w:b w:val="0"/>
          <w:i w:val="0"/>
          <w:color w:val="000000"/>
          <w:sz w:val="28"/>
        </w:rPr>
        <w:t>Особое внимание при проектировании автоматизированного участка уделяется вопросам электропитания оборудования мониторинга. Контроллеры реклоузеров и коммуникационное оборудование получают питание от трансформаторов собственных нужд, подключённых к контролируемой линии 6–10 кВ. Для обеспечения работоспособности системы при отключении линии предусмотрены аккумуляторные батареи с автоматическим зарядным устройством, обеспечивающие автономную работу оборудования в течение не менее 8 часов. В районах с устойчивым солнечным облучением дополнительно устанавливаются солнечные панели мощностью от 100 до 300 Вт.</w:t>
      </w:r>
    </w:p>
    <w:p>
      <w:bookmarkStart w:id="12" w:name="_bm_section_2_2"/>
      <w:pPr>
        <w:spacing w:before="240" w:after="120" w:line="360" w:lineRule="auto"/>
        <w:ind w:firstLine="709"/>
        <w:jc w:val="both"/>
      </w:pPr>
      <w:r>
        <w:rPr>
          <w:rFonts w:ascii="Times New Roman" w:hAnsi="Times New Roman"/>
          <w:b/>
          <w:color w:val="000000"/>
          <w:sz w:val="28"/>
        </w:rPr>
        <w:t>2.2 Источники данных и измеряемые параметры автоматизированного участка ВЛ</w:t>
      </w:r>
      <w:bookmarkEnd w:id="12"/>
    </w:p>
    <w:p>
      <w:pPr>
        <w:spacing w:before="0" w:after="0" w:line="360" w:lineRule="auto"/>
        <w:ind w:firstLine="709"/>
        <w:jc w:val="both"/>
      </w:pPr>
      <w:r>
        <w:rPr>
          <w:rFonts w:ascii="Times New Roman" w:hAnsi="Times New Roman"/>
          <w:b w:val="0"/>
          <w:i w:val="0"/>
          <w:color w:val="000000"/>
          <w:sz w:val="28"/>
        </w:rPr>
        <w:t>Полевой уровень системы мониторинга включает совокупность устройств, формирующих информационный поток телеметрических данных. Основным источником данных являются контроллеры реклоузеров, которые обеспечивают измерение параметров электрического режима и формирование дискретных сигналов о состоянии оборудования [5].</w:t>
      </w:r>
    </w:p>
    <w:p>
      <w:pPr>
        <w:spacing w:before="0" w:after="0" w:line="360" w:lineRule="auto"/>
        <w:ind w:firstLine="709"/>
        <w:jc w:val="both"/>
      </w:pPr>
      <w:r>
        <w:rPr>
          <w:rFonts w:ascii="Times New Roman" w:hAnsi="Times New Roman"/>
          <w:b w:val="0"/>
          <w:i w:val="0"/>
          <w:color w:val="000000"/>
          <w:sz w:val="28"/>
        </w:rPr>
        <w:t>Перечень измеряемых параметров и их характеристики приведены в таблице 2.</w:t>
      </w:r>
    </w:p>
    <w:p>
      <w:pPr>
        <w:spacing w:before="240" w:after="120" w:line="360" w:lineRule="auto"/>
        <w:ind w:firstLine="0"/>
        <w:jc w:val="left"/>
      </w:pPr>
      <w:r>
        <w:rPr>
          <w:rFonts w:ascii="Times New Roman" w:hAnsi="Times New Roman"/>
          <w:color w:val="000000"/>
          <w:sz w:val="28"/>
        </w:rPr>
        <w:t>Таблица 2 – Измеряемые параметры автоматизированного участка ВЛ</w:t>
      </w:r>
    </w:p>
    <w:tbl>
      <w:tblPr>
        <w:tblStyle w:val="TableGrid"/>
        <w:tblW w:type="auto" w:w="0"/>
        <w:tblLook w:firstColumn="1" w:firstRow="1" w:lastColumn="0" w:lastRow="0" w:noHBand="0" w:noVBand="1" w:val="04A0"/>
        <w:tblW w:type="pct" w:w="5000"/>
      </w:tblPr>
      <w:tblGrid>
        <w:gridCol w:w="2339"/>
        <w:gridCol w:w="2339"/>
        <w:gridCol w:w="2339"/>
        <w:gridCol w:w="2339"/>
      </w:tblGrid>
      <w:tr>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Параметр</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Диапазон измерения</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Класс точности</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Период опроса, с</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Напряжение фазное, кВ</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0–12</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Ток фазный, А</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0–400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Активная мощность, кВт</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0–5000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5</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Реактивная мощность, квар</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0–5000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5</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Частота, Гц</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45–55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0,01</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5</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Коэффициент мощности</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0–1,0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0,02</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Температура провода, °C</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−40…+120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±1°C</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30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Температура воздуха, °C</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−50…+60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±0,5°C</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60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Скорость ветра, м/с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0–60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±0,5 м/с</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60</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Нагрузка гололёда, кг/м</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0–20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±0,1 кг/м</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60</w:t>
            </w:r>
          </w:p>
        </w:tc>
      </w:tr>
    </w:tbl>
    <w:p>
      <w:pPr>
        <w:spacing w:before="0" w:after="0" w:line="360" w:lineRule="auto"/>
        <w:ind w:firstLine="709"/>
        <w:jc w:val="both"/>
      </w:pPr>
      <w:r>
        <w:rPr>
          <w:rFonts w:ascii="Times New Roman" w:hAnsi="Times New Roman"/>
          <w:b w:val="0"/>
          <w:i w:val="0"/>
          <w:color w:val="000000"/>
          <w:sz w:val="28"/>
        </w:rPr>
        <w:t>Помимо аналоговых измерений, от каждого реклоузера поступают дискретные сигналы телесигнализации: положение контактов (включён/отключён), готовность к телеуправлению, наличие неисправности, срабатывание защиты (с указанием вида: МТЗ, ЗЗЗ, защита от обрыва), состояние АПВ (успешно/неуспешно), состояние канала связи, наличие питания цепей управления. Общее количество дискретных сигналов от одного реклоузера составляет от 15 до 25 в зависимости от модели и конфигурации [6].</w:t>
      </w:r>
    </w:p>
    <w:p>
      <w:pPr>
        <w:spacing w:before="0" w:after="0" w:line="360" w:lineRule="auto"/>
        <w:ind w:firstLine="709"/>
        <w:jc w:val="both"/>
      </w:pPr>
      <w:r>
        <w:rPr>
          <w:rFonts w:ascii="Times New Roman" w:hAnsi="Times New Roman"/>
          <w:b w:val="0"/>
          <w:i w:val="0"/>
          <w:color w:val="000000"/>
          <w:sz w:val="28"/>
        </w:rPr>
        <w:t>Суммарный объём информационного потока от трёх реклоузеров и дополнительных датчиков составляет приблизительно 120–150 аналоговых параметров и 60–80 дискретных сигналов. При средней частоте опроса 5 секунд и размере одного отсчёта 8 байт (значение + метка времени) информационный поток составляет приблизительно 2–3 Кбайт/с в нормальном режиме. При аварийном режиме, когда частота опроса повышается и передаются осциллограммы, информационный поток может кратковременно возрастать до 20–30 Кбайт/с [7].</w:t>
      </w:r>
    </w:p>
    <w:p>
      <w:pPr>
        <w:spacing w:before="0" w:after="0" w:line="360" w:lineRule="auto"/>
        <w:ind w:firstLine="709"/>
        <w:jc w:val="both"/>
      </w:pPr>
      <w:r>
        <w:rPr>
          <w:rFonts w:ascii="Times New Roman" w:hAnsi="Times New Roman"/>
          <w:b w:val="0"/>
          <w:i w:val="0"/>
          <w:color w:val="000000"/>
          <w:sz w:val="28"/>
        </w:rPr>
        <w:t>Помимо основных электрических параметров, перечисленных в таблице 2, система мониторинга может дополнительно контролировать ряд параметров, характеризующих качество электроэнергии в соответствии с ГОСТ 32144-2013. К ним относятся: коэффициент несинусоидальности напряжения (THD), характеризующий уровень гармонических составляющих; отклонение напряжения от номинального значения в процентах; коэффициент несимметрии напряжений по обратной и нулевой последовательности; провалы и перенапряжения длительностью более 10 мс. Контроль параметров качества электроэнергии особенно актуален при наличии на линии нелинейных нагрузок (частотные преобразователи, дуговые печи) или распределённых источников генерации.</w:t>
      </w:r>
    </w:p>
    <w:p>
      <w:pPr>
        <w:spacing w:before="0" w:after="0" w:line="360" w:lineRule="auto"/>
        <w:ind w:firstLine="709"/>
        <w:jc w:val="both"/>
      </w:pPr>
      <w:r>
        <w:rPr>
          <w:rFonts w:ascii="Times New Roman" w:hAnsi="Times New Roman"/>
          <w:b w:val="0"/>
          <w:i w:val="0"/>
          <w:color w:val="000000"/>
          <w:sz w:val="28"/>
        </w:rPr>
        <w:t>Отдельным классом измеряемых параметров являются данные осциллографирования аварийных режимов. При срабатывании защиты контроллер реклоузера записывает осциллограммы токов и напряжений всех трёх фаз с частотой дискретизации 1200–4800 отсчётов в секунду. Длительность записи составляет: доаварийный участок — от 0,5 до 2 периодов промышленной частоты (10–40 мс), аварийный участок — вся длительность протекания тока короткого замыкания (до нескольких секунд), послеаварийный участок — от 2 до 5 периодов. Осциллограммы сохраняются в формате COMTRADE (Common Format for Transient Data Exchange, стандарт IEEE C37.111) и могут быть переданы в диспетчерский центр для детального анализа причин аварии.</w:t>
      </w:r>
    </w:p>
    <w:p>
      <w:pPr>
        <w:spacing w:before="0" w:after="0" w:line="360" w:lineRule="auto"/>
        <w:ind w:firstLine="709"/>
        <w:jc w:val="both"/>
      </w:pPr>
      <w:r>
        <w:rPr>
          <w:rFonts w:ascii="Times New Roman" w:hAnsi="Times New Roman"/>
          <w:b w:val="0"/>
          <w:i w:val="0"/>
          <w:color w:val="000000"/>
          <w:sz w:val="28"/>
        </w:rPr>
        <w:t>Для обеспечения корректности измерений все датчики и измерительные каналы подлежат периодической метрологической поверке в соответствии с требованиями Федерального закона от 26.06.2008 № 102-ФЗ «Об обеспечении единства измерений». Встроенные трансформаторы тока и напряжения реклоузеров поверяются с периодичностью 4–8 лет. Внешние датчики температуры и метеорологические приборы поверяются ежегодно. Данные о поверке хранятся в конфигурационной базе данных SCADA-системы и используются при расчёте достоверности измерений.</w:t>
      </w:r>
    </w:p>
    <w:p>
      <w:bookmarkStart w:id="13" w:name="_bm_section_2_3"/>
      <w:pPr>
        <w:spacing w:before="240" w:after="120" w:line="360" w:lineRule="auto"/>
        <w:ind w:firstLine="709"/>
        <w:jc w:val="both"/>
      </w:pPr>
      <w:r>
        <w:rPr>
          <w:rFonts w:ascii="Times New Roman" w:hAnsi="Times New Roman"/>
          <w:b/>
          <w:color w:val="000000"/>
          <w:sz w:val="28"/>
        </w:rPr>
        <w:t>2.3 Каналы связи и способы передачи данных в SCADA-систему</w:t>
      </w:r>
      <w:bookmarkEnd w:id="13"/>
    </w:p>
    <w:p>
      <w:pPr>
        <w:spacing w:before="0" w:after="0" w:line="360" w:lineRule="auto"/>
        <w:ind w:firstLine="709"/>
        <w:jc w:val="both"/>
      </w:pPr>
      <w:r>
        <w:rPr>
          <w:rFonts w:ascii="Times New Roman" w:hAnsi="Times New Roman"/>
          <w:b w:val="0"/>
          <w:i w:val="0"/>
          <w:color w:val="000000"/>
          <w:sz w:val="28"/>
        </w:rPr>
        <w:t>Выбор каналов связи является одним из ключевых вопросов при проектировании системы мониторинга ВЛ 6–10 кВ. Каналы связи должны обеспечивать надёжную передачу телеметрических данных в реальном времени с учётом территориальной удалённости объектов контроля и ограниченной инфраструктуры в зоне прохождения воздушной линии [8].</w:t>
      </w:r>
    </w:p>
    <w:p>
      <w:pPr>
        <w:spacing w:before="0" w:after="0" w:line="360" w:lineRule="auto"/>
        <w:ind w:firstLine="709"/>
        <w:jc w:val="both"/>
      </w:pPr>
      <w:r>
        <w:rPr>
          <w:rFonts w:ascii="Times New Roman" w:hAnsi="Times New Roman"/>
          <w:b w:val="0"/>
          <w:i w:val="0"/>
          <w:color w:val="000000"/>
          <w:sz w:val="28"/>
        </w:rPr>
        <w:t>В таблице 3 представлен сравнительный анализ каналов связи, применимых для связи с реклоузерами на ВЛ 6–10 кВ.</w:t>
      </w:r>
    </w:p>
    <w:p>
      <w:pPr>
        <w:spacing w:before="240" w:after="120" w:line="360" w:lineRule="auto"/>
        <w:ind w:firstLine="0"/>
        <w:jc w:val="left"/>
      </w:pPr>
      <w:r>
        <w:rPr>
          <w:rFonts w:ascii="Times New Roman" w:hAnsi="Times New Roman"/>
          <w:color w:val="000000"/>
          <w:sz w:val="28"/>
        </w:rPr>
        <w:t>Таблица 3 – Сравнительный анализ каналов связи для ВЛ 6–10 кВ</w:t>
      </w:r>
    </w:p>
    <w:tbl>
      <w:tblPr>
        <w:tblStyle w:val="TableGrid"/>
        <w:tblW w:type="auto" w:w="0"/>
        <w:tblLook w:firstColumn="1" w:firstRow="1" w:lastColumn="0" w:lastRow="0" w:noHBand="0" w:noVBand="1" w:val="04A0"/>
        <w:tblW w:type="pct" w:w="5000"/>
      </w:tblPr>
      <w:tblGrid>
        <w:gridCol w:w="1871"/>
        <w:gridCol w:w="1871"/>
        <w:gridCol w:w="1871"/>
        <w:gridCol w:w="1871"/>
        <w:gridCol w:w="1871"/>
      </w:tblGrid>
      <w:tr>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Характеристика</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ВОЛС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Радиоканал (УКВ)</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GSM/GPRS</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LTE</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Пропускная способность</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1 Гбит/с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9,6–19,2 Кбит/с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40–80 Кбит/с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50 Мбит/с</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Задержка передачи</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&lt;1 мс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10–50 мс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100–500 мс</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20–50 мс</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Дальность действия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80 км</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до 30 км</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Зона покрытия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Зона покрытия</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Надёжность</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Очень высокая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Высокая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Средняя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Средне-высокая</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Стоимость развёрт.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Высокая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Средняя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Низкая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Низкая</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Стоимость эксплуат.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Низкая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Низкая</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Средняя (трафик)</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Средняя (трафик)</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Зависимость от 3 лиц</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(оператор)</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(оператор)</w:t>
            </w:r>
          </w:p>
        </w:tc>
      </w:tr>
      <w:tr>
        <w:tc>
          <w:tcPr>
            <w:tcW w:type="dxa" w:w="1871"/>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Необходимость лицензии</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Да (Роскомнадзор)</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c>
          <w:tcPr>
            <w:tcW w:type="dxa" w:w="1871"/>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Нет</w:t>
            </w:r>
          </w:p>
        </w:tc>
      </w:tr>
    </w:tbl>
    <w:p>
      <w:pPr>
        <w:spacing w:before="0" w:after="0" w:line="360" w:lineRule="auto"/>
        <w:ind w:firstLine="709"/>
        <w:jc w:val="both"/>
      </w:pPr>
      <w:r>
        <w:rPr>
          <w:rFonts w:ascii="Times New Roman" w:hAnsi="Times New Roman"/>
          <w:b w:val="0"/>
          <w:i w:val="0"/>
          <w:color w:val="000000"/>
          <w:sz w:val="28"/>
        </w:rPr>
        <w:t>Волоконно-оптические линии связи (ВОЛС) обеспечивают наилучшие характеристики по пропускной способности и надёжности, однако их использование на ВЛ 6–10 кВ экономически целесообразно только при прокладке оптического кабеля в составе грозозащитного троса (ОКГТ) или при подвеске самонесущего оптического кабеля на опорах ВЛ. Стоимость прокладки ВОЛС составляет от 300 до 800 тысяч рублей за километр в зависимости от типа кабеля и способа монтажа [9].</w:t>
      </w:r>
    </w:p>
    <w:p>
      <w:pPr>
        <w:spacing w:before="0" w:after="0" w:line="360" w:lineRule="auto"/>
        <w:ind w:firstLine="709"/>
        <w:jc w:val="both"/>
      </w:pPr>
      <w:r>
        <w:rPr>
          <w:rFonts w:ascii="Times New Roman" w:hAnsi="Times New Roman"/>
          <w:b w:val="0"/>
          <w:i w:val="0"/>
          <w:color w:val="000000"/>
          <w:sz w:val="28"/>
        </w:rPr>
        <w:t>Радиоканал на основе УКВ-радиостанций является надёжным решением, не зависящим от внешних операторов связи. Однако ограниченная пропускная способность (9,6–19,2 Кбит/с) позволяет передавать только базовые телеметрические данные без осциллограмм и подробных архивов. Использование радиочастот требует получения частотного разрешения от Роскомнадзора [10].</w:t>
      </w:r>
    </w:p>
    <w:p>
      <w:pPr>
        <w:spacing w:before="0" w:after="0" w:line="360" w:lineRule="auto"/>
        <w:ind w:firstLine="709"/>
        <w:jc w:val="both"/>
      </w:pPr>
      <w:r>
        <w:rPr>
          <w:rFonts w:ascii="Times New Roman" w:hAnsi="Times New Roman"/>
          <w:b w:val="0"/>
          <w:i w:val="0"/>
          <w:color w:val="000000"/>
          <w:sz w:val="28"/>
        </w:rPr>
        <w:t>Каналы связи на основе мобильных сетей GSM/GPRS и LTE являются наиболее доступным решением, не требующим развёртывания собственной коммуникационной инфраструктуры. Основным недостатком является зависимость от зоны покрытия оператора мобильной связи, которая в сельской местности может быть нестабильной. Для повышения надёжности используется одновременное подключение к двум операторам связи с автоматическим переключением при потере связи с основным оператором [11].</w:t>
      </w:r>
    </w:p>
    <w:p>
      <w:pPr>
        <w:spacing w:before="0" w:after="0" w:line="360" w:lineRule="auto"/>
        <w:ind w:firstLine="709"/>
        <w:jc w:val="both"/>
      </w:pPr>
      <w:r>
        <w:rPr>
          <w:rFonts w:ascii="Times New Roman" w:hAnsi="Times New Roman"/>
          <w:b w:val="0"/>
          <w:i w:val="0"/>
          <w:color w:val="000000"/>
          <w:sz w:val="28"/>
        </w:rPr>
        <w:t>В рассматриваемой системе мониторинга принято решение использовать GSM/GPRS в качестве основного канала связи с резервированием через LTE второго оператора. Данный выбор обусловлен наличием покрытия мобильных сетей в зоне прохождения ВЛ, низкими затратами на развёртывание и достаточной пропускной способностью для передачи телеметрических данных в объёмах, характерных для трёх реклоузеров [12].</w:t>
      </w:r>
    </w:p>
    <w:p>
      <w:pPr>
        <w:spacing w:before="0" w:after="0" w:line="360" w:lineRule="auto"/>
        <w:ind w:firstLine="709"/>
        <w:jc w:val="both"/>
      </w:pPr>
      <w:r>
        <w:rPr>
          <w:rFonts w:ascii="Times New Roman" w:hAnsi="Times New Roman"/>
          <w:b w:val="0"/>
          <w:i w:val="0"/>
          <w:color w:val="000000"/>
          <w:sz w:val="28"/>
        </w:rPr>
        <w:t>При выборе конфигурации каналов связи для рассматриваемого автоматизированного участка был проведён детальный анализ зоны покрытия мобильных сетей в районе прохождения воздушной линии. Анализ показал, что уровень сигнала GSM/GPRS оператора «МегаФон» в зоне установки реклоузеров составляет от минус 75 до минус 95 дБм, что соответствует удовлетворительному и хорошему качеству связи. Уровень сигнала оператора «МТС» в тех же точках составляет от минус 80 до минус 100 дБм. Покрытие LTE обеспечивается обоими операторами, однако в зоне установки реклоузера Р3 (наиболее удалённого) уровень сигнала LTE нестабилен, поэтому для данной точки в качестве резервного канала используется GSM/GPRS второго оператора, а не LTE.</w:t>
      </w:r>
    </w:p>
    <w:p>
      <w:pPr>
        <w:spacing w:before="0" w:after="0" w:line="360" w:lineRule="auto"/>
        <w:ind w:firstLine="709"/>
        <w:jc w:val="both"/>
      </w:pPr>
      <w:r>
        <w:rPr>
          <w:rFonts w:ascii="Times New Roman" w:hAnsi="Times New Roman"/>
          <w:b w:val="0"/>
          <w:i w:val="0"/>
          <w:color w:val="000000"/>
          <w:sz w:val="28"/>
        </w:rPr>
        <w:t>Для организации защищённого канала связи между реклоузерами и диспетчерским центром используется технология VPN (Virtual Private Network) на базе протокола IPsec. VPN-туннель обеспечивает шифрование всех передаваемых данных (включая телеметрию и команды управления) и аутентификацию устройств, что соответствует требованиям информационной безопасности для объектов критической информационной инфраструктуры. Для каждого реклоузера создаётся отдельный VPN-туннель через промышленный маршрутизатор с поддержкой двух SIM-карт, обеспечивающий автоматическое переключение между операторами связи при потере основного канала.</w:t>
      </w:r>
    </w:p>
    <w:p>
      <w:pPr>
        <w:spacing w:before="0" w:after="0" w:line="360" w:lineRule="auto"/>
        <w:ind w:firstLine="709"/>
        <w:jc w:val="both"/>
      </w:pPr>
      <w:r>
        <w:rPr>
          <w:rFonts w:ascii="Times New Roman" w:hAnsi="Times New Roman"/>
          <w:b w:val="0"/>
          <w:i w:val="0"/>
          <w:color w:val="000000"/>
          <w:sz w:val="28"/>
        </w:rPr>
        <w:t>Отдельно следует рассмотреть вопрос синхронизации времени на полевых устройствах при использовании каналов мобильной связи. Протокол МЭК 60870-5-104 предусматривает синхронизацию часов контролируемой станции от управляющей станции с помощью команды C_CS_NA_1 (Clock Synchronization). Однако при работе через каналы GSM/GPRS точность такой синхронизации ограничена задержкой канала связи (100–500 мс), что недостаточно для осциллографирования аварийных процессов. Для обеспечения миллисекундной точности синхронизации контроллеры реклоузеров оснащены встроенными ГНСС-приёмниками (ГЛОНАСС/GPS), обеспечивающими привязку меток времени к шкале UTC с точностью не хуже 1 мкс.</w:t>
      </w:r>
    </w:p>
    <w:p>
      <w:pPr>
        <w:spacing w:before="0" w:after="0" w:line="360" w:lineRule="auto"/>
        <w:ind w:firstLine="709"/>
        <w:jc w:val="both"/>
      </w:pPr>
      <w:r>
        <w:rPr>
          <w:rFonts w:ascii="Times New Roman" w:hAnsi="Times New Roman"/>
          <w:b w:val="0"/>
          <w:i w:val="0"/>
          <w:color w:val="000000"/>
          <w:sz w:val="28"/>
        </w:rPr>
        <w:t>При выборе канала связи для системы мониторинга воздушной линии 6–10 кВ необходимо учитывать не только технические характеристики, но и экономические аспекты развёртывания и эксплуатации. Стоимость организации канала связи на основе волоконно-оптической линии связи (ВОЛС) составляет от 200 до 500 тысяч рублей за километр трассы, что делает данное решение экономически нецелесообразным для линий протяжённостью более 10–15 километров. Радиоканал на частотах 400–900 МГц обеспечивает дальность связи до 30 километров при прямой видимости, однако требует получения частотного разрешения и подвержен помехам от индустриальных источников.</w:t>
      </w:r>
    </w:p>
    <w:p>
      <w:pPr>
        <w:spacing w:before="0" w:after="0" w:line="360" w:lineRule="auto"/>
        <w:ind w:firstLine="709"/>
        <w:jc w:val="both"/>
      </w:pPr>
      <w:r>
        <w:rPr>
          <w:rFonts w:ascii="Times New Roman" w:hAnsi="Times New Roman"/>
          <w:b w:val="0"/>
          <w:i w:val="0"/>
          <w:color w:val="000000"/>
          <w:sz w:val="28"/>
        </w:rPr>
        <w:t>Технология GSM/GPRS, выбранная в качестве основного канала связи для рассматриваемого автоматизированного участка, обеспечивает скорость передачи данных от 20 до 85 килобит в секунду в режиме GPRS и до 236 килобит в секунду в режиме EDGE. Данной пропускной способности достаточно для передачи телеметрических данных от трёх реклоузеров и комплекта датчиков с периодом опроса 5–10 секунд. Объём передаваемых данных в нормальном режиме составляет не более 500 байт на цикл опроса одного устройства, что соответствует суточному трафику около 4–5 мегабайт на весь участок.</w:t>
      </w:r>
    </w:p>
    <w:p>
      <w:pPr>
        <w:spacing w:before="0" w:after="0" w:line="360" w:lineRule="auto"/>
        <w:ind w:firstLine="709"/>
        <w:jc w:val="both"/>
      </w:pPr>
      <w:r>
        <w:rPr>
          <w:rFonts w:ascii="Times New Roman" w:hAnsi="Times New Roman"/>
          <w:b w:val="0"/>
          <w:i w:val="0"/>
          <w:color w:val="000000"/>
          <w:sz w:val="28"/>
        </w:rPr>
        <w:t>Резервирование канала связи через LTE обеспечивает автоматическое переключение при потере основного GSM/GPRS-соединения. Время переключения составляет от 5 до 15 секунд, что допустимо для задач мониторинга, не требующих непрерывной передачи данных в реальном времени. Критически важные аварийные сигналы (короткое замыкание, замыкание на землю, превышение допустимой температуры) передаются приоритетно с использованием механизма спонтанной передачи протокола МЭК 60870-5-104, что гарантирует их доставку на диспетчерский пункт в течение не более 3 секунд от момента возникновения события.</w:t>
      </w:r>
    </w:p>
    <w:p>
      <w:bookmarkStart w:id="14" w:name="_bm_section_2_4"/>
      <w:pPr>
        <w:spacing w:before="240" w:after="120" w:line="360" w:lineRule="auto"/>
        <w:ind w:firstLine="709"/>
        <w:jc w:val="both"/>
      </w:pPr>
      <w:r>
        <w:rPr>
          <w:rFonts w:ascii="Times New Roman" w:hAnsi="Times New Roman"/>
          <w:b/>
          <w:color w:val="000000"/>
          <w:sz w:val="28"/>
        </w:rPr>
        <w:t>2.4 Архитектура системы мониторинга и взаимодействие её элементов</w:t>
      </w:r>
      <w:bookmarkEnd w:id="14"/>
    </w:p>
    <w:p>
      <w:pPr>
        <w:spacing w:before="0" w:after="0" w:line="360" w:lineRule="auto"/>
        <w:ind w:firstLine="709"/>
        <w:jc w:val="both"/>
      </w:pPr>
      <w:r>
        <w:rPr>
          <w:rFonts w:ascii="Times New Roman" w:hAnsi="Times New Roman"/>
          <w:b w:val="0"/>
          <w:i w:val="0"/>
          <w:color w:val="000000"/>
          <w:sz w:val="28"/>
        </w:rPr>
        <w:t>Архитектура системы мониторинга построена по трёхуровневому принципу в соответствии с рекомендациями стандарта МЭК 62351 и практикой построения АСУ ТП в электроэнергетике [13].</w:t>
      </w:r>
    </w:p>
    <w:p>
      <w:pPr>
        <w:spacing w:before="0" w:after="0" w:line="360" w:lineRule="auto"/>
        <w:ind w:firstLine="709"/>
        <w:jc w:val="both"/>
      </w:pPr>
      <w:r>
        <w:rPr>
          <w:rFonts w:ascii="Times New Roman" w:hAnsi="Times New Roman"/>
          <w:b w:val="0"/>
          <w:i w:val="0"/>
          <w:color w:val="000000"/>
          <w:sz w:val="28"/>
        </w:rPr>
        <w:t>Первый уровень — полевой. На данном уровне расположены контроллеры реклоузеров, датчики параметров окружающей среды и коммуникационное оборудование (GSM/GPRS-модемы). Контроллеры реклоузеров выполняют первичную обработку измеренных величин: аналого-цифровое преобразование, фильтрацию, вычисление действующих значений токов и напряжений, расчёт мощностей и частоты. Обработанные данные формируются в телеграммы протокола МЭК 60870-5-104 и передаются на коммуникационный уровень. Контроллеры также обеспечивают буферизацию данных при временной потере связи с диспетчерским центром: накопленные данные автоматически передаются после восстановления соединения [14].</w:t>
      </w:r>
    </w:p>
    <w:p>
      <w:pPr>
        <w:spacing w:before="0" w:after="0" w:line="360" w:lineRule="auto"/>
        <w:ind w:firstLine="709"/>
        <w:jc w:val="both"/>
      </w:pPr>
      <w:r>
        <w:rPr>
          <w:rFonts w:ascii="Times New Roman" w:hAnsi="Times New Roman"/>
          <w:b w:val="0"/>
          <w:i w:val="0"/>
          <w:color w:val="000000"/>
          <w:sz w:val="28"/>
        </w:rPr>
        <w:t>Второй уровень — коммуникационный. Данный уровень обеспечивает транспортировку данных между полевыми устройствами и диспетчерским центром. Основу коммуникационного уровня составляют каналы мобильной связи GSM/GPRS, организованные через VPN-туннели для обеспечения информационной безопасности. Для каждого реклоузера организовано два независимых канала связи (основной и резервный) через разных операторов мобильной связи. Управление каналами связи осуществляется коммуникационным сервером, который отслеживает состояние каждого канала и при обнаружении потери связи автоматически переключается на резервный канал [15].</w:t>
      </w:r>
    </w:p>
    <w:p>
      <w:pPr>
        <w:spacing w:before="0" w:after="0" w:line="360" w:lineRule="auto"/>
        <w:ind w:firstLine="709"/>
        <w:jc w:val="both"/>
      </w:pPr>
      <w:r>
        <w:rPr>
          <w:rFonts w:ascii="Times New Roman" w:hAnsi="Times New Roman"/>
          <w:b w:val="0"/>
          <w:i w:val="0"/>
          <w:color w:val="000000"/>
          <w:sz w:val="28"/>
        </w:rPr>
        <w:t>Третий уровень — диспетчерский. На данном уровне расположены серверы SCADA-системы, база данных, рабочие станции диспетчеров и вспомогательные системы (архивный сервер, веб-сервер для удалённого доступа). Основной сервер SCADA-системы принимает данные от коммуникационного сервера, выполняет их обработку (проверку достоверности, пересчёт, нормализацию), записывает в базу данных, формирует мнемосхемы и передаёт на рабочие станции операторов. Для обеспечения отказоустойчивости основной сервер дублируется резервным сервером, работающим в режиме горячего резерва [16].</w:t>
      </w:r>
    </w:p>
    <w:p>
      <w:pPr>
        <w:spacing w:before="0" w:after="0" w:line="360" w:lineRule="auto"/>
        <w:ind w:firstLine="709"/>
        <w:jc w:val="both"/>
      </w:pPr>
      <w:r>
        <w:rPr>
          <w:rFonts w:ascii="Times New Roman" w:hAnsi="Times New Roman"/>
          <w:b w:val="0"/>
          <w:i w:val="0"/>
          <w:color w:val="000000"/>
          <w:sz w:val="28"/>
        </w:rPr>
        <w:t>Взаимодействие между уровнями системы осуществляется по следующей схеме. Контроллеры реклоузеров инициируют TCP-соединение с коммуникационным сервером по протоколу МЭК 60870-5-104. После установления соединения коммуникационный сервер отправляет команду общего опроса (General Interrogation) для получения текущих значений всех контролируемых параметров. Далее контроллеры передают данные в двух режимах: периодическая передача телеизмерений с заданным интервалом (cyclic) и спорадическая передача при изменении состояния дискретных сигналов (spontaneous). При необходимости дистанционного управления реклоузером диспетчер формирует команду на рабочей станции, которая передаётся через основной сервер и коммуникационный сервер на контроллер реклоузера с обязательным квитированием (подтверждением) выполнения [17].</w:t>
      </w:r>
    </w:p>
    <w:p>
      <w:pPr>
        <w:spacing w:before="0" w:after="0" w:line="360" w:lineRule="auto"/>
        <w:ind w:firstLine="709"/>
        <w:jc w:val="both"/>
      </w:pPr>
      <w:r>
        <w:rPr>
          <w:rFonts w:ascii="Times New Roman" w:hAnsi="Times New Roman"/>
          <w:b w:val="0"/>
          <w:i w:val="0"/>
          <w:color w:val="000000"/>
          <w:sz w:val="28"/>
        </w:rPr>
        <w:t>Важной особенностью архитектуры является применение принципа «store-and-forward» (буферизация и пересылка) для обеспечения гарантированной доставки данных при нестабильных каналах связи. Контроллеры реклоузеров оснащены энергонезависимой памятью объёмом до 64 Мбайт, позволяющей хранить телеметрические данные и события за период до 7 суток при отсутствии связи. После восстановления соединения накопленные данные автоматически синхронизируются с сервером SCADA-системы с сохранением меток времени [18].</w:t>
      </w:r>
    </w:p>
    <w:p>
      <w:pPr>
        <w:spacing w:before="120" w:after="0"/>
        <w:ind w:firstLine="0"/>
        <w:jc w:val="center"/>
      </w:pPr>
      <w:r>
        <w:drawing>
          <wp:inline xmlns:a="http://schemas.openxmlformats.org/drawingml/2006/main" xmlns:pic="http://schemas.openxmlformats.org/drawingml/2006/picture">
            <wp:extent cx="5400000" cy="308571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400000" cy="3085714"/>
                    </a:xfrm>
                    <a:prstGeom prst="rect"/>
                  </pic:spPr>
                </pic:pic>
              </a:graphicData>
            </a:graphic>
          </wp:inline>
        </w:drawing>
      </w:r>
    </w:p>
    <w:p>
      <w:pPr>
        <w:spacing w:before="120" w:after="240" w:line="360" w:lineRule="auto"/>
        <w:ind w:firstLine="0"/>
        <w:jc w:val="center"/>
      </w:pPr>
      <w:r>
        <w:rPr>
          <w:rFonts w:ascii="Times New Roman" w:hAnsi="Times New Roman"/>
          <w:color w:val="000000"/>
          <w:sz w:val="28"/>
        </w:rPr>
        <w:t>Рисунок 1 – Трёхуровневая архитектура системы мониторинга автоматизированного участка ВЛ</w:t>
      </w:r>
    </w:p>
    <w:p>
      <w:pPr>
        <w:spacing w:before="0" w:after="0" w:line="360" w:lineRule="auto"/>
        <w:ind w:firstLine="709"/>
        <w:jc w:val="both"/>
      </w:pPr>
      <w:r>
        <w:rPr>
          <w:rFonts w:ascii="Times New Roman" w:hAnsi="Times New Roman"/>
          <w:b w:val="0"/>
          <w:i w:val="0"/>
          <w:color w:val="000000"/>
          <w:sz w:val="28"/>
        </w:rPr>
        <w:t>Рассмотрим более подробно процесс обработки телеметрических данных на диспетчерском уровне системы. Основной сервер SCADA-системы выполняет следующую последовательность операций при поступлении новых данных от контроллера реклоузера.</w:t>
      </w:r>
    </w:p>
    <w:p>
      <w:pPr>
        <w:spacing w:before="0" w:after="0" w:line="360" w:lineRule="auto"/>
        <w:ind w:firstLine="709"/>
        <w:jc w:val="both"/>
      </w:pPr>
      <w:r>
        <w:rPr>
          <w:rFonts w:ascii="Times New Roman" w:hAnsi="Times New Roman"/>
          <w:b w:val="0"/>
          <w:i w:val="0"/>
          <w:color w:val="000000"/>
          <w:sz w:val="28"/>
        </w:rPr>
        <w:t>На первом этапе производится проверка достоверности данных. Каждое полученное измерение проверяется по нескольким критериям: анализ дескриптора качества (Quality Descriptor), передаваемого в составе информационного объекта протокола IEC 104; проверка принадлежности значения допустимому физическому диапазону (например, напряжение не может быть отрицательным, ток не может превышать номинальную отключающую способность аппарата); проверка скорости изменения параметра (gradient check) — слишком быстрое изменение может свидетельствовать о неисправности датчика, а не о реальном процессе в сети; проверка метки времени — данные с временем, отличающимся от текущего более чем на заданную величину, помечаются как «substituted» (замещённые).</w:t>
      </w:r>
    </w:p>
    <w:p>
      <w:pPr>
        <w:spacing w:before="0" w:after="0" w:line="360" w:lineRule="auto"/>
        <w:ind w:firstLine="709"/>
        <w:jc w:val="both"/>
      </w:pPr>
      <w:r>
        <w:rPr>
          <w:rFonts w:ascii="Times New Roman" w:hAnsi="Times New Roman"/>
          <w:b w:val="0"/>
          <w:i w:val="0"/>
          <w:color w:val="000000"/>
          <w:sz w:val="28"/>
        </w:rPr>
        <w:t>На втором этапе выполняется пересчёт и нормализация данных. Контроллеры реклоузеров передают значения токов и напряжений в первичных величинах, которые при необходимости пересчитываются с учётом коэффициентов трансформации измерительных трансформаторов. Также выполняется расчёт производных параметров, не передаваемых непосредственно от контроллера: полная мощность, коэффициент несимметрии токов, энергия нарастающим итогом.</w:t>
      </w:r>
    </w:p>
    <w:p>
      <w:pPr>
        <w:spacing w:before="0" w:after="0" w:line="360" w:lineRule="auto"/>
        <w:ind w:firstLine="709"/>
        <w:jc w:val="both"/>
      </w:pPr>
      <w:r>
        <w:rPr>
          <w:rFonts w:ascii="Times New Roman" w:hAnsi="Times New Roman"/>
          <w:b w:val="0"/>
          <w:i w:val="0"/>
          <w:color w:val="000000"/>
          <w:sz w:val="28"/>
        </w:rPr>
        <w:t>На третьем этапе обработанные данные записываются в базу данных и передаются на рабочие станции операторов. Для минимизации задержки передача на рабочие станции осуществляется параллельно с записью в базу данных через механизм WebSocket. Это обеспечивает обновление информации на экране диспетчера практически мгновенно (задержка не превышает 100–200 мс от момента поступления данных на сервер).</w:t>
      </w:r>
    </w:p>
    <w:p>
      <w:bookmarkStart w:id="15" w:name="_bm_section_2_5"/>
      <w:pPr>
        <w:spacing w:before="240" w:after="120" w:line="360" w:lineRule="auto"/>
        <w:ind w:firstLine="709"/>
        <w:jc w:val="both"/>
      </w:pPr>
      <w:r>
        <w:rPr>
          <w:rFonts w:ascii="Times New Roman" w:hAnsi="Times New Roman"/>
          <w:b/>
          <w:color w:val="000000"/>
          <w:sz w:val="28"/>
        </w:rPr>
        <w:t>2.5 Требования к надёжности и отказоустойчивости системы мониторинга</w:t>
      </w:r>
      <w:bookmarkEnd w:id="15"/>
    </w:p>
    <w:p>
      <w:pPr>
        <w:spacing w:before="0" w:after="0" w:line="360" w:lineRule="auto"/>
        <w:ind w:firstLine="709"/>
        <w:jc w:val="both"/>
      </w:pPr>
      <w:r>
        <w:rPr>
          <w:rFonts w:ascii="Times New Roman" w:hAnsi="Times New Roman"/>
          <w:b w:val="0"/>
          <w:i w:val="0"/>
          <w:color w:val="000000"/>
          <w:sz w:val="28"/>
        </w:rPr>
        <w:t>Надёжность системы мониторинга является критическим параметром, определяющим её пригодность для промышленной эксплуатации. В соответствии с РД 34.35.127-93 «Руководящие указания по проектированию систем оперативно-диспетчерского управления энергосистемами» и СТО 56947007-29.240.10.028-2009 «Автоматизированные системы управления технологическими процессами подстанций», к SCADA-системе предъявляются следующие требования по надёжности [19].</w:t>
      </w:r>
    </w:p>
    <w:p>
      <w:pPr>
        <w:spacing w:before="0" w:after="0" w:line="360" w:lineRule="auto"/>
        <w:ind w:firstLine="709"/>
        <w:jc w:val="both"/>
      </w:pPr>
      <w:r>
        <w:rPr>
          <w:rFonts w:ascii="Times New Roman" w:hAnsi="Times New Roman"/>
          <w:b w:val="0"/>
          <w:i w:val="0"/>
          <w:color w:val="000000"/>
          <w:sz w:val="28"/>
        </w:rPr>
        <w:t>Основные показатели надёжности системы мониторинга представлены в таблице 4.</w:t>
      </w:r>
    </w:p>
    <w:p>
      <w:pPr>
        <w:spacing w:before="240" w:after="120" w:line="360" w:lineRule="auto"/>
        <w:ind w:firstLine="0"/>
        <w:jc w:val="left"/>
      </w:pPr>
      <w:r>
        <w:rPr>
          <w:rFonts w:ascii="Times New Roman" w:hAnsi="Times New Roman"/>
          <w:color w:val="000000"/>
          <w:sz w:val="28"/>
        </w:rPr>
        <w:t>Таблица 4 – Требуемые показатели надёжности системы мониторинга</w:t>
      </w:r>
    </w:p>
    <w:tbl>
      <w:tblPr>
        <w:tblStyle w:val="TableGrid"/>
        <w:tblW w:type="auto" w:w="0"/>
        <w:tblLook w:firstColumn="1" w:firstRow="1" w:lastColumn="0" w:lastRow="0" w:noHBand="0" w:noVBand="1" w:val="04A0"/>
        <w:tblW w:type="pct" w:w="5000"/>
      </w:tblPr>
      <w:tblGrid>
        <w:gridCol w:w="2339"/>
        <w:gridCol w:w="2339"/>
        <w:gridCol w:w="2339"/>
        <w:gridCol w:w="2339"/>
      </w:tblGrid>
      <w:tr>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Показатель</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Обозначение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Требуемое значение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Единица измерения</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Коэффициент готовности</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Кг</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0,999</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Среднее время наработки на отказ</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MTBF</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50 000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ч</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Среднее время восстановления</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MTTR</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0,5 (гор. резерв)</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ч</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Допустимое время простоя в год</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Тпр</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8,76</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ч</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Вероятность безотказной работы (1 год)</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P(t)</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0,995</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t>
            </w:r>
          </w:p>
        </w:tc>
      </w:tr>
      <w:tr>
        <w:tc>
          <w:tcPr>
            <w:tcW w:type="dxa" w:w="2339"/>
            <w:vAlign w:val="center"/>
            <w:tcMar>
              <w:top w:w="28" w:type="dxa"/>
              <w:bottom w:w="28" w:type="dxa"/>
              <w:left w:w="57" w:type="dxa"/>
              <w:right w:w="57" w:type="dxa"/>
            </w:tcMar>
          </w:tcPr>
          <w:p>
            <w:pPr>
              <w:spacing w:before="0" w:after="0" w:line="240" w:lineRule="auto"/>
              <w:ind w:firstLine="0"/>
              <w:jc w:val="left"/>
            </w:pPr>
            <w:r/>
            <w:r>
              <w:rPr>
                <w:rFonts w:ascii="Times New Roman" w:hAnsi="Times New Roman"/>
                <w:b w:val="0"/>
                <w:color w:val="000000"/>
                <w:sz w:val="28"/>
              </w:rPr>
              <w:t>Максимальная потеря данных при отказе</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 10</w:t>
            </w:r>
          </w:p>
        </w:tc>
        <w:tc>
          <w:tcPr>
            <w:tcW w:type="dxa" w:w="2339"/>
            <w:vAlign w:val="center"/>
            <w:tcMar>
              <w:top w:w="28" w:type="dxa"/>
              <w:bottom w:w="28" w:type="dxa"/>
              <w:left w:w="57" w:type="dxa"/>
              <w:right w:w="57" w:type="dxa"/>
            </w:tcMar>
          </w:tcPr>
          <w:p>
            <w:pPr>
              <w:spacing w:before="0" w:after="0" w:line="240" w:lineRule="auto"/>
              <w:ind w:firstLine="0"/>
              <w:jc w:val="center"/>
            </w:pPr>
            <w:r/>
            <w:r>
              <w:rPr>
                <w:rFonts w:ascii="Times New Roman" w:hAnsi="Times New Roman"/>
                <w:b w:val="0"/>
                <w:color w:val="000000"/>
                <w:sz w:val="28"/>
              </w:rPr>
              <w:t>с</w:t>
            </w:r>
          </w:p>
        </w:tc>
      </w:tr>
    </w:tbl>
    <w:p>
      <w:pPr>
        <w:spacing w:before="0" w:after="0" w:line="360" w:lineRule="auto"/>
        <w:ind w:firstLine="709"/>
        <w:jc w:val="both"/>
      </w:pPr>
      <w:r>
        <w:rPr>
          <w:rFonts w:ascii="Times New Roman" w:hAnsi="Times New Roman"/>
          <w:b w:val="0"/>
          <w:i w:val="0"/>
          <w:color w:val="000000"/>
          <w:sz w:val="28"/>
        </w:rPr>
        <w:t>Для обеспечения указанных показателей надёжности в системе мониторинга предусмотрены следующие механизмы резервирования и отказоустойчивости:</w:t>
      </w:r>
    </w:p>
    <w:p>
      <w:pPr>
        <w:spacing w:before="0" w:after="0" w:line="360" w:lineRule="auto"/>
        <w:ind w:firstLine="709"/>
        <w:jc w:val="both"/>
      </w:pPr>
      <w:r>
        <w:rPr>
          <w:rFonts w:ascii="Times New Roman" w:hAnsi="Times New Roman"/>
          <w:b w:val="0"/>
          <w:i w:val="0"/>
          <w:color w:val="000000"/>
          <w:sz w:val="28"/>
        </w:rPr>
        <w:t xml:space="preserve">Резервирование серверов. </w:t>
      </w:r>
      <w:r>
        <w:rPr>
          <w:rFonts w:ascii="Times New Roman" w:hAnsi="Times New Roman"/>
          <w:b w:val="0"/>
          <w:i w:val="0"/>
          <w:color w:val="000000"/>
          <w:sz w:val="28"/>
        </w:rPr>
        <w:t>основной и резервный серверы SCADA-системы работают в режиме горячего резерва с автоматическим переключением при отказе основного сервера. Время переключения не превышает 10 секунд. Оба сервера непрерывно синхронизируют данные между собой через выделенный канал связи (heartbeat);</w:t>
      </w:r>
    </w:p>
    <w:p>
      <w:pPr>
        <w:spacing w:before="0" w:after="0" w:line="360" w:lineRule="auto"/>
        <w:ind w:firstLine="709"/>
        <w:jc w:val="both"/>
      </w:pPr>
      <w:r>
        <w:rPr>
          <w:rFonts w:ascii="Times New Roman" w:hAnsi="Times New Roman"/>
          <w:b w:val="0"/>
          <w:i w:val="0"/>
          <w:color w:val="000000"/>
          <w:sz w:val="28"/>
        </w:rPr>
        <w:t xml:space="preserve">Резервирование каналов связи. </w:t>
      </w:r>
      <w:r>
        <w:rPr>
          <w:rFonts w:ascii="Times New Roman" w:hAnsi="Times New Roman"/>
          <w:b w:val="0"/>
          <w:i w:val="0"/>
          <w:color w:val="000000"/>
          <w:sz w:val="28"/>
        </w:rPr>
        <w:t>для каждого реклоузера организовано два независимых канала связи через разных операторов мобильной связи. При потере основного канала переключение на резервный происходит автоматически в течение 15–30 секунд;</w:t>
      </w:r>
    </w:p>
    <w:p>
      <w:pPr>
        <w:spacing w:before="0" w:after="0" w:line="360" w:lineRule="auto"/>
        <w:ind w:firstLine="709"/>
        <w:jc w:val="both"/>
      </w:pPr>
      <w:r>
        <w:rPr>
          <w:rFonts w:ascii="Times New Roman" w:hAnsi="Times New Roman"/>
          <w:b w:val="0"/>
          <w:i w:val="0"/>
          <w:color w:val="000000"/>
          <w:sz w:val="28"/>
        </w:rPr>
        <w:t xml:space="preserve">Буферизация данных. </w:t>
      </w:r>
      <w:r>
        <w:rPr>
          <w:rFonts w:ascii="Times New Roman" w:hAnsi="Times New Roman"/>
          <w:b w:val="0"/>
          <w:i w:val="0"/>
          <w:color w:val="000000"/>
          <w:sz w:val="28"/>
        </w:rPr>
        <w:t>контроллеры реклоузеров хранят данные в энергонезависимой памяти при потере связи. После восстановления соединения данные синхронизируются с сервером с сохранением меток времени;</w:t>
      </w:r>
    </w:p>
    <w:p>
      <w:pPr>
        <w:spacing w:before="0" w:after="0" w:line="360" w:lineRule="auto"/>
        <w:ind w:firstLine="709"/>
        <w:jc w:val="both"/>
      </w:pPr>
      <w:r>
        <w:rPr>
          <w:rFonts w:ascii="Times New Roman" w:hAnsi="Times New Roman"/>
          <w:b w:val="0"/>
          <w:i w:val="0"/>
          <w:color w:val="000000"/>
          <w:sz w:val="28"/>
        </w:rPr>
        <w:t xml:space="preserve">Резервное электропитание. </w:t>
      </w:r>
      <w:r>
        <w:rPr>
          <w:rFonts w:ascii="Times New Roman" w:hAnsi="Times New Roman"/>
          <w:b w:val="0"/>
          <w:i w:val="0"/>
          <w:color w:val="000000"/>
          <w:sz w:val="28"/>
        </w:rPr>
        <w:t>серверное оборудование диспетчерского центра оснащено источниками бесперебойного питания (ИБП) с временем автономной работы не менее 2 часов. Реклоузеры питаются от контролируемой линии и оснащены встроенными аккумуляторными батареями для работы при обесточении линии;</w:t>
      </w:r>
    </w:p>
    <w:p>
      <w:pPr>
        <w:spacing w:before="0" w:after="0" w:line="360" w:lineRule="auto"/>
        <w:ind w:firstLine="709"/>
        <w:jc w:val="both"/>
      </w:pPr>
      <w:r>
        <w:rPr>
          <w:rFonts w:ascii="Times New Roman" w:hAnsi="Times New Roman"/>
          <w:b w:val="0"/>
          <w:i w:val="0"/>
          <w:color w:val="000000"/>
          <w:sz w:val="28"/>
        </w:rPr>
        <w:t xml:space="preserve">Резервное копирование. </w:t>
      </w:r>
      <w:r>
        <w:rPr>
          <w:rFonts w:ascii="Times New Roman" w:hAnsi="Times New Roman"/>
          <w:b w:val="0"/>
          <w:i w:val="0"/>
          <w:color w:val="000000"/>
          <w:sz w:val="28"/>
        </w:rPr>
        <w:t>автоматическое резервное копирование базы данных выполняется ежедневно с хранением копий на отдельном носителе. Полное восстановление из резервной копии занимает не более 30 минут.</w:t>
      </w:r>
    </w:p>
    <w:p>
      <w:pPr>
        <w:spacing w:before="0" w:after="0" w:line="360" w:lineRule="auto"/>
        <w:ind w:firstLine="709"/>
        <w:jc w:val="both"/>
      </w:pPr>
      <w:r>
        <w:rPr>
          <w:rFonts w:ascii="Times New Roman" w:hAnsi="Times New Roman"/>
          <w:b w:val="0"/>
          <w:i w:val="0"/>
          <w:color w:val="000000"/>
          <w:sz w:val="28"/>
        </w:rPr>
        <w:t>Расчёт коэффициента готовности системы выполняется по формуле:</w:t>
      </w:r>
    </w:p>
    <w:p>
      <w:pPr>
        <w:spacing w:before="0" w:after="0" w:line="360" w:lineRule="auto"/>
        <w:ind w:firstLine="709"/>
        <w:jc w:val="both"/>
      </w:pPr>
      <w:r>
        <w:rPr>
          <w:rFonts w:ascii="Times New Roman" w:hAnsi="Times New Roman"/>
          <w:b w:val="0"/>
          <w:i w:val="0"/>
          <w:color w:val="000000"/>
          <w:sz w:val="28"/>
        </w:rPr>
        <w:t>Кг = MTBF / (MTBF + MTTR)</w:t>
      </w:r>
    </w:p>
    <w:p>
      <w:pPr>
        <w:spacing w:before="0" w:after="0" w:line="360" w:lineRule="auto"/>
        <w:ind w:firstLine="709"/>
        <w:jc w:val="both"/>
      </w:pPr>
      <w:r>
        <w:rPr>
          <w:rFonts w:ascii="Times New Roman" w:hAnsi="Times New Roman"/>
          <w:b w:val="0"/>
          <w:i w:val="0"/>
          <w:color w:val="000000"/>
          <w:sz w:val="28"/>
        </w:rPr>
        <w:t>При MTBF = 50 000 часов и MTTR = 0,5 часа (горячий резерв) коэффициент готовности составляет: Кг = 50000 / (50000 + 0,5) = 0,99999, что значительно превышает минимально допустимое значение 0,999 и обеспечивает надёжную работу системы мониторинга в промышленных условиях [20].</w:t>
      </w:r>
    </w:p>
    <w:p>
      <w:pPr>
        <w:spacing w:before="0" w:after="0" w:line="360" w:lineRule="auto"/>
        <w:ind w:firstLine="709"/>
        <w:jc w:val="both"/>
      </w:pPr>
      <w:r>
        <w:rPr>
          <w:rFonts w:ascii="Times New Roman" w:hAnsi="Times New Roman"/>
          <w:b w:val="0"/>
          <w:i w:val="0"/>
          <w:color w:val="000000"/>
          <w:sz w:val="28"/>
        </w:rPr>
        <w:t>Таким образом, разработанная архитектура системы мониторинга обеспечивает полный цикл сбора, передачи, обработки и отображения телеметрических данных от автоматизированного участка ВЛ 6–10 кВ. Трёхуровневая структура системы, использование стандартных протоколов и механизмы резервирования обеспечивают высокую надёжность и масштабируемость решения.</w:t>
      </w:r>
    </w:p>
    <w:p>
      <w:pPr>
        <w:spacing w:before="0" w:after="0" w:line="360" w:lineRule="auto"/>
        <w:ind w:firstLine="709"/>
        <w:jc w:val="both"/>
      </w:pPr>
      <w:r>
        <w:rPr>
          <w:rFonts w:ascii="Times New Roman" w:hAnsi="Times New Roman"/>
          <w:b w:val="0"/>
          <w:i w:val="0"/>
          <w:color w:val="000000"/>
          <w:sz w:val="28"/>
        </w:rPr>
        <w:t>Отдельным аспектом обеспечения надёжности является защита от кибератак и несанкционированного доступа к системе мониторинга. В соответствии с Федеральным законом № 187-ФЗ «О безопасности критической информационной инфраструктуры Российской Федерации» и Приказом ФСТЭК России от 25.12.2017 № 239, SCADA-система для электроэнергетических объектов должна обеспечивать следующие меры защиты: идентификацию и аутентификацию пользователей с использованием индивидуальных учётных записей; разграничение прав доступа на основе ролевой модели (оператор, инженер, администратор); регистрацию событий безопасности (вход/выход, изменение конфигурации, попытки несанкционированного доступа); шифрование каналов связи между полевыми устройствами и диспетчерским центром; антивирусную защиту серверов и рабочих станций; сегментацию сети (отделение технологической сети от корпоративной).</w:t>
      </w:r>
    </w:p>
    <w:p>
      <w:pPr>
        <w:spacing w:before="0" w:after="0" w:line="360" w:lineRule="auto"/>
        <w:ind w:firstLine="709"/>
        <w:jc w:val="both"/>
      </w:pPr>
      <w:r>
        <w:rPr>
          <w:rFonts w:ascii="Times New Roman" w:hAnsi="Times New Roman"/>
          <w:b w:val="0"/>
          <w:i w:val="0"/>
          <w:color w:val="000000"/>
          <w:sz w:val="28"/>
        </w:rPr>
        <w:t>В разработанной архитектуре информационная безопасность обеспечивается на нескольких уровнях. На коммуникационном уровне используется VPN-шифрование (IPsec) всех каналов связи между реклоузерами и диспетчерским центром. На прикладном уровне протокол МЭК 60870-5-104 не предусматривает встроенных механизмов безопасности, поэтому защита обеспечивается средствами транспортного уровня (VPN). На уровне серверной инфраструктуры используются межсетевые экраны (firewall) для ограничения доступа к серверам SCADA только с авторизованных IP-адресов, а также система обнаружения вторжений (IDS) для выявления аномальной сетевой активности.</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