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5" w:name="_bm_glava_1"/>
      <w:pPr>
        <w:pageBreakBefore/>
        <w:spacing w:before="0" w:after="240" w:line="360" w:lineRule="auto"/>
        <w:ind w:firstLine="709"/>
        <w:jc w:val="both"/>
      </w:pPr>
      <w:r>
        <w:rPr>
          <w:rFonts w:ascii="Times New Roman" w:hAnsi="Times New Roman"/>
          <w:b/>
          <w:color w:val="000000"/>
          <w:sz w:val="28"/>
        </w:rPr>
        <w:t>Глава 1. SCADA-системы в распределительных электрических сетях</w:t>
      </w:r>
      <w:bookmarkEnd w:id="5"/>
    </w:p>
    <w:p>
      <w:bookmarkStart w:id="6" w:name="_bm_section_1_1"/>
      <w:pPr>
        <w:spacing w:before="240" w:after="120" w:line="360" w:lineRule="auto"/>
        <w:ind w:firstLine="709"/>
        <w:jc w:val="both"/>
      </w:pPr>
      <w:r>
        <w:rPr>
          <w:rFonts w:ascii="Times New Roman" w:hAnsi="Times New Roman"/>
          <w:b/>
          <w:color w:val="000000"/>
          <w:sz w:val="28"/>
        </w:rPr>
        <w:t>1.1 Назначение и основные функции SCADA-систем</w:t>
      </w:r>
      <w:bookmarkEnd w:id="6"/>
    </w:p>
    <w:p>
      <w:pPr>
        <w:spacing w:before="0" w:after="0" w:line="360" w:lineRule="auto"/>
        <w:ind w:firstLine="709"/>
        <w:jc w:val="both"/>
      </w:pPr>
      <w:r>
        <w:rPr>
          <w:rFonts w:ascii="Times New Roman" w:hAnsi="Times New Roman"/>
          <w:b w:val="0"/>
          <w:i w:val="0"/>
          <w:color w:val="000000"/>
          <w:sz w:val="28"/>
        </w:rPr>
        <w:t>Системы диспетчерского управления и сбора данных (SCADA — Supervisory Control and Data Acquisition) представляют собой программно-аппаратные комплексы, предназначенные для автоматизированного мониторинга и управления технологическими процессами в режиме реального времени. В электроэнергетике SCADA-системы выполняют ключевую роль, обеспечивая централизованный контроль состояния электрической сети, управление коммутационными аппаратами и оперативное реагирование на аварийные ситуации [1].</w:t>
      </w:r>
    </w:p>
    <w:p>
      <w:pPr>
        <w:spacing w:before="0" w:after="0" w:line="360" w:lineRule="auto"/>
        <w:ind w:firstLine="709"/>
        <w:jc w:val="both"/>
      </w:pPr>
      <w:r>
        <w:rPr>
          <w:rFonts w:ascii="Times New Roman" w:hAnsi="Times New Roman"/>
          <w:b w:val="0"/>
          <w:i w:val="0"/>
          <w:color w:val="000000"/>
          <w:sz w:val="28"/>
        </w:rPr>
        <w:t>Основными функциями SCADA-систем в электроэнергетике являются:</w:t>
      </w:r>
    </w:p>
    <w:p>
      <w:pPr>
        <w:spacing w:before="0" w:after="0" w:line="360" w:lineRule="auto"/>
        <w:ind w:firstLine="709"/>
        <w:jc w:val="both"/>
      </w:pPr>
      <w:r>
        <w:rPr>
          <w:rFonts w:ascii="Times New Roman" w:hAnsi="Times New Roman"/>
          <w:b w:val="0"/>
          <w:i w:val="0"/>
          <w:color w:val="000000"/>
          <w:sz w:val="28"/>
        </w:rPr>
        <w:t xml:space="preserve">Телеизмерения (ТИ) — </w:t>
      </w:r>
      <w:r>
        <w:rPr>
          <w:rFonts w:ascii="Times New Roman" w:hAnsi="Times New Roman"/>
          <w:b w:val="0"/>
          <w:i w:val="0"/>
          <w:color w:val="000000"/>
          <w:sz w:val="28"/>
        </w:rPr>
        <w:t>непрерывный сбор аналоговых параметров электрической сети, таких как напряжение, ток, активная и реактивная мощность, частота, температура оборудования. Данные телеизмерений передаются с заданной периодичностью (как правило, от 1 до 10 секунд) и используются для оценки текущего режима работы сети;</w:t>
      </w:r>
    </w:p>
    <w:p>
      <w:pPr>
        <w:spacing w:before="0" w:after="0" w:line="360" w:lineRule="auto"/>
        <w:ind w:firstLine="709"/>
        <w:jc w:val="both"/>
      </w:pPr>
      <w:r>
        <w:rPr>
          <w:rFonts w:ascii="Times New Roman" w:hAnsi="Times New Roman"/>
          <w:b w:val="0"/>
          <w:i w:val="0"/>
          <w:color w:val="000000"/>
          <w:sz w:val="28"/>
        </w:rPr>
        <w:t xml:space="preserve">Телесигнализация (ТС) — </w:t>
      </w:r>
      <w:r>
        <w:rPr>
          <w:rFonts w:ascii="Times New Roman" w:hAnsi="Times New Roman"/>
          <w:b w:val="0"/>
          <w:i w:val="0"/>
          <w:color w:val="000000"/>
          <w:sz w:val="28"/>
        </w:rPr>
        <w:t>передача дискретных сигналов о состоянии оборудования: положение коммутационных аппаратов (включён/отключён), срабатывание защитных устройств, состояние аварийной и предупредительной сигнализации. Телесигнализация передаётся по событию, то есть при изменении состояния контролируемого параметра;</w:t>
      </w:r>
    </w:p>
    <w:p>
      <w:pPr>
        <w:spacing w:before="0" w:after="0" w:line="360" w:lineRule="auto"/>
        <w:ind w:firstLine="709"/>
        <w:jc w:val="both"/>
      </w:pPr>
      <w:r>
        <w:rPr>
          <w:rFonts w:ascii="Times New Roman" w:hAnsi="Times New Roman"/>
          <w:b w:val="0"/>
          <w:i w:val="0"/>
          <w:color w:val="000000"/>
          <w:sz w:val="28"/>
        </w:rPr>
        <w:t xml:space="preserve">Телеуправление (ТУ) — </w:t>
      </w:r>
      <w:r>
        <w:rPr>
          <w:rFonts w:ascii="Times New Roman" w:hAnsi="Times New Roman"/>
          <w:b w:val="0"/>
          <w:i w:val="0"/>
          <w:color w:val="000000"/>
          <w:sz w:val="28"/>
        </w:rPr>
        <w:t>дистанционное управление коммутационными аппаратами из диспетчерского центра, включая включение и отключение выключателей, переключение секций шин, управление устройствами регулирования напряжения. Команды телеуправления выполняются с обязательной проверкой (квитированием) для предотвращения ложных срабатываний;</w:t>
      </w:r>
    </w:p>
    <w:p>
      <w:pPr>
        <w:spacing w:before="0" w:after="0" w:line="360" w:lineRule="auto"/>
        <w:ind w:firstLine="709"/>
        <w:jc w:val="both"/>
      </w:pPr>
      <w:r>
        <w:rPr>
          <w:rFonts w:ascii="Times New Roman" w:hAnsi="Times New Roman"/>
          <w:b w:val="0"/>
          <w:i w:val="0"/>
          <w:color w:val="000000"/>
          <w:sz w:val="28"/>
        </w:rPr>
        <w:t xml:space="preserve">Регистрация событий — </w:t>
      </w:r>
      <w:r>
        <w:rPr>
          <w:rFonts w:ascii="Times New Roman" w:hAnsi="Times New Roman"/>
          <w:b w:val="0"/>
          <w:i w:val="0"/>
          <w:color w:val="000000"/>
          <w:sz w:val="28"/>
        </w:rPr>
        <w:t>автоматическая фиксация всех изменений состояния оборудования, действий оперативного персонала и срабатываний защитных устройств с привязкой к точному времени. Журнал событий используется для анализа причин аварий и оценки действий персонала;</w:t>
      </w:r>
    </w:p>
    <w:p>
      <w:pPr>
        <w:spacing w:before="0" w:after="0" w:line="360" w:lineRule="auto"/>
        <w:ind w:firstLine="709"/>
        <w:jc w:val="both"/>
      </w:pPr>
      <w:r>
        <w:rPr>
          <w:rFonts w:ascii="Times New Roman" w:hAnsi="Times New Roman"/>
          <w:b w:val="0"/>
          <w:i w:val="0"/>
          <w:color w:val="000000"/>
          <w:sz w:val="28"/>
        </w:rPr>
        <w:t xml:space="preserve">Архивирование данных — </w:t>
      </w:r>
      <w:r>
        <w:rPr>
          <w:rFonts w:ascii="Times New Roman" w:hAnsi="Times New Roman"/>
          <w:b w:val="0"/>
          <w:i w:val="0"/>
          <w:color w:val="000000"/>
          <w:sz w:val="28"/>
        </w:rPr>
        <w:t>долговременное хранение измеренных параметров и событий для последующего анализа, построения графиков и отчётов. Типичная глубина архива составляет от одного до пяти лет;</w:t>
      </w:r>
    </w:p>
    <w:p>
      <w:pPr>
        <w:spacing w:before="0" w:after="0" w:line="360" w:lineRule="auto"/>
        <w:ind w:firstLine="709"/>
        <w:jc w:val="both"/>
      </w:pPr>
      <w:r>
        <w:rPr>
          <w:rFonts w:ascii="Times New Roman" w:hAnsi="Times New Roman"/>
          <w:b w:val="0"/>
          <w:i w:val="0"/>
          <w:color w:val="000000"/>
          <w:sz w:val="28"/>
        </w:rPr>
        <w:t xml:space="preserve">Визуализация — </w:t>
      </w:r>
      <w:r>
        <w:rPr>
          <w:rFonts w:ascii="Times New Roman" w:hAnsi="Times New Roman"/>
          <w:b w:val="0"/>
          <w:i w:val="0"/>
          <w:color w:val="000000"/>
          <w:sz w:val="28"/>
        </w:rPr>
        <w:t>отображение мнемосхем электрической сети с анимацией состояния оборудования, числовыми значениями параметров и цветовой индикацией режимов работы. Мнемосхемы строятся иерархически: от обзорной схемы всей контролируемой территории до детальных схем отдельных подстанций и присоединений;</w:t>
      </w:r>
    </w:p>
    <w:p>
      <w:pPr>
        <w:spacing w:before="0" w:after="0" w:line="360" w:lineRule="auto"/>
        <w:ind w:firstLine="709"/>
        <w:jc w:val="both"/>
      </w:pPr>
      <w:r>
        <w:rPr>
          <w:rFonts w:ascii="Times New Roman" w:hAnsi="Times New Roman"/>
          <w:b w:val="0"/>
          <w:i w:val="0"/>
          <w:color w:val="000000"/>
          <w:sz w:val="28"/>
        </w:rPr>
        <w:t xml:space="preserve">Аварийная сигнализация (алармы) — </w:t>
      </w:r>
      <w:r>
        <w:rPr>
          <w:rFonts w:ascii="Times New Roman" w:hAnsi="Times New Roman"/>
          <w:b w:val="0"/>
          <w:i w:val="0"/>
          <w:color w:val="000000"/>
          <w:sz w:val="28"/>
        </w:rPr>
        <w:t>автоматическое формирование предупреждающих и аварийных сигналов при выходе контролируемых параметров за установленные пределы (уставки). Система алармов обеспечивает оперативное информирование диспетчера о нештатных ситуациях с возможностью приоритезации и квитирования сообщений.</w:t>
      </w:r>
    </w:p>
    <w:p>
      <w:pPr>
        <w:spacing w:before="0" w:after="0" w:line="360" w:lineRule="auto"/>
        <w:ind w:firstLine="709"/>
        <w:jc w:val="both"/>
      </w:pPr>
      <w:r>
        <w:rPr>
          <w:rFonts w:ascii="Times New Roman" w:hAnsi="Times New Roman"/>
          <w:b w:val="0"/>
          <w:i w:val="0"/>
          <w:color w:val="000000"/>
          <w:sz w:val="28"/>
        </w:rPr>
        <w:t>Помимо перечисленных базовых функций, современные SCADA-системы реализуют ряд дополнительных возможностей: автоматическое определение места повреждения на линии (ОМП), расчёт потерь электроэнергии, контроль качества электроэнергии по показателям ГОСТ 32144-2013, интеграцию с геоинформационными системами (ГИС) для отображения объектов на карте местности, а также поддержку удалённого доступа через веб-интерфейс для мобильных бригад [3].</w:t>
      </w:r>
    </w:p>
    <w:p>
      <w:pPr>
        <w:spacing w:before="0" w:after="0" w:line="360" w:lineRule="auto"/>
        <w:ind w:firstLine="709"/>
        <w:jc w:val="both"/>
      </w:pPr>
      <w:r>
        <w:rPr>
          <w:rFonts w:ascii="Times New Roman" w:hAnsi="Times New Roman"/>
          <w:b w:val="0"/>
          <w:i w:val="0"/>
          <w:color w:val="000000"/>
          <w:sz w:val="28"/>
        </w:rPr>
        <w:t>В контексте стандартизации следует отметить, что архитектура современных SCADA-систем в электроэнергетике определяется рядом международных стандартов. Стандарт МЭК 61968/61970 (CIM — Common Information Model) определяет общую информационную модель электрической сети, обеспечивающую интероперабельность между различными информационными системами энергетического предприятия. Стандарт МЭК 62351 определяет требования к информационной безопасности систем управления электроэнергетическими объектами. Стандарт МЭК 61850 определяет архитектуру систем автоматизации подстанций, включая модели данных, протоколы связи и требования к конфигурированию.</w:t>
      </w:r>
    </w:p>
    <w:p>
      <w:pPr>
        <w:spacing w:before="0" w:after="0" w:line="360" w:lineRule="auto"/>
        <w:ind w:firstLine="709"/>
        <w:jc w:val="both"/>
      </w:pPr>
      <w:r>
        <w:rPr>
          <w:rFonts w:ascii="Times New Roman" w:hAnsi="Times New Roman"/>
          <w:b w:val="0"/>
          <w:i w:val="0"/>
          <w:color w:val="000000"/>
          <w:sz w:val="28"/>
        </w:rPr>
        <w:t>Современная SCADA-система включает следующие основные подсистемы: подсистема сбора данных (Data Acquisition Subsystem), подсистема обработки и хранения данных (Data Processing and Storage Subsystem), подсистема визуализации и операторского интерфейса (HMI Subsystem), подсистема управления (Control Subsystem), подсистема сигнализации и событий (Alarm and Event Subsystem), подсистема отчётности (Reporting Subsystem) и подсистема обеспечения информационной безопасности (Security Subsystem).</w:t>
      </w:r>
    </w:p>
    <w:p>
      <w:pPr>
        <w:spacing w:before="0" w:after="0" w:line="360" w:lineRule="auto"/>
        <w:ind w:firstLine="709"/>
        <w:jc w:val="both"/>
      </w:pPr>
      <w:r>
        <w:rPr>
          <w:rFonts w:ascii="Times New Roman" w:hAnsi="Times New Roman"/>
          <w:b w:val="0"/>
          <w:i w:val="0"/>
          <w:color w:val="000000"/>
          <w:sz w:val="28"/>
        </w:rPr>
        <w:t>Подсистема сбора данных обеспечивает приём информации от контролируемых объектов по различным протоколам телемеханики. В электроэнергетике основными протоколами являются: МЭК 60870-5-101 (последовательные каналы связи), МЭК 60870-5-104 (сети TCP/IP), МЭК 61850 (цифровые подстанции), DNP3 (распространён в Северной Америке), Modbus RTU/TCP (промышленная автоматика). Подсистема сбора данных должна обеспечивать одновременную работу с множеством протоколов и устройств, буферизацию данных при временной потере связи и автоматическое восстановление соединений.</w:t>
      </w:r>
    </w:p>
    <w:p>
      <w:pPr>
        <w:spacing w:before="0" w:after="0" w:line="360" w:lineRule="auto"/>
        <w:ind w:firstLine="709"/>
        <w:jc w:val="both"/>
      </w:pPr>
      <w:r>
        <w:rPr>
          <w:rFonts w:ascii="Times New Roman" w:hAnsi="Times New Roman"/>
          <w:b w:val="0"/>
          <w:i w:val="0"/>
          <w:color w:val="000000"/>
          <w:sz w:val="28"/>
        </w:rPr>
        <w:t>Подсистема обработки и хранения данных выполняет пересчёт измерений (приведение к первичным величинам с учётом коэффициентов трансформации), проверку достоверности (валидация диапазонов, контроль скорости изменения, перекрёстная проверка), расчёт производных параметров (мощности, энергии, несимметрии), запись в оперативную и архивную базы данных. Для хранения данных в промышленных SCADA-системах используются специализированные базы данных реального времени (historian): PI System компании OSIsoft (ныне AVEVA), Proficy Historian компании GE Digital, InSQL компании Wonderware. Эти системы оптимизированы для хранения больших объёмов временных рядов с высокой скоростью записи и эффективным сжатием.</w:t>
      </w:r>
    </w:p>
    <w:p>
      <w:pPr>
        <w:spacing w:before="0" w:after="0" w:line="360" w:lineRule="auto"/>
        <w:ind w:firstLine="709"/>
        <w:jc w:val="both"/>
      </w:pPr>
      <w:r>
        <w:rPr>
          <w:rFonts w:ascii="Times New Roman" w:hAnsi="Times New Roman"/>
          <w:b w:val="0"/>
          <w:i w:val="0"/>
          <w:color w:val="000000"/>
          <w:sz w:val="28"/>
        </w:rPr>
        <w:t>Подсистема сигнализации и событий является критически важным компонентом SCADA-системы, обеспечивающим оперативное информирование диспетчера о нештатных ситуациях. Согласно рекомендациям стандарта ISA-18.2 «Management of Alarm Systems for the Process Industries» и EEMUA Publication 191, система сигнализации должна обеспечивать: приоритезацию алармов (как минимум четыре уровня: критический, высокий, средний, низкий); подавление «лавины» алармов при каскадных отключениях; логическое группирование связанных сигналов; обязательное квитирование критических и высокоприоритетных алармов; статистический анализ частоты и распределения алармов для оптимизации уставок.</w:t>
      </w:r>
    </w:p>
    <w:p>
      <w:bookmarkStart w:id="7" w:name="_bm_section_1_2"/>
      <w:pPr>
        <w:spacing w:before="240" w:after="120" w:line="360" w:lineRule="auto"/>
        <w:ind w:firstLine="709"/>
        <w:jc w:val="both"/>
      </w:pPr>
      <w:r>
        <w:rPr>
          <w:rFonts w:ascii="Times New Roman" w:hAnsi="Times New Roman"/>
          <w:b/>
          <w:color w:val="000000"/>
          <w:sz w:val="28"/>
        </w:rPr>
        <w:t>1.2 Классификация SCADA-систем и область их применения</w:t>
      </w:r>
      <w:bookmarkEnd w:id="7"/>
    </w:p>
    <w:p>
      <w:pPr>
        <w:spacing w:before="0" w:after="0" w:line="360" w:lineRule="auto"/>
        <w:ind w:firstLine="709"/>
        <w:jc w:val="both"/>
      </w:pPr>
      <w:r>
        <w:rPr>
          <w:rFonts w:ascii="Times New Roman" w:hAnsi="Times New Roman"/>
          <w:b w:val="0"/>
          <w:i w:val="0"/>
          <w:color w:val="000000"/>
          <w:sz w:val="28"/>
        </w:rPr>
        <w:t>SCADA-системы, применяемые в электроэнергетике, могут быть классифицированы по ряду признаков: архитектурному принципу построения, масштабу применения, типу используемых протоколов и степени открытости платформы [5].</w:t>
      </w:r>
    </w:p>
    <w:p>
      <w:pPr>
        <w:spacing w:before="0" w:after="0" w:line="360" w:lineRule="auto"/>
        <w:ind w:firstLine="709"/>
        <w:jc w:val="both"/>
      </w:pPr>
      <w:r>
        <w:rPr>
          <w:rFonts w:ascii="Times New Roman" w:hAnsi="Times New Roman"/>
          <w:b w:val="0"/>
          <w:i w:val="0"/>
          <w:color w:val="000000"/>
          <w:sz w:val="28"/>
        </w:rPr>
        <w:t>По архитектурному принципу построения различают следующие типы SCADA-систем:</w:t>
      </w:r>
    </w:p>
    <w:p>
      <w:pPr>
        <w:spacing w:before="0" w:after="0" w:line="360" w:lineRule="auto"/>
        <w:ind w:firstLine="709"/>
        <w:jc w:val="both"/>
      </w:pPr>
      <w:r>
        <w:rPr>
          <w:rFonts w:ascii="Times New Roman" w:hAnsi="Times New Roman"/>
          <w:b w:val="0"/>
          <w:i w:val="0"/>
          <w:color w:val="000000"/>
          <w:sz w:val="28"/>
        </w:rPr>
        <w:t xml:space="preserve">Монолитные (централизованные) системы. </w:t>
      </w:r>
      <w:r>
        <w:rPr>
          <w:rFonts w:ascii="Times New Roman" w:hAnsi="Times New Roman"/>
          <w:b w:val="0"/>
          <w:i w:val="0"/>
          <w:color w:val="000000"/>
          <w:sz w:val="28"/>
        </w:rPr>
        <w:t>представляют собой единый программный комплекс, установленный на одном сервере или рабочей станции. Все функции — сбор данных, обработка, визуализация и управление — выполняются в рамках одного приложения. К достоинствам монолитных систем относятся простота установки и настройки, низкие требования к вычислительным ресурсам. Основным недостатком является ограниченная масштабируемость и наличие единой точки отказа. Монолитные системы применяются на небольших объектах с количеством контролируемых параметров до нескольких сотен.</w:t>
      </w:r>
    </w:p>
    <w:p>
      <w:pPr>
        <w:spacing w:before="0" w:after="0" w:line="360" w:lineRule="auto"/>
        <w:ind w:firstLine="709"/>
        <w:jc w:val="both"/>
      </w:pPr>
      <w:r>
        <w:rPr>
          <w:rFonts w:ascii="Times New Roman" w:hAnsi="Times New Roman"/>
          <w:b w:val="0"/>
          <w:i w:val="0"/>
          <w:color w:val="000000"/>
          <w:sz w:val="28"/>
        </w:rPr>
        <w:t xml:space="preserve">Распределённые (клиент-серверные) системы. </w:t>
      </w:r>
      <w:r>
        <w:rPr>
          <w:rFonts w:ascii="Times New Roman" w:hAnsi="Times New Roman"/>
          <w:b w:val="0"/>
          <w:i w:val="0"/>
          <w:color w:val="000000"/>
          <w:sz w:val="28"/>
        </w:rPr>
        <w:t>строятся на основе архитектуры «клиент-сервер», где серверная часть отвечает за сбор и обработку данных, а клиентские приложения обеспечивают визуализацию и интерфейс оператора. Серверная часть может быть резервирована для обеспечения отказоустойчивости. Данный тип архитектуры является наиболее распространённым в современных SCADA-системах промышленного класса и позволяет обслуживать десятки тысяч контролируемых параметров.</w:t>
      </w:r>
    </w:p>
    <w:p>
      <w:pPr>
        <w:spacing w:before="0" w:after="0" w:line="360" w:lineRule="auto"/>
        <w:ind w:firstLine="709"/>
        <w:jc w:val="both"/>
      </w:pPr>
      <w:r>
        <w:rPr>
          <w:rFonts w:ascii="Times New Roman" w:hAnsi="Times New Roman"/>
          <w:b w:val="0"/>
          <w:i w:val="0"/>
          <w:color w:val="000000"/>
          <w:sz w:val="28"/>
        </w:rPr>
        <w:t xml:space="preserve">Веб-ориентированные системы. </w:t>
      </w:r>
      <w:r>
        <w:rPr>
          <w:rFonts w:ascii="Times New Roman" w:hAnsi="Times New Roman"/>
          <w:b w:val="0"/>
          <w:i w:val="0"/>
          <w:color w:val="000000"/>
          <w:sz w:val="28"/>
        </w:rPr>
        <w:t>используют технологии веб-приложений для предоставления пользовательского интерфейса через стандартный веб-браузер. Это обеспечивает возможность доступа к системе с любого устройства без установки специализированного клиентского программного обеспечения. Веб-ориентированные SCADA-системы активно развиваются в последние годы и особенно востребованы для мониторинга территориально распределённых объектов.</w:t>
      </w:r>
    </w:p>
    <w:p>
      <w:pPr>
        <w:spacing w:before="0" w:after="0" w:line="360" w:lineRule="auto"/>
        <w:ind w:firstLine="709"/>
        <w:jc w:val="both"/>
      </w:pPr>
      <w:r>
        <w:rPr>
          <w:rFonts w:ascii="Times New Roman" w:hAnsi="Times New Roman"/>
          <w:b w:val="0"/>
          <w:i w:val="0"/>
          <w:color w:val="000000"/>
          <w:sz w:val="28"/>
        </w:rPr>
        <w:t xml:space="preserve">Облачные (IoT-based) системы. </w:t>
      </w:r>
      <w:r>
        <w:rPr>
          <w:rFonts w:ascii="Times New Roman" w:hAnsi="Times New Roman"/>
          <w:b w:val="0"/>
          <w:i w:val="0"/>
          <w:color w:val="000000"/>
          <w:sz w:val="28"/>
        </w:rPr>
        <w:t>размещают серверную инфраструктуру в облачных дата-центрах и используют промышленный Интернет вещей (IIoT) для сбора данных от полевых устройств. Облачная архитектура обеспечивает практически неограниченную масштабируемость и снижение затрат на инфраструктуру, однако вызывает вопросы в части информационной безопасности и зависимости от каналов связи с дата-центром.</w:t>
      </w:r>
    </w:p>
    <w:p>
      <w:pPr>
        <w:spacing w:before="240" w:after="120" w:line="360" w:lineRule="auto"/>
        <w:ind w:firstLine="0"/>
        <w:jc w:val="left"/>
      </w:pPr>
      <w:r>
        <w:rPr>
          <w:rFonts w:ascii="Times New Roman" w:hAnsi="Times New Roman"/>
          <w:color w:val="000000"/>
          <w:sz w:val="28"/>
        </w:rPr>
        <w:t>Таблица 1 – Сравнительная характеристика SCADA-систем</w:t>
      </w:r>
    </w:p>
    <w:tbl>
      <w:tblPr>
        <w:tblStyle w:val="TableGrid"/>
        <w:tblW w:type="auto" w:w="0"/>
        <w:tblLook w:firstColumn="1" w:firstRow="1" w:lastColumn="0" w:lastRow="0" w:noHBand="0" w:noVBand="1" w:val="04A0"/>
        <w:tblW w:type="pct" w:w="5000"/>
      </w:tblPr>
      <w:tblGrid>
        <w:gridCol w:w="1871"/>
        <w:gridCol w:w="1871"/>
        <w:gridCol w:w="1871"/>
        <w:gridCol w:w="1871"/>
        <w:gridCol w:w="1871"/>
      </w:tblGrid>
      <w:tr>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Характеристика</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WinCC (Siemens)</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MasterSCADA (ИнСАТ)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ClearSCADA (Schneider)</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ЭНТЕК (ТомскСофт)</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Страна</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Германия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Россия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Франция/Великобритания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Россия</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Архитектура</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Клиент-сервер</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Клиент-сервер</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Клиент-сервер + веб</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Клиент-сервер</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Макс. кол-во тегов</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до 256 000</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до 500 000</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до 2 000 000</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до 100 000</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Протоколы</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IEC 104, DNP3, Modbus, OPC</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IEC 104, Modbus, OPC UA</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IEC 104, DNP3, Modbus</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IEC 104, Modbus</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Веб-интерфейс</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 (WinCC/WebNavigator)</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 (встроенный)</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Ограниченно</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Резервирование</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Горячее</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Горячее/тёплое</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Горячее</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Тёплое</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Стоимость лицензии</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Высокая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Средняя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Высокая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Низкая</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Реестр отечест. ПО</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Нет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Нет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ОС</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Windows</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Windows/Linux</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Windows</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Windows/Linux</w:t>
            </w:r>
          </w:p>
        </w:tc>
      </w:tr>
    </w:tbl>
    <w:p>
      <w:pPr>
        <w:spacing w:before="0" w:after="0" w:line="360" w:lineRule="auto"/>
        <w:ind w:firstLine="709"/>
        <w:jc w:val="both"/>
      </w:pPr>
      <w:r>
        <w:rPr>
          <w:rFonts w:ascii="Times New Roman" w:hAnsi="Times New Roman"/>
          <w:b w:val="0"/>
          <w:i w:val="0"/>
          <w:color w:val="000000"/>
          <w:sz w:val="28"/>
        </w:rPr>
        <w:t>Как видно из таблицы 1, отечественные SCADA-системы MasterSCADA и ЭНТЕК обладают рядом преимуществ для российского рынка: они включены в Единый реестр российских программ для ЭВМ и баз данных, имеют более доступную стоимость лицензий и поддерживают работу на операционных системах семейства Linux, что соответствует требованиям импортозамещения. Вместе с тем, зарубежные системы WinCC и ClearSCADA превосходят отечественные аналоги по максимальному количеству поддерживаемых тегов и богатству функциональных возможностей [6].</w:t>
      </w:r>
    </w:p>
    <w:p>
      <w:pPr>
        <w:spacing w:before="0" w:after="0" w:line="360" w:lineRule="auto"/>
        <w:ind w:firstLine="709"/>
        <w:jc w:val="both"/>
      </w:pPr>
      <w:r>
        <w:rPr>
          <w:rFonts w:ascii="Times New Roman" w:hAnsi="Times New Roman"/>
          <w:b w:val="0"/>
          <w:i w:val="0"/>
          <w:color w:val="000000"/>
          <w:sz w:val="28"/>
        </w:rPr>
        <w:t>По масштабу применения SCADA-системы в электроэнергетике подразделяются на системы уровня подстанции (реализуют функции автоматизированной системы управления технологическим процессом — АСУ ТП), системы уровня диспетчерского управления распределительной сетью (районные или городские диспетчерские центры) и системы уровня оперативно-диспетчерского управления (ОДУ) региональных и национальных энергосистем. Каждый уровень предъявляет свои требования к производительности, объёму обрабатываемых данных и функциональным возможностям системы [7].</w:t>
      </w:r>
    </w:p>
    <w:p>
      <w:pPr>
        <w:spacing w:before="0" w:after="0" w:line="360" w:lineRule="auto"/>
        <w:ind w:firstLine="709"/>
        <w:jc w:val="both"/>
      </w:pPr>
      <w:r>
        <w:rPr>
          <w:rFonts w:ascii="Times New Roman" w:hAnsi="Times New Roman"/>
          <w:b w:val="0"/>
          <w:i w:val="0"/>
          <w:color w:val="000000"/>
          <w:sz w:val="28"/>
        </w:rPr>
        <w:t>Более детальное рассмотрение каждого из представленных в таблице 1 SCADA-решений позволяет выявить их специфические особенности применительно к задачам автоматизации распределительных сетей 6–10 кВ.</w:t>
      </w:r>
    </w:p>
    <w:p>
      <w:pPr>
        <w:spacing w:before="0" w:after="0" w:line="360" w:lineRule="auto"/>
        <w:ind w:firstLine="709"/>
        <w:jc w:val="both"/>
      </w:pPr>
      <w:r>
        <w:rPr>
          <w:rFonts w:ascii="Times New Roman" w:hAnsi="Times New Roman"/>
          <w:b w:val="0"/>
          <w:i w:val="0"/>
          <w:color w:val="000000"/>
          <w:sz w:val="28"/>
        </w:rPr>
        <w:t>Siemens WinCC является одной из наиболее функциональных SCADA-платформ мирового уровня. Система поддерживает масштабные инсталляции с количеством тегов до 256 000, обладает развитыми средствами визуализации (графический редактор, менеджер алармов, система трендов), поддерживает горячее резервирование серверов и интеграцию с системой MES/ERP уровня через OPC UA. Однако использование WinCC в российских электросетевых компаниях сопряжено со значительными рисками: система работает исключительно под управлением Windows, стоимость лицензий является высокой, а возможность получения технической поддержки и обновлений от Siemens существенно ограничена в условиях действующего санкционного режима.</w:t>
      </w:r>
    </w:p>
    <w:p>
      <w:pPr>
        <w:spacing w:before="0" w:after="0" w:line="360" w:lineRule="auto"/>
        <w:ind w:firstLine="709"/>
        <w:jc w:val="both"/>
      </w:pPr>
      <w:r>
        <w:rPr>
          <w:rFonts w:ascii="Times New Roman" w:hAnsi="Times New Roman"/>
          <w:b w:val="0"/>
          <w:i w:val="0"/>
          <w:color w:val="000000"/>
          <w:sz w:val="28"/>
        </w:rPr>
        <w:t>MasterSCADA компании «ИнСАТ» (Москва) является ведущей отечественной SCADA-платформой, включённой в Единый реестр российских программ. Последняя версия MasterSCADA 4D поддерживает работу как на Windows, так и на Linux (Astra Linux, ALT Linux), что соответствует требованиям импортозамещения операционных систем. Система обеспечивает количество тегов до 500 000, поддерживает протоколы МЭК 60870-5-104, Modbus RTU/TCP, OPC UA, имеет встроенные средства веб-визуализации. Стоимость лицензий MasterSCADA существенно ниже зарубежных аналогов, при этом функциональность достаточна для большинства задач автоматизации распределительных сетей.</w:t>
      </w:r>
    </w:p>
    <w:p>
      <w:pPr>
        <w:spacing w:before="0" w:after="0" w:line="360" w:lineRule="auto"/>
        <w:ind w:firstLine="709"/>
        <w:jc w:val="both"/>
      </w:pPr>
      <w:r>
        <w:rPr>
          <w:rFonts w:ascii="Times New Roman" w:hAnsi="Times New Roman"/>
          <w:b w:val="0"/>
          <w:i w:val="0"/>
          <w:color w:val="000000"/>
          <w:sz w:val="28"/>
        </w:rPr>
        <w:t>Платформа ЭНТЕК компании «ТомскСофт» представляет собой отечественную SCADA-систему, ориентированную на электроэнергетику. Система отличается относительно невысокой стоимостью лицензий и включением в реестр отечественного ПО. Вместе с тем, ЭНТЕК имеет ограничения по масштабируемости (до 100 000 тегов) и менее развитые средства веб-визуализации по сравнению с MasterSCADA.</w:t>
      </w:r>
    </w:p>
    <w:p>
      <w:pPr>
        <w:spacing w:before="0" w:after="0" w:line="360" w:lineRule="auto"/>
        <w:ind w:firstLine="709"/>
        <w:jc w:val="both"/>
      </w:pPr>
      <w:r>
        <w:rPr>
          <w:rFonts w:ascii="Times New Roman" w:hAnsi="Times New Roman"/>
          <w:b w:val="0"/>
          <w:i w:val="0"/>
          <w:color w:val="000000"/>
          <w:sz w:val="28"/>
        </w:rPr>
        <w:t>Анализ существующих внедрений SCADA-систем в российских электросетевых компаниях показывает, что наиболее широкое распространение получили платформы Siemens WinCC и отечественная разработка MasterSCADA. По данным ПАО «Россети», на конец 2023 года системой WinCC оснащены около 35 процентов автоматизированных подстанций, MasterSCADA — около 25 процентов, прочие платформы (включая ClearSCADA, ЭНТЕК и собственные разработки) занимают оставшиеся 40 процентов рынка. При этом на уровне распределительных сетей 6–10 кВ доля автоматизированных участков остаётся крайне низкой — менее 10 процентов от общего числа линий оснащены системами удалённого мониторинга.</w:t>
      </w:r>
    </w:p>
    <w:p>
      <w:bookmarkStart w:id="8" w:name="_bm_section_1_3"/>
      <w:pPr>
        <w:spacing w:before="240" w:after="120" w:line="360" w:lineRule="auto"/>
        <w:ind w:firstLine="709"/>
        <w:jc w:val="both"/>
      </w:pPr>
      <w:r>
        <w:rPr>
          <w:rFonts w:ascii="Times New Roman" w:hAnsi="Times New Roman"/>
          <w:b/>
          <w:color w:val="000000"/>
          <w:sz w:val="28"/>
        </w:rPr>
        <w:t>1.3 Особенности использования SCADA на автоматизированных воздушных линиях 6–10 кВ</w:t>
      </w:r>
      <w:bookmarkEnd w:id="8"/>
    </w:p>
    <w:p>
      <w:pPr>
        <w:spacing w:before="0" w:after="0" w:line="360" w:lineRule="auto"/>
        <w:ind w:firstLine="709"/>
        <w:jc w:val="both"/>
      </w:pPr>
      <w:r>
        <w:rPr>
          <w:rFonts w:ascii="Times New Roman" w:hAnsi="Times New Roman"/>
          <w:b w:val="0"/>
          <w:i w:val="0"/>
          <w:color w:val="000000"/>
          <w:sz w:val="28"/>
        </w:rPr>
        <w:t>Воздушные линии электропередачи напряжением 6–10 кВ являются основой распределительных сетей, обеспечивающих электроснабжение конечных потребителей — населённых пунктов, промышленных предприятий, сельскохозяйственных объектов. По данным ПАО «Россети», общая протяжённость воздушных линий 6–10 кВ в Российской Федерации составляет около 800 тысяч километров, что делает их наиболее масштабным элементом электросетевой инфраструктуры страны [8].</w:t>
      </w:r>
    </w:p>
    <w:p>
      <w:pPr>
        <w:spacing w:before="0" w:after="0" w:line="360" w:lineRule="auto"/>
        <w:ind w:firstLine="709"/>
        <w:jc w:val="both"/>
      </w:pPr>
      <w:r>
        <w:rPr>
          <w:rFonts w:ascii="Times New Roman" w:hAnsi="Times New Roman"/>
          <w:b w:val="0"/>
          <w:i w:val="0"/>
          <w:color w:val="000000"/>
          <w:sz w:val="28"/>
        </w:rPr>
        <w:t>Отличительной особенностью воздушных линий среднего напряжения является их высокая подверженность внешним воздействиям, что обусловливает значительное количество технологических нарушений. К основным причинам аварийных отключений на ВЛ 6–10 кВ относятся: воздействие атмосферных перенапряжений (грозовые разряды), механические повреждения проводов и опор вследствие ветровых нагрузок и гололёдных отложений, падение деревьев на провода, а также повреждения, вызванные действиями третьих лиц. По статистике, средний показатель аварийности на ВЛ 6–10 кВ составляет от 5 до 15 аварийных отключений на 100 км трассы в год, в зависимости от климатического района и состояния линии [9].</w:t>
      </w:r>
    </w:p>
    <w:p>
      <w:pPr>
        <w:spacing w:before="0" w:after="0" w:line="360" w:lineRule="auto"/>
        <w:ind w:firstLine="709"/>
        <w:jc w:val="both"/>
      </w:pPr>
      <w:r>
        <w:rPr>
          <w:rFonts w:ascii="Times New Roman" w:hAnsi="Times New Roman"/>
          <w:b w:val="0"/>
          <w:i w:val="0"/>
          <w:color w:val="000000"/>
          <w:sz w:val="28"/>
        </w:rPr>
        <w:t>Традиционно воздушные линии 6–10 кВ не оснащались средствами телемеханики. Информация об аварийных отключениях поступала в диспетчерский центр от потребителей или обнаруживалась выездными ремонтными бригадами путём визуального осмотра линии. Среднее время обнаружения и локализации повреждения составляло от двух до шести часов, а в труднодоступных районах могло достигать суток. Это приводило к длительным перерывам в электроснабжении потребителей и значительным экономическим потерям [10].</w:t>
      </w:r>
    </w:p>
    <w:p>
      <w:pPr>
        <w:spacing w:before="0" w:after="0" w:line="360" w:lineRule="auto"/>
        <w:ind w:firstLine="709"/>
        <w:jc w:val="both"/>
      </w:pPr>
      <w:r>
        <w:rPr>
          <w:rFonts w:ascii="Times New Roman" w:hAnsi="Times New Roman"/>
          <w:b w:val="0"/>
          <w:i w:val="0"/>
          <w:color w:val="000000"/>
          <w:sz w:val="28"/>
        </w:rPr>
        <w:t>Внедрение интеллектуальных коммутационных аппаратов — реклоузеров — кардинально изменяет ситуацию. Реклоузер представляет собой автоматический выключатель, устанавливаемый на воздушной линии 6–10 кВ и оснащённый микропроцессорным блоком управления, встроенными датчиками тока и напряжения, а также модулем телекоммуникации. Реклоузер обеспечивает следующие функции [11]:</w:t>
      </w:r>
    </w:p>
    <w:p>
      <w:pPr>
        <w:spacing w:before="0" w:after="0" w:line="360" w:lineRule="auto"/>
        <w:ind w:firstLine="709"/>
        <w:jc w:val="both"/>
      </w:pPr>
      <w:r>
        <w:rPr>
          <w:rFonts w:ascii="Times New Roman" w:hAnsi="Times New Roman"/>
          <w:color w:val="000000"/>
          <w:sz w:val="28"/>
        </w:rPr>
        <w:t>– автоматическое отключение повреждённого участка линии при возникновении короткого замыкания с последующим автоматическим повторным включением (АПВ) — до четырёх циклов;</w:t>
      </w:r>
    </w:p>
    <w:p>
      <w:pPr>
        <w:spacing w:before="0" w:after="0" w:line="360" w:lineRule="auto"/>
        <w:ind w:firstLine="709"/>
        <w:jc w:val="both"/>
      </w:pPr>
      <w:r>
        <w:rPr>
          <w:rFonts w:ascii="Times New Roman" w:hAnsi="Times New Roman"/>
          <w:color w:val="000000"/>
          <w:sz w:val="28"/>
        </w:rPr>
        <w:t>– секционирование линии для минимизации зоны отключения и локализации повреждённого участка;</w:t>
      </w:r>
    </w:p>
    <w:p>
      <w:pPr>
        <w:spacing w:before="0" w:after="0" w:line="360" w:lineRule="auto"/>
        <w:ind w:firstLine="709"/>
        <w:jc w:val="both"/>
      </w:pPr>
      <w:r>
        <w:rPr>
          <w:rFonts w:ascii="Times New Roman" w:hAnsi="Times New Roman"/>
          <w:color w:val="000000"/>
          <w:sz w:val="28"/>
        </w:rPr>
        <w:t>– измерение параметров электрического режима: тока, напряжения, мощности, частоты, коэффициента мощности;</w:t>
      </w:r>
    </w:p>
    <w:p>
      <w:pPr>
        <w:spacing w:before="0" w:after="0" w:line="360" w:lineRule="auto"/>
        <w:ind w:firstLine="709"/>
        <w:jc w:val="both"/>
      </w:pPr>
      <w:r>
        <w:rPr>
          <w:rFonts w:ascii="Times New Roman" w:hAnsi="Times New Roman"/>
          <w:color w:val="000000"/>
          <w:sz w:val="28"/>
        </w:rPr>
        <w:t>– регистрация аварийных событий с привязкой к времени и осциллографированием токов и напряжений;</w:t>
      </w:r>
    </w:p>
    <w:p>
      <w:pPr>
        <w:spacing w:before="0" w:after="0" w:line="360" w:lineRule="auto"/>
        <w:ind w:firstLine="709"/>
        <w:jc w:val="both"/>
      </w:pPr>
      <w:r>
        <w:rPr>
          <w:rFonts w:ascii="Times New Roman" w:hAnsi="Times New Roman"/>
          <w:color w:val="000000"/>
          <w:sz w:val="28"/>
        </w:rPr>
        <w:t>– передача телеметрических данных и аварийных сообщений в диспетчерский центр по различным каналам связи;</w:t>
      </w:r>
    </w:p>
    <w:p>
      <w:pPr>
        <w:spacing w:before="0" w:after="0" w:line="360" w:lineRule="auto"/>
        <w:ind w:firstLine="709"/>
        <w:jc w:val="both"/>
      </w:pPr>
      <w:r>
        <w:rPr>
          <w:rFonts w:ascii="Times New Roman" w:hAnsi="Times New Roman"/>
          <w:color w:val="000000"/>
          <w:sz w:val="28"/>
        </w:rPr>
        <w:t>– приём команд дистанционного управления (включение/отключение) от диспетчера.</w:t>
      </w:r>
    </w:p>
    <w:p>
      <w:pPr>
        <w:spacing w:before="0" w:after="0" w:line="360" w:lineRule="auto"/>
        <w:ind w:firstLine="709"/>
        <w:jc w:val="both"/>
      </w:pPr>
      <w:r>
        <w:rPr>
          <w:rFonts w:ascii="Times New Roman" w:hAnsi="Times New Roman"/>
          <w:b w:val="0"/>
          <w:i w:val="0"/>
          <w:color w:val="000000"/>
          <w:sz w:val="28"/>
        </w:rPr>
        <w:t>Типовая схема автоматизации участка ВЛ 6–10 кВ предусматривает установку от двух до четырёх реклоузеров на линии протяжённостью 15–25 км, что позволяет разделить линию на три—пять секций. При возникновении короткого замыкания реклоузеры взаимодействуют между собой по принципу «защита с ускорением», обеспечивая автоматическую изоляцию повреждённой секции и восстановление питания неповреждённых участков в течение нескольких секунд [12].</w:t>
      </w:r>
    </w:p>
    <w:p>
      <w:pPr>
        <w:spacing w:before="0" w:after="0" w:line="360" w:lineRule="auto"/>
        <w:ind w:firstLine="709"/>
        <w:jc w:val="both"/>
      </w:pPr>
      <w:r>
        <w:rPr>
          <w:rFonts w:ascii="Times New Roman" w:hAnsi="Times New Roman"/>
          <w:b w:val="0"/>
          <w:i w:val="0"/>
          <w:color w:val="000000"/>
          <w:sz w:val="28"/>
        </w:rPr>
        <w:t>Интеграция реклоузеров в SCADA-систему обеспечивает диспетчеру возможность удалённого мониторинга и управления участком ВЛ в режиме реального времени. На мнемосхеме SCADA-системы отображается однолинейная схема линии с указанием положения реклоузеров (включён/отключён), текущих значений тока и напряжения, а также аварийных сигналов. Диспетчер имеет возможность дистанционно включать и отключать реклоузеры, изменять параметры уставок релейной защиты и просматривать архивы событий [13].</w:t>
      </w:r>
    </w:p>
    <w:p>
      <w:pPr>
        <w:spacing w:before="0" w:after="0" w:line="360" w:lineRule="auto"/>
        <w:ind w:firstLine="709"/>
        <w:jc w:val="both"/>
      </w:pPr>
      <w:r>
        <w:rPr>
          <w:rFonts w:ascii="Times New Roman" w:hAnsi="Times New Roman"/>
          <w:b w:val="0"/>
          <w:i w:val="0"/>
          <w:color w:val="000000"/>
          <w:sz w:val="28"/>
        </w:rPr>
        <w:t>Основные особенности, определяющие специфику SCADA-систем для ВЛ 6–10 кВ:</w:t>
      </w:r>
    </w:p>
    <w:p>
      <w:pPr>
        <w:spacing w:before="0" w:after="0" w:line="360" w:lineRule="auto"/>
        <w:ind w:firstLine="709"/>
        <w:jc w:val="both"/>
      </w:pPr>
      <w:r>
        <w:rPr>
          <w:rFonts w:ascii="Times New Roman" w:hAnsi="Times New Roman"/>
          <w:b w:val="0"/>
          <w:i w:val="0"/>
          <w:color w:val="000000"/>
          <w:sz w:val="28"/>
        </w:rPr>
        <w:t xml:space="preserve">Территориальная распределённость. </w:t>
      </w:r>
      <w:r>
        <w:rPr>
          <w:rFonts w:ascii="Times New Roman" w:hAnsi="Times New Roman"/>
          <w:b w:val="0"/>
          <w:i w:val="0"/>
          <w:color w:val="000000"/>
          <w:sz w:val="28"/>
        </w:rPr>
        <w:t>объекты контроля (реклоузеры) расположены на значительном удалении друг от друга и от диспетчерского центра, что предъявляет повышенные требования к каналам связи и обуславливает необходимость использования беспроводных технологий (GSM/GPRS/LTE, радиоканал);</w:t>
      </w:r>
    </w:p>
    <w:p>
      <w:pPr>
        <w:spacing w:before="0" w:after="0" w:line="360" w:lineRule="auto"/>
        <w:ind w:firstLine="709"/>
        <w:jc w:val="both"/>
      </w:pPr>
      <w:r>
        <w:rPr>
          <w:rFonts w:ascii="Times New Roman" w:hAnsi="Times New Roman"/>
          <w:b w:val="0"/>
          <w:i w:val="0"/>
          <w:color w:val="000000"/>
          <w:sz w:val="28"/>
        </w:rPr>
        <w:t xml:space="preserve">Ограниченная инфраструктура. </w:t>
      </w:r>
      <w:r>
        <w:rPr>
          <w:rFonts w:ascii="Times New Roman" w:hAnsi="Times New Roman"/>
          <w:b w:val="0"/>
          <w:i w:val="0"/>
          <w:color w:val="000000"/>
          <w:sz w:val="28"/>
        </w:rPr>
        <w:t>в большинстве случаев на участке ВЛ 6–10 кВ отсутствует стационарное электропитание для средств связи (за исключением реклоузеров, которые питаются от контролируемой линии), что ограничивает выбор коммуникационного оборудования;</w:t>
      </w:r>
    </w:p>
    <w:p>
      <w:pPr>
        <w:spacing w:before="0" w:after="0" w:line="360" w:lineRule="auto"/>
        <w:ind w:firstLine="709"/>
        <w:jc w:val="both"/>
      </w:pPr>
      <w:r>
        <w:rPr>
          <w:rFonts w:ascii="Times New Roman" w:hAnsi="Times New Roman"/>
          <w:b w:val="0"/>
          <w:i w:val="0"/>
          <w:color w:val="000000"/>
          <w:sz w:val="28"/>
        </w:rPr>
        <w:t xml:space="preserve">Суровые условия эксплуатации. </w:t>
      </w:r>
      <w:r>
        <w:rPr>
          <w:rFonts w:ascii="Times New Roman" w:hAnsi="Times New Roman"/>
          <w:b w:val="0"/>
          <w:i w:val="0"/>
          <w:color w:val="000000"/>
          <w:sz w:val="28"/>
        </w:rPr>
        <w:t>оборудование работает в широком диапазоне температур (от −40 до +50°C), подвержено воздействию атмосферных осадков, пыли, вибраций, электромагнитных помех от высоковольтного оборудования;</w:t>
      </w:r>
    </w:p>
    <w:p>
      <w:pPr>
        <w:spacing w:before="0" w:after="0" w:line="360" w:lineRule="auto"/>
        <w:ind w:firstLine="709"/>
        <w:jc w:val="both"/>
      </w:pPr>
      <w:r>
        <w:rPr>
          <w:rFonts w:ascii="Times New Roman" w:hAnsi="Times New Roman"/>
          <w:b w:val="0"/>
          <w:i w:val="0"/>
          <w:color w:val="000000"/>
          <w:sz w:val="28"/>
        </w:rPr>
        <w:t xml:space="preserve">Невысокая скорость передачи данных. </w:t>
      </w:r>
      <w:r>
        <w:rPr>
          <w:rFonts w:ascii="Times New Roman" w:hAnsi="Times New Roman"/>
          <w:b w:val="0"/>
          <w:i w:val="0"/>
          <w:color w:val="000000"/>
          <w:sz w:val="28"/>
        </w:rPr>
        <w:t>использование каналов связи GSM/GPRS обуславливает ограниченную пропускную способность (до 40–80 Кбит/с) и переменную задержку передачи данных, что необходимо учитывать при проектировании информационного обмена.</w:t>
      </w:r>
    </w:p>
    <w:p>
      <w:pPr>
        <w:spacing w:before="0" w:after="0" w:line="360" w:lineRule="auto"/>
        <w:ind w:firstLine="709"/>
        <w:jc w:val="both"/>
      </w:pPr>
      <w:r>
        <w:rPr>
          <w:rFonts w:ascii="Times New Roman" w:hAnsi="Times New Roman"/>
          <w:b w:val="0"/>
          <w:i w:val="0"/>
          <w:color w:val="000000"/>
          <w:sz w:val="28"/>
        </w:rPr>
        <w:t>Перечисленные особенности определяют требования к SCADA-системе для ВЛ 6–10 кВ: она должна быть устойчива к нестабильным каналам связи, поддерживать работу с ограниченным количеством телеметрических параметров от каждого объекта (как правило, от 20 до 50 параметров на реклоузер), обеспечивать приоритетную передачу аварийных сообщений и иметь механизмы восстановления данных при временной потере связи [14].</w:t>
      </w:r>
    </w:p>
    <w:p>
      <w:pPr>
        <w:spacing w:before="0" w:after="0" w:line="360" w:lineRule="auto"/>
        <w:ind w:firstLine="709"/>
        <w:jc w:val="both"/>
      </w:pPr>
      <w:r>
        <w:rPr>
          <w:rFonts w:ascii="Times New Roman" w:hAnsi="Times New Roman"/>
          <w:b w:val="0"/>
          <w:i w:val="0"/>
          <w:color w:val="000000"/>
          <w:sz w:val="28"/>
        </w:rPr>
        <w:t>Анализ опыта внедрения реклоузеров в распределительных сетях России показывает следующие результаты. Филиал ПАО «Россети» — «Россети Центр» к 2025 году установил более 8 000 реклоузеров на воздушных линиях 6–10 кВ в 11 регионах Центрального федерального округа. По данным компании, это позволило сократить среднее время восстановления электроснабжения потребителей с 4,2 до 1,5 часов и уменьшить количество выездов ремонтных бригад на 35%. Аналогичные программы реализуются в филиалах «Россети Волга», «Россети Урал» и «Россети Сибирь».</w:t>
      </w:r>
    </w:p>
    <w:p>
      <w:pPr>
        <w:spacing w:before="0" w:after="0" w:line="360" w:lineRule="auto"/>
        <w:ind w:firstLine="709"/>
        <w:jc w:val="both"/>
      </w:pPr>
      <w:r>
        <w:rPr>
          <w:rFonts w:ascii="Times New Roman" w:hAnsi="Times New Roman"/>
          <w:b w:val="0"/>
          <w:i w:val="0"/>
          <w:color w:val="000000"/>
          <w:sz w:val="28"/>
        </w:rPr>
        <w:t>Среди производителей реклоузеров, представленных на российском рынке, следует выделить следующих. Группа компаний «Таврида Электрик» (Россия) производит реклоузеры серии РВА/TEL с вакуумной камерой, встроенным микропроцессорным блоком управления SMART и модулями телекоммуникации (GSM/GPRS, радиоканал, Ethernet). Компания ABB предлагает реклоузеры серии OVR с пружинным приводом, однако их поставки в Россию ограничены. Отечественная компания «НТПК» (Новосибирск) разработала реклоузеры серии PBA с поддержкой протоколов МЭК 60870-5-104 и МЭК 61850.</w:t>
      </w:r>
    </w:p>
    <w:p>
      <w:pPr>
        <w:spacing w:before="0" w:after="0" w:line="360" w:lineRule="auto"/>
        <w:ind w:firstLine="709"/>
        <w:jc w:val="both"/>
      </w:pPr>
      <w:r>
        <w:rPr>
          <w:rFonts w:ascii="Times New Roman" w:hAnsi="Times New Roman"/>
          <w:b w:val="0"/>
          <w:i w:val="0"/>
          <w:color w:val="000000"/>
          <w:sz w:val="28"/>
        </w:rPr>
        <w:t>Важным аспектом применения реклоузеров на ВЛ 6–10 кВ является организация их взаимодействия при изоляции повреждённого участка. Существуют два основных подхода: централизованный и децентрализованный. При централизованном подходе логика секционирования реализуется в SCADA-системе диспетчерского центра, которая анализирует данные от всех реклоузеров и формирует команды управления. Данный подход обеспечивает максимальную гибкость, но зависит от наличия связи между реклоузерами и диспетчерским центром. При децентрализованном подходе логика секционирования заложена непосредственно в контроллерах реклоузеров, которые взаимодействуют между собой по протоколу «защита с ускорением» без участия диспетчерского центра. Этот подход обеспечивает автоматическое секционирование даже при потере связи, но менее гибок в настройке.</w:t>
      </w:r>
    </w:p>
    <w:p>
      <w:pPr>
        <w:spacing w:before="0" w:after="0" w:line="360" w:lineRule="auto"/>
        <w:ind w:firstLine="709"/>
        <w:jc w:val="both"/>
      </w:pPr>
      <w:r>
        <w:rPr>
          <w:rFonts w:ascii="Times New Roman" w:hAnsi="Times New Roman"/>
          <w:b w:val="0"/>
          <w:i w:val="0"/>
          <w:color w:val="000000"/>
          <w:sz w:val="28"/>
        </w:rPr>
        <w:t>вопрос организации электропитания оборудования автоматизации на ВЛ 6–10 кВ. Контроллеры реклоузеров и коммуникационное оборудование требуют надёжного электропитания для обеспечения непрерывной работы системы мониторинга. Основным источником питания является собственно контролируемая линия 6–10 кВ через встроенный в реклоузер трансформатор напряжения. При обесточении линии (что является типичной ситуацией при аварии) электропитание обеспечивается встроенной аккумуляторной батареей. Современные реклоузеры оснащаются герметичными необслуживаемыми аккумуляторами ёмкостью от 7 до 26 А·ч, обеспечивающими автономную работу от 8 до 72 часов в зависимости от конфигурации и температуры окружающей среды.</w:t>
      </w:r>
    </w:p>
    <w:p>
      <w:pPr>
        <w:spacing w:before="0" w:after="0" w:line="360" w:lineRule="auto"/>
        <w:ind w:firstLine="709"/>
        <w:jc w:val="both"/>
      </w:pPr>
      <w:r>
        <w:rPr>
          <w:rFonts w:ascii="Times New Roman" w:hAnsi="Times New Roman"/>
          <w:b w:val="0"/>
          <w:i w:val="0"/>
          <w:color w:val="000000"/>
          <w:sz w:val="28"/>
        </w:rPr>
        <w:t>В регионах с суровым климатом (Сибирь, Дальний Восток, Крайний Север) эксплуатация оборудования автоматизации на ВЛ 6–10 кВ сопряжена с дополнительными трудностями. При температурах ниже минус 30 градусов Цельсия существенно снижается ёмкость аккумуляторных батарей (до 30–50% от номинальной), увеличивается время реакции электронных компонентов, возможно обледенение антенн связи. Для работы в таких условиях применяются специальные меры: подогрев отсека контроллера за счёт потерь в силовых цепях, использование литий-железо-фосфатных (LiFePO4) аккумуляторов с расширенным температурным диапазоном, установка антенн связи в защитных обтекателях.</w:t>
      </w:r>
    </w:p>
    <w:p>
      <w:pPr>
        <w:spacing w:before="0" w:after="0" w:line="360" w:lineRule="auto"/>
        <w:ind w:firstLine="709"/>
        <w:jc w:val="both"/>
      </w:pPr>
      <w:r>
        <w:rPr>
          <w:rFonts w:ascii="Times New Roman" w:hAnsi="Times New Roman"/>
          <w:b w:val="0"/>
          <w:i w:val="0"/>
          <w:color w:val="000000"/>
          <w:sz w:val="28"/>
        </w:rPr>
        <w:t>проблему электромагнитной совместимости (ЭМС) оборудования автоматизации на ВЛ 6–10 кВ. Контроллеры реклоузеров и коммуникационное оборудование работают в непосредственной близости от высоковольтного оборудования и подвергаются воздействию мощных электромагнитных помех: коммутационных перенапряжений при включении и отключении нагрузки, грозовых перенапряжений, импульсных помех при работе устройств защиты. Оборудование должно соответствовать требованиям ЭМС по ГОСТ Р 51317 (устойчивость к электростатическим разрядам, радиочастотным помехам, импульсным помехам, колебаниям напряжения питания).</w:t>
      </w:r>
    </w:p>
    <w:p>
      <w:bookmarkStart w:id="9" w:name="_bm_section_1_4"/>
      <w:pPr>
        <w:spacing w:before="240" w:after="120" w:line="360" w:lineRule="auto"/>
        <w:ind w:firstLine="709"/>
        <w:jc w:val="both"/>
      </w:pPr>
      <w:r>
        <w:rPr>
          <w:rFonts w:ascii="Times New Roman" w:hAnsi="Times New Roman"/>
          <w:b/>
          <w:color w:val="000000"/>
          <w:sz w:val="28"/>
        </w:rPr>
        <w:t>1.4 Требования к системам мониторинга и диспетчерского управления в распределительных сетях</w:t>
      </w:r>
      <w:bookmarkEnd w:id="9"/>
    </w:p>
    <w:p>
      <w:pPr>
        <w:spacing w:before="0" w:after="0" w:line="360" w:lineRule="auto"/>
        <w:ind w:firstLine="709"/>
        <w:jc w:val="both"/>
      </w:pPr>
      <w:r>
        <w:rPr>
          <w:rFonts w:ascii="Times New Roman" w:hAnsi="Times New Roman"/>
          <w:b w:val="0"/>
          <w:i w:val="0"/>
          <w:color w:val="000000"/>
          <w:sz w:val="28"/>
        </w:rPr>
        <w:t>Требования к системам мониторинга и диспетчерского управления распределительными электрическими сетями определяются комплексом нормативных документов, включая правила устройства электроустановок (ПУЭ), правила технической эксплуатации электрических станций и сетей (ПТЭ), стандарты серии МЭК 61850 и МЭК 60870, а также ведомственные руководящие документы электросетевых компаний [15].</w:t>
      </w:r>
    </w:p>
    <w:p>
      <w:pPr>
        <w:spacing w:before="0" w:after="0" w:line="360" w:lineRule="auto"/>
        <w:ind w:firstLine="709"/>
        <w:jc w:val="both"/>
      </w:pPr>
      <w:r>
        <w:rPr>
          <w:rFonts w:ascii="Times New Roman" w:hAnsi="Times New Roman"/>
          <w:b w:val="0"/>
          <w:i w:val="0"/>
          <w:color w:val="000000"/>
          <w:sz w:val="28"/>
        </w:rPr>
        <w:t>К функциональным требованиям относятся:</w:t>
      </w:r>
    </w:p>
    <w:p>
      <w:pPr>
        <w:spacing w:before="0" w:after="0" w:line="360" w:lineRule="auto"/>
        <w:ind w:firstLine="709"/>
        <w:jc w:val="both"/>
      </w:pPr>
      <w:r>
        <w:rPr>
          <w:rFonts w:ascii="Times New Roman" w:hAnsi="Times New Roman"/>
          <w:color w:val="000000"/>
          <w:sz w:val="28"/>
        </w:rPr>
        <w:t>– обеспечение непрерывного мониторинга параметров электрического режима контролируемого участка сети с периодичностью обновления данных не более 10 секунд для телеизмерений и не более 2 секунд для телесигнализации;</w:t>
      </w:r>
    </w:p>
    <w:p>
      <w:pPr>
        <w:spacing w:before="0" w:after="0" w:line="360" w:lineRule="auto"/>
        <w:ind w:firstLine="709"/>
        <w:jc w:val="both"/>
      </w:pPr>
      <w:r>
        <w:rPr>
          <w:rFonts w:ascii="Times New Roman" w:hAnsi="Times New Roman"/>
          <w:color w:val="000000"/>
          <w:sz w:val="28"/>
        </w:rPr>
        <w:t>– формирование и передача аварийных сообщений с задержкой не более 1 секунды от момента возникновения события;</w:t>
      </w:r>
    </w:p>
    <w:p>
      <w:pPr>
        <w:spacing w:before="0" w:after="0" w:line="360" w:lineRule="auto"/>
        <w:ind w:firstLine="709"/>
        <w:jc w:val="both"/>
      </w:pPr>
      <w:r>
        <w:rPr>
          <w:rFonts w:ascii="Times New Roman" w:hAnsi="Times New Roman"/>
          <w:color w:val="000000"/>
          <w:sz w:val="28"/>
        </w:rPr>
        <w:t>– обеспечение дистанционного управления коммутационными аппаратами с временем выполнения команды не более 5 секунд;</w:t>
      </w:r>
    </w:p>
    <w:p>
      <w:pPr>
        <w:spacing w:before="0" w:after="0" w:line="360" w:lineRule="auto"/>
        <w:ind w:firstLine="709"/>
        <w:jc w:val="both"/>
      </w:pPr>
      <w:r>
        <w:rPr>
          <w:rFonts w:ascii="Times New Roman" w:hAnsi="Times New Roman"/>
          <w:color w:val="000000"/>
          <w:sz w:val="28"/>
        </w:rPr>
        <w:t>– ведение архива телеизмерений с глубиной хранения не менее 3 лет и архива событий с глубиной хранения не менее 5 лет;</w:t>
      </w:r>
    </w:p>
    <w:p>
      <w:pPr>
        <w:spacing w:before="0" w:after="0" w:line="360" w:lineRule="auto"/>
        <w:ind w:firstLine="709"/>
        <w:jc w:val="both"/>
      </w:pPr>
      <w:r>
        <w:rPr>
          <w:rFonts w:ascii="Times New Roman" w:hAnsi="Times New Roman"/>
          <w:color w:val="000000"/>
          <w:sz w:val="28"/>
        </w:rPr>
        <w:t>– поддержка одновременной работы не менее трёх операторских рабочих станций;</w:t>
      </w:r>
    </w:p>
    <w:p>
      <w:pPr>
        <w:spacing w:before="0" w:after="0" w:line="360" w:lineRule="auto"/>
        <w:ind w:firstLine="709"/>
        <w:jc w:val="both"/>
      </w:pPr>
      <w:r>
        <w:rPr>
          <w:rFonts w:ascii="Times New Roman" w:hAnsi="Times New Roman"/>
          <w:color w:val="000000"/>
          <w:sz w:val="28"/>
        </w:rPr>
        <w:t>– обеспечение автоматического определения потери связи с контролируемым объектом и формирование соответствующего аварийного сообщения.</w:t>
      </w:r>
    </w:p>
    <w:p>
      <w:pPr>
        <w:spacing w:before="0" w:after="0" w:line="360" w:lineRule="auto"/>
        <w:ind w:firstLine="709"/>
        <w:jc w:val="both"/>
      </w:pPr>
      <w:r>
        <w:rPr>
          <w:rFonts w:ascii="Times New Roman" w:hAnsi="Times New Roman"/>
          <w:b w:val="0"/>
          <w:i w:val="0"/>
          <w:color w:val="000000"/>
          <w:sz w:val="28"/>
        </w:rPr>
        <w:t>К требованиям по надёжности и отказоустойчивости относятся следующие показатели. Коэффициент готовности SCADA-системы должен составлять не менее 0,999, что соответствует допустимому времени простоя не более 8,76 часа в год. Среднее время наработки на отказ (MTBF) серверного оборудования должно составлять не менее 50 000 часов. Среднее время восстановления работоспособности (MTTR) при отказе основного сервера не должно превышать 30 секунд при использовании горячего резервирования и 5 минут при использовании тёплого резервирования [16].</w:t>
      </w:r>
    </w:p>
    <w:p>
      <w:pPr>
        <w:spacing w:before="0" w:after="0" w:line="360" w:lineRule="auto"/>
        <w:ind w:firstLine="709"/>
        <w:jc w:val="both"/>
      </w:pPr>
      <w:r>
        <w:rPr>
          <w:rFonts w:ascii="Times New Roman" w:hAnsi="Times New Roman"/>
          <w:b w:val="0"/>
          <w:i w:val="0"/>
          <w:color w:val="000000"/>
          <w:sz w:val="28"/>
        </w:rPr>
        <w:t>Для обеспечения требуемого уровня надёжности SCADA-система должна предусматривать резервирование серверов (дублирование с автоматическим переключением), резервирование каналов связи (основной и резервный канал к каждому контролируемому объекту), резервное электропитание (источники бесперебойного питания с временем автономной работы не менее 2 часов) и регулярное автоматическое резервное копирование базы данных [17].</w:t>
      </w:r>
    </w:p>
    <w:p>
      <w:pPr>
        <w:spacing w:before="0" w:after="0" w:line="360" w:lineRule="auto"/>
        <w:ind w:firstLine="709"/>
        <w:jc w:val="both"/>
      </w:pPr>
      <w:r>
        <w:rPr>
          <w:rFonts w:ascii="Times New Roman" w:hAnsi="Times New Roman"/>
          <w:b w:val="0"/>
          <w:i w:val="0"/>
          <w:color w:val="000000"/>
          <w:sz w:val="28"/>
        </w:rPr>
        <w:t>Важным требованием является поддержка стандартных протоколов телемеханики. Основным протоколом для связи SCADA-системы с контроллерами реклоузеров на ВЛ 6–10 кВ является МЭК 60870-5-104 (IEC 104), который обеспечивает передачу телемеханической информации по сетям TCP/IP. Протокол определяет форматы телеграмм для передачи телеизмерений, телесигнализации, команд телеуправления и меток времени. Преимуществом IEC 104 является стандартизированность, широкая поддержка производителями оборудования и возможность работы по любым сетям TCP/IP, включая мобильные сети передачи данных [18].</w:t>
      </w:r>
    </w:p>
    <w:p>
      <w:pPr>
        <w:spacing w:before="0" w:after="0" w:line="360" w:lineRule="auto"/>
        <w:ind w:firstLine="709"/>
        <w:jc w:val="both"/>
      </w:pPr>
      <w:r>
        <w:rPr>
          <w:rFonts w:ascii="Times New Roman" w:hAnsi="Times New Roman"/>
          <w:b w:val="0"/>
          <w:i w:val="0"/>
          <w:color w:val="000000"/>
          <w:sz w:val="28"/>
        </w:rPr>
        <w:t>Дополнительно SCADA-система может поддерживать протоколы Modbus RTU/TCP для связи с устаревшим оборудованием, OPC UA для интеграции с верхнеуровневыми информационными системами (ERP, BI), а также протокол МЭК 61850 для связи с цифровыми подстанциями нового поколения [19].</w:t>
      </w:r>
    </w:p>
    <w:p>
      <w:pPr>
        <w:spacing w:before="0" w:after="0" w:line="360" w:lineRule="auto"/>
        <w:ind w:firstLine="709"/>
        <w:jc w:val="both"/>
      </w:pPr>
      <w:r>
        <w:rPr>
          <w:rFonts w:ascii="Times New Roman" w:hAnsi="Times New Roman"/>
          <w:b w:val="0"/>
          <w:i w:val="0"/>
          <w:color w:val="000000"/>
          <w:sz w:val="28"/>
        </w:rPr>
        <w:t>Таким образом, проведённый анализ показал, что SCADA-системы являются ключевым инструментом автоматизации распределительных электрических сетей. Их применение на воздушных линиях 6–10 кВ имеет ряд особенностей, связанных с территориальной распределённостью объектов и ограничениями каналов связи. Существующие отечественные SCADA-платформы обладают достаточным функционалом для решения задач мониторинга ВЛ 6–10 кВ, однако требуют адаптации под конкретные условия эксплуатации.</w:t>
      </w:r>
    </w:p>
    <w:p>
      <w:pPr>
        <w:spacing w:before="0" w:after="0" w:line="360" w:lineRule="auto"/>
        <w:ind w:firstLine="709"/>
        <w:jc w:val="both"/>
      </w:pPr>
      <w:r>
        <w:rPr>
          <w:rFonts w:ascii="Times New Roman" w:hAnsi="Times New Roman"/>
          <w:b w:val="0"/>
          <w:i w:val="0"/>
          <w:color w:val="000000"/>
          <w:sz w:val="28"/>
        </w:rPr>
        <w:t>Помимо функциональных требований и требований к надёжности, к SCADA-системам для распределительных сетей предъявляются требования по эргономике и пользовательскому интерфейсу. Согласно стандарту ISA-101 и рекомендациям ГОСТ Р ИСО 9241, интерфейс диспетчера должен обеспечивать:</w:t>
      </w:r>
    </w:p>
    <w:p>
      <w:pPr>
        <w:spacing w:before="0" w:after="0" w:line="360" w:lineRule="auto"/>
        <w:ind w:firstLine="709"/>
        <w:jc w:val="both"/>
      </w:pPr>
      <w:pPr/>
      <w:r>
        <w:rPr>
          <w:rFonts w:ascii="Times New Roman" w:hAnsi="Times New Roman" w:cs="Times New Roman"/>
          <w:b w:val="0"/>
          <w:i w:val="0"/>
          <w:sz w:val="28"/>
        </w:rPr>
        <w:t>– ситуационную осведомлённость оператора (situation awareness) — возможность быстро оценить текущее состояние контролируемого объекта;</w:t>
      </w:r>
    </w:p>
    <w:p>
      <w:pPr>
        <w:spacing w:before="0" w:after="0" w:line="360" w:lineRule="auto"/>
        <w:ind w:firstLine="709"/>
        <w:jc w:val="both"/>
      </w:pPr>
      <w:pPr/>
      <w:r>
        <w:rPr>
          <w:rFonts w:ascii="Times New Roman" w:hAnsi="Times New Roman" w:cs="Times New Roman"/>
          <w:b w:val="0"/>
          <w:i w:val="0"/>
          <w:sz w:val="28"/>
        </w:rPr>
        <w:t>– иерархическую навигацию — переход от обзорных экранов к детальным;</w:t>
      </w:r>
    </w:p>
    <w:p>
      <w:pPr>
        <w:spacing w:before="0" w:after="0" w:line="360" w:lineRule="auto"/>
        <w:ind w:firstLine="709"/>
        <w:jc w:val="both"/>
      </w:pPr>
      <w:pPr/>
      <w:r>
        <w:rPr>
          <w:rFonts w:ascii="Times New Roman" w:hAnsi="Times New Roman" w:cs="Times New Roman"/>
          <w:b w:val="0"/>
          <w:i w:val="0"/>
          <w:sz w:val="28"/>
        </w:rPr>
        <w:t>– стандартизированную цветовую палитру в соответствии с МЭК 60073;</w:t>
      </w:r>
    </w:p>
    <w:p>
      <w:pPr>
        <w:spacing w:before="0" w:after="0" w:line="360" w:lineRule="auto"/>
        <w:ind w:firstLine="709"/>
        <w:jc w:val="both"/>
      </w:pPr>
      <w:pPr/>
      <w:r>
        <w:rPr>
          <w:rFonts w:ascii="Times New Roman" w:hAnsi="Times New Roman" w:cs="Times New Roman"/>
          <w:b w:val="0"/>
          <w:i w:val="0"/>
          <w:sz w:val="28"/>
        </w:rPr>
        <w:t>– минимизацию количества действий для выполнения типовых операций;</w:t>
      </w:r>
    </w:p>
    <w:p>
      <w:pPr>
        <w:spacing w:before="0" w:after="0" w:line="360" w:lineRule="auto"/>
        <w:ind w:firstLine="709"/>
        <w:jc w:val="both"/>
      </w:pPr>
      <w:pPr/>
      <w:r>
        <w:rPr>
          <w:rFonts w:ascii="Times New Roman" w:hAnsi="Times New Roman" w:cs="Times New Roman"/>
          <w:b w:val="0"/>
          <w:i w:val="0"/>
          <w:sz w:val="28"/>
        </w:rPr>
        <w:t>– поддержку нескольких мониторов на рабочем месте диспетчера.</w:t>
      </w:r>
    </w:p>
    <w:p>
      <w:pPr>
        <w:spacing w:before="0" w:after="0" w:line="360" w:lineRule="auto"/>
        <w:ind w:firstLine="709"/>
        <w:jc w:val="both"/>
      </w:pPr>
      <w:r>
        <w:rPr>
          <w:rFonts w:ascii="Times New Roman" w:hAnsi="Times New Roman"/>
          <w:b w:val="0"/>
          <w:i w:val="0"/>
          <w:color w:val="000000"/>
          <w:sz w:val="28"/>
        </w:rPr>
        <w:t>Требования к пропускной способности каналов связи определяются объёмом передаваемой информации и допустимыми задержками. Для протокола МЭК 60870-5-104, используемого при связи с реклоузерами, минимальная пропускная способность канала составляет 9 600 бит/с, рекомендуемая — не менее 19 200 бит/с. Максимально допустимая задержка передачи аварийного сообщения (от момента возникновения события до его отображения на рабочей станции диспетчера) не должна превышать 2 секунд для каналов GSM/GPRS и 1 секунды для проводных каналов.</w:t>
      </w:r>
    </w:p>
    <w:p>
      <w:pPr>
        <w:spacing w:before="0" w:after="0" w:line="360" w:lineRule="auto"/>
        <w:ind w:firstLine="709"/>
        <w:jc w:val="both"/>
      </w:pPr>
      <w:r>
        <w:rPr>
          <w:rFonts w:ascii="Times New Roman" w:hAnsi="Times New Roman"/>
          <w:b w:val="0"/>
          <w:i w:val="0"/>
          <w:color w:val="000000"/>
          <w:sz w:val="28"/>
        </w:rPr>
        <w:t>Требование — обеспечение точной синхронизации времени между всеми элементами системы мониторинга. Для корректной привязки событий к временной шкале и анализа последовательности срабатывания защитных устройств необходима точность синхронизации не хуже 1 мс. Синхронизация осуществляется по протоколу NTP (Network Time Protocol) или PTP (Precision Time Protocol, IEEE 1588) с использованием серверов точного времени, синхронизированных по сигналам ГЛОНАСС/GPS.</w:t>
      </w:r>
    </w:p>
    <w:p>
      <w:pPr>
        <w:spacing w:before="0" w:after="0" w:line="360" w:lineRule="auto"/>
        <w:ind w:firstLine="709"/>
        <w:jc w:val="both"/>
      </w:pPr>
      <w:r>
        <w:rPr>
          <w:rFonts w:ascii="Times New Roman" w:hAnsi="Times New Roman"/>
          <w:b w:val="0"/>
          <w:i w:val="0"/>
          <w:color w:val="000000"/>
          <w:sz w:val="28"/>
        </w:rPr>
        <w:t>Нормативная база, регулирующая требования к системам мониторинга электрических сетей, включает ряд ключевых документов федерального и отраслевого уровня. Правила устройства электроустановок (ПУЭ) седьмого издания определяют общие требования к устройствам релейной защиты и автоматики, включая требования к системам телемеханики. Руководящий документ РД 34.35.127-93 устанавливает требования к проектированию систем оперативно-диспетчерского управления энергосистемами, определяя минимально допустимое время цикла опроса телемеханической информации (не более 2 секунд для аварийных сигналов и не более 10 секунд для текущих измерений).</w:t>
      </w:r>
    </w:p>
    <w:p>
      <w:pPr>
        <w:spacing w:before="0" w:after="0" w:line="360" w:lineRule="auto"/>
        <w:ind w:firstLine="709"/>
        <w:jc w:val="both"/>
      </w:pPr>
      <w:r>
        <w:rPr>
          <w:rFonts w:ascii="Times New Roman" w:hAnsi="Times New Roman"/>
          <w:b w:val="0"/>
          <w:i w:val="0"/>
          <w:color w:val="000000"/>
          <w:sz w:val="28"/>
        </w:rPr>
        <w:t>Стандарт ГОСТ 32144-2013 устанавливает нормы качества электрической энергии в системах электроснабжения общего назначения, что определяет перечень контролируемых параметров и допустимые отклонения. В соответствии с данным стандартом, система мониторинга должна обеспечивать измерение напряжения с погрешностью не более 0,5 процента, частоты — не более 0,01 Гц, а также фиксировать провалы напряжения длительностью от 10 миллисекунд. Эти требования определяют характеристики измерительных преобразователей и минимальную частоту дискретизации аналоговых сигналов.</w:t>
      </w:r>
    </w:p>
    <w:p>
      <w:pPr>
        <w:spacing w:before="0" w:after="0" w:line="360" w:lineRule="auto"/>
        <w:ind w:firstLine="709"/>
        <w:jc w:val="both"/>
      </w:pPr>
      <w:r>
        <w:rPr>
          <w:rFonts w:ascii="Times New Roman" w:hAnsi="Times New Roman"/>
          <w:b w:val="0"/>
          <w:i w:val="0"/>
          <w:color w:val="000000"/>
          <w:sz w:val="28"/>
        </w:rPr>
        <w:t>Международный стандарт IEEE 1366-2012 определяет индексы надёжности распределительных электрических сетей, которые служат основой для оценки эффективности внедрения систем мониторинга. Ключевыми индексами являются SAIDI (средняя продолжительность прерывания электроснабжения на одного потребителя) и SAIFI (средняя частота прерываний на одного потребителя). Применение данных индексов позволяет количественно оценить влияние внедрения SCADA-системы на качество электроснабжения и обосновать экономическую целесообразность инвестиций в автоматизацию.</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r>
    <w:r>
      <w:rPr>
        <w:rFonts w:ascii="Times New Roman" w:hAnsi="Times New Roman"/>
        <w:sz w:val="28"/>
      </w:rPr>
      <w:instrText xml:space="preserve"> PAGE </w:instrText>
    </w:r>
    <w:r>
      <w:rPr>
        <w:rFonts w:ascii="Times New Roman" w:hAnsi="Times New Roman"/>
        <w:sz w:val="2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709"/>
      <w:jc w:val="both"/>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