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0" w:name="_bm_glava_2"/>
      <w:pPr>
        <w:pageBreakBefore/>
        <w:spacing w:before="0" w:after="240" w:line="360" w:lineRule="auto"/>
        <w:ind w:firstLine="709"/>
        <w:jc w:val="both"/>
      </w:pPr>
      <w:r>
        <w:rPr>
          <w:rFonts w:ascii="Times New Roman" w:hAnsi="Times New Roman"/>
          <w:b/>
          <w:color w:val="000000"/>
          <w:sz w:val="28"/>
        </w:rPr>
        <w:t>Глава 2. Архитектура системы мониторинга автоматизированного участка воздушной линии 6–10 кВ</w:t>
      </w:r>
      <w:bookmarkEnd w:id="10"/>
    </w:p>
    <w:p>
      <w:bookmarkStart w:id="11" w:name="_bm_section_2_1"/>
      <w:pPr>
        <w:spacing w:before="240" w:after="120" w:line="360" w:lineRule="auto"/>
        <w:ind w:firstLine="709"/>
        <w:jc w:val="both"/>
      </w:pPr>
      <w:r>
        <w:rPr>
          <w:rFonts w:ascii="Times New Roman" w:hAnsi="Times New Roman"/>
          <w:b/>
          <w:color w:val="000000"/>
          <w:sz w:val="28"/>
        </w:rPr>
        <w:t>2.1 Общая структура автоматизированного участка ВЛ и состав оборудования</w:t>
      </w:r>
      <w:bookmarkEnd w:id="11"/>
    </w:p>
    <w:p>
      <w:pPr>
        <w:spacing w:before="0" w:after="0" w:line="360" w:lineRule="auto"/>
        <w:ind w:firstLine="709"/>
        <w:jc w:val="both"/>
      </w:pPr>
      <w:r>
        <w:rPr>
          <w:rFonts w:ascii="Times New Roman" w:hAnsi="Times New Roman"/>
          <w:b w:val="0"/>
          <w:i w:val="0"/>
          <w:color w:val="000000"/>
          <w:sz w:val="28"/>
        </w:rPr>
        <w:t>В настоящей работе разрабатываемая система мониторинга получила рабочее наименование SmartGrid Line. SmartGrid Line — это программно-аппаратная платформа для автоматизированного мониторинга и диспетчерского управления участками воздушных линий электропередачи 6–10 кВ, обеспечивающая сбор телеметрических данных от полевого оборудования (реклоузеров, датчиков), их обработку и визуализацию в режиме реального времени с интеграцией в SCADA-систему диспетчерского центра. Платформа реализует трёхуровневую архитектуру: полевой уровень (датчики и контроллеры реклоузеров на ВЛ 6–10 кВ), коммуникационный уровень (каналы GSM/GPRS/LTE) и диспетчерский уровень (сервер SCADA и веб-интерфейс оператора).</w:t>
      </w:r>
    </w:p>
    <w:p>
      <w:pPr>
        <w:spacing w:before="0" w:after="0" w:line="360" w:lineRule="auto"/>
        <w:ind w:firstLine="709"/>
        <w:jc w:val="both"/>
      </w:pPr>
      <w:r>
        <w:rPr>
          <w:rFonts w:ascii="Times New Roman" w:hAnsi="Times New Roman"/>
          <w:b w:val="0"/>
          <w:i w:val="0"/>
          <w:color w:val="000000"/>
          <w:sz w:val="28"/>
        </w:rPr>
        <w:t>Автоматизированный участок воздушной линии 6–10 кВ представляет собой совокупность электросетевого оборудования, средств релейной защиты и автоматики, коммуникационного оборудования и программного обеспечения, объединённых в единую информационно-управляющую систему. Рассматриваемый в данной работе типовой участок включает отходящий фидер питающей подстанции 35/10 кВ и магистральную воздушную линию 10 кВ протяжённостью 18 км с тремя ответвлениями к трансформаторным подстанциям (ТП) 10/0,4 кВ [1].</w:t>
      </w:r>
    </w:p>
    <w:p>
      <w:pPr>
        <w:spacing w:before="0" w:after="0" w:line="360" w:lineRule="auto"/>
        <w:ind w:firstLine="709"/>
        <w:jc w:val="both"/>
      </w:pPr>
      <w:r>
        <w:rPr>
          <w:rFonts w:ascii="Times New Roman" w:hAnsi="Times New Roman"/>
          <w:b w:val="0"/>
          <w:i w:val="0"/>
          <w:color w:val="000000"/>
          <w:sz w:val="28"/>
        </w:rPr>
        <w:t>На участке установлены три реклоузера, разделяющих линию на четыре секции. Реклоузер Р1 установлен на расстоянии 3 км от питающей подстанции и выполняет функцию головного секционирующего аппарата. Реклоузер Р2 расположен на расстоянии 9 км и обеспечивает секционирование средней части линии. Реклоузер Р3, установленный на расстоянии 15 км, разделяет удалённую часть линии. Такая схема секционирования позволяет при возникновении короткого замыкания автоматически отключить только повреждённую секцию, сохранив электроснабжение потребителей на неповреждённых участках [2].</w:t>
      </w:r>
    </w:p>
    <w:p>
      <w:pPr>
        <w:spacing w:before="0" w:after="0" w:line="360" w:lineRule="auto"/>
        <w:ind w:firstLine="709"/>
        <w:jc w:val="both"/>
      </w:pPr>
      <w:r>
        <w:rPr>
          <w:rFonts w:ascii="Times New Roman" w:hAnsi="Times New Roman"/>
          <w:b w:val="0"/>
          <w:i w:val="0"/>
          <w:color w:val="000000"/>
          <w:sz w:val="28"/>
        </w:rPr>
        <w:t>Каждый реклоузер оснащён контроллером с интегрированными функциями: релейная защита (максимальная токовая защита, защита от замыканий на землю, защита от обрыва провода), автоматика (автоматическое повторное включение, автоматическое секционирование), измерение параметров режима (токи, напряжения, мощности, частота, cosφ), регистрация осциллограмм аварийных режимов и телекоммуникационный модуль для связи с диспетчерским центром [3].</w:t>
      </w:r>
    </w:p>
    <w:p>
      <w:pPr>
        <w:spacing w:before="0" w:after="0" w:line="360" w:lineRule="auto"/>
        <w:ind w:firstLine="709"/>
        <w:jc w:val="both"/>
      </w:pPr>
      <w:r>
        <w:rPr>
          <w:rFonts w:ascii="Times New Roman" w:hAnsi="Times New Roman"/>
          <w:b w:val="0"/>
          <w:i w:val="0"/>
          <w:color w:val="000000"/>
          <w:sz w:val="28"/>
        </w:rPr>
        <w:t>Помимо реклоузеров, на участке установлены датчики контроля состояния линии. Датчики температуры провода крепятся непосредственно на токоведущих элементах и позволяют контролировать нагрев проводов при больших токовых нагрузках. Датчики гололёдообразования устанавливаются на специальных контрольных пролётах и обеспечивают раннее обнаружение ледяных отложений на проводах. Метеорологическая станция, расположенная в зоне обслуживания линии, передаёт данные о температуре воздуха, скорости и направлении ветра, количестве осадков [4].</w:t>
      </w:r>
    </w:p>
    <w:p>
      <w:pPr>
        <w:spacing w:before="0" w:after="0" w:line="360" w:lineRule="auto"/>
        <w:ind w:firstLine="709"/>
        <w:jc w:val="both"/>
      </w:pPr>
      <w:r>
        <w:rPr>
          <w:rFonts w:ascii="Times New Roman" w:hAnsi="Times New Roman"/>
          <w:b w:val="0"/>
          <w:i w:val="0"/>
          <w:color w:val="000000"/>
          <w:sz w:val="28"/>
        </w:rPr>
        <w:t>Общая структура автоматизированного участка может быть представлена в виде трёхуровневой иерархии: полевой уровень (оборудование, установленное непосредственно на линии), коммуникационный уровень (каналы связи и коммуникационное оборудование) и диспетчерский уровень (серверы SCADA-системы и рабочие станции операторов). Каждый из этих уровней подробно рассмотрен в последующих подразделах.</w:t>
      </w:r>
    </w:p>
    <w:p>
      <w:bookmarkStart w:id="12" w:name="_bm_section_2_2"/>
      <w:pPr>
        <w:spacing w:before="240" w:after="120" w:line="360" w:lineRule="auto"/>
        <w:ind w:firstLine="709"/>
        <w:jc w:val="both"/>
      </w:pPr>
      <w:r>
        <w:rPr>
          <w:rFonts w:ascii="Times New Roman" w:hAnsi="Times New Roman"/>
          <w:b/>
          <w:color w:val="000000"/>
          <w:sz w:val="28"/>
        </w:rPr>
        <w:t>2.2 Источники данных и измеряемые параметры автоматизированного участка ВЛ</w:t>
      </w:r>
      <w:bookmarkEnd w:id="12"/>
    </w:p>
    <w:p>
      <w:pPr>
        <w:spacing w:before="0" w:after="0" w:line="360" w:lineRule="auto"/>
        <w:ind w:firstLine="709"/>
        <w:jc w:val="both"/>
      </w:pPr>
      <w:r>
        <w:rPr>
          <w:rFonts w:ascii="Times New Roman" w:hAnsi="Times New Roman"/>
          <w:b w:val="0"/>
          <w:i w:val="0"/>
          <w:color w:val="000000"/>
          <w:sz w:val="28"/>
        </w:rPr>
        <w:t>Полевой уровень системы мониторинга включает совокупность устройств, формирующих информационный поток телеметрических данных. Основным источником данных являются контроллеры реклоузеров, которые обеспечивают измерение параметров электрического режима и формирование дискретных сигналов о состоянии оборудования [5].</w:t>
      </w:r>
    </w:p>
    <w:p>
      <w:pPr>
        <w:spacing w:before="0" w:after="0" w:line="360" w:lineRule="auto"/>
        <w:ind w:firstLine="709"/>
        <w:jc w:val="both"/>
      </w:pPr>
      <w:r>
        <w:rPr>
          <w:rFonts w:ascii="Times New Roman" w:hAnsi="Times New Roman"/>
          <w:b w:val="0"/>
          <w:i w:val="0"/>
          <w:color w:val="000000"/>
          <w:sz w:val="28"/>
        </w:rPr>
        <w:t>Перечень измеряемых параметров и их характеристики приведены в таблице 2.</w:t>
      </w:r>
    </w:p>
    <w:p>
      <w:pPr>
        <w:spacing w:before="240" w:after="120" w:line="360" w:lineRule="auto"/>
        <w:ind w:firstLine="0"/>
        <w:jc w:val="left"/>
      </w:pPr>
      <w:r>
        <w:rPr>
          <w:rFonts w:ascii="Times New Roman" w:hAnsi="Times New Roman"/>
          <w:color w:val="000000"/>
          <w:sz w:val="28"/>
        </w:rPr>
        <w:t>Таблица 2 – Измеряемые параметры автоматизированного участка ВЛ</w:t>
      </w:r>
    </w:p>
    <w:tbl>
      <w:tblPr>
        <w:tblStyle w:val="TableGrid"/>
        <w:tblW w:type="auto" w:w="0"/>
        <w:tblLook w:firstColumn="1" w:firstRow="1" w:lastColumn="0" w:lastRow="0" w:noHBand="0" w:noVBand="1" w:val="04A0"/>
        <w:tblW w:type="pct" w:w="5000"/>
      </w:tblPr>
      <w:tblGrid>
        <w:gridCol w:w="2339"/>
        <w:gridCol w:w="2339"/>
        <w:gridCol w:w="2339"/>
        <w:gridCol w:w="2339"/>
      </w:tblGrid>
      <w:tr>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Параметр</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Диапазон измерения</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Класс точности</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Период опроса, с</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Напряжение фазное, кВ</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0–12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Ток фазный, А</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0–400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Активная мощность, кВт</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0–5000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Реактивная мощность, квар</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0–5000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Частота, Гц</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45–55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0,01</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Коэффициент мощности</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0–1,0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0,02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Температура провода, °C</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−40…+120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±1°C</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Температура воздуха, °C</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−50…+60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±0,5°C</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60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Скорость ветра,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0–60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±0,5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60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Нагрузка гололёда, кг/м</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0–20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±0,1 кг/м</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60</w:t>
            </w:r>
          </w:p>
        </w:tc>
      </w:tr>
    </w:tbl>
    <w:p>
      <w:pPr>
        <w:spacing w:before="0" w:after="0" w:line="360" w:lineRule="auto"/>
        <w:ind w:firstLine="709"/>
        <w:jc w:val="both"/>
      </w:pPr>
      <w:r>
        <w:rPr>
          <w:rFonts w:ascii="Times New Roman" w:hAnsi="Times New Roman"/>
          <w:b w:val="0"/>
          <w:i w:val="0"/>
          <w:color w:val="000000"/>
          <w:sz w:val="28"/>
        </w:rPr>
        <w:t>Помимо аналоговых измерений, от каждого реклоузера поступают дискретные сигналы телесигнализации: положение контактов (включён/отключён), готовность к телеуправлению, наличие неисправности, срабатывание защиты (с указанием вида: МТЗ, ЗЗЗ, защита от обрыва), состояние АПВ (успешно/неуспешно), состояние канала связи, наличие питания цепей управления. Общее количество дискретных сигналов от одного реклоузера составляет от 15 до 25 в зависимости от модели и конфигурации [6].</w:t>
      </w:r>
    </w:p>
    <w:p>
      <w:pPr>
        <w:spacing w:before="0" w:after="0" w:line="360" w:lineRule="auto"/>
        <w:ind w:firstLine="709"/>
        <w:jc w:val="both"/>
      </w:pPr>
      <w:r>
        <w:rPr>
          <w:rFonts w:ascii="Times New Roman" w:hAnsi="Times New Roman"/>
          <w:b w:val="0"/>
          <w:i w:val="0"/>
          <w:color w:val="000000"/>
          <w:sz w:val="28"/>
        </w:rPr>
        <w:t>Суммарный объём информационного потока от трёх реклоузеров и дополнительных датчиков составляет приблизительно 120–150 аналоговых параметров и 60–80 дискретных сигналов. При средней частоте опроса 5 секунд и размере одного отсчёта 8 байт (значение + метка времени) информационный поток составляет приблизительно 2–3 Кбайт/с в нормальном режиме. При аварийном режиме, когда частота опроса повышается и передаются осциллограммы, информационный поток может кратковременно возрастать до 20–30 Кбайт/с [7].</w:t>
      </w:r>
    </w:p>
    <w:p>
      <w:bookmarkStart w:id="13" w:name="_bm_section_2_3"/>
      <w:pPr>
        <w:spacing w:before="240" w:after="120" w:line="360" w:lineRule="auto"/>
        <w:ind w:firstLine="709"/>
        <w:jc w:val="both"/>
      </w:pPr>
      <w:r>
        <w:rPr>
          <w:rFonts w:ascii="Times New Roman" w:hAnsi="Times New Roman"/>
          <w:b/>
          <w:color w:val="000000"/>
          <w:sz w:val="28"/>
        </w:rPr>
        <w:t>2.3 Каналы связи и способы передачи данных в SCADA-систему</w:t>
      </w:r>
      <w:bookmarkEnd w:id="13"/>
    </w:p>
    <w:p>
      <w:pPr>
        <w:spacing w:before="0" w:after="0" w:line="360" w:lineRule="auto"/>
        <w:ind w:firstLine="709"/>
        <w:jc w:val="both"/>
      </w:pPr>
      <w:r>
        <w:rPr>
          <w:rFonts w:ascii="Times New Roman" w:hAnsi="Times New Roman"/>
          <w:b w:val="0"/>
          <w:i w:val="0"/>
          <w:color w:val="000000"/>
          <w:sz w:val="28"/>
        </w:rPr>
        <w:t>Выбор каналов связи является одним из ключевых вопросов при проектировании системы мониторинга ВЛ 6–10 кВ. Каналы связи должны обеспечивать надёжную передачу телеметрических данных в реальном времени с учётом территориальной удалённости объектов контроля и ограниченной инфраструктуры в зоне прохождения воздушной линии [8].</w:t>
      </w:r>
    </w:p>
    <w:p>
      <w:pPr>
        <w:spacing w:before="0" w:after="0" w:line="360" w:lineRule="auto"/>
        <w:ind w:firstLine="709"/>
        <w:jc w:val="both"/>
      </w:pPr>
      <w:r>
        <w:rPr>
          <w:rFonts w:ascii="Times New Roman" w:hAnsi="Times New Roman"/>
          <w:b w:val="0"/>
          <w:i w:val="0"/>
          <w:color w:val="000000"/>
          <w:sz w:val="28"/>
        </w:rPr>
        <w:t>В таблице 3 представлен сравнительный анализ каналов связи, применимых для связи с реклоузерами на ВЛ 6–10 кВ.</w:t>
      </w:r>
    </w:p>
    <w:p>
      <w:pPr>
        <w:spacing w:before="240" w:after="120" w:line="360" w:lineRule="auto"/>
        <w:ind w:firstLine="0"/>
        <w:jc w:val="left"/>
      </w:pPr>
      <w:r>
        <w:rPr>
          <w:rFonts w:ascii="Times New Roman" w:hAnsi="Times New Roman"/>
          <w:color w:val="000000"/>
          <w:sz w:val="28"/>
        </w:rPr>
        <w:t>Таблица 3 – Сравнительный анализ каналов связи для ВЛ 6–10 кВ</w:t>
      </w:r>
    </w:p>
    <w:tbl>
      <w:tblPr>
        <w:tblStyle w:val="TableGrid"/>
        <w:tblW w:type="auto" w:w="0"/>
        <w:tblLook w:firstColumn="1" w:firstRow="1" w:lastColumn="0" w:lastRow="0" w:noHBand="0" w:noVBand="1" w:val="04A0"/>
        <w:tblW w:type="pct" w:w="5000"/>
      </w:tblPr>
      <w:tblGrid>
        <w:gridCol w:w="1871"/>
        <w:gridCol w:w="1871"/>
        <w:gridCol w:w="1871"/>
        <w:gridCol w:w="1871"/>
        <w:gridCol w:w="1871"/>
      </w:tblGrid>
      <w:tr>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Характеристика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ВОЛС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Радиоканал (УКВ)</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GSM/GPRS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LTE</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Пропускная способность</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1 Гбит/с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9,6–19,2 Кбит/с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40–80 Кбит/с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50 Мбит/с</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Задержка передачи</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&lt;1 мс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10–50 мс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100–500 мс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20–50 мс</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Дальность действия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80 км</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 30 км</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Зона покрытия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Зона покрытия</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Надёжность</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Очень высокая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Высокая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Средняя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Средне-высокая</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Стоимость развёрт.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Высокая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Средняя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Низкая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Низкая</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Стоимость эксплуат.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Низкая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Низкая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Средняя (трафик)</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Средняя (трафик)</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Зависимость от 3 лиц</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(оператор)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(оператор)</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Необходимость лицензии</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(Роскомнадзор)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r>
    </w:tbl>
    <w:p>
      <w:pPr>
        <w:spacing w:before="0" w:after="0" w:line="360" w:lineRule="auto"/>
        <w:ind w:firstLine="709"/>
        <w:jc w:val="both"/>
      </w:pPr>
      <w:r>
        <w:rPr>
          <w:rFonts w:ascii="Times New Roman" w:hAnsi="Times New Roman"/>
          <w:b w:val="0"/>
          <w:i w:val="0"/>
          <w:color w:val="000000"/>
          <w:sz w:val="28"/>
        </w:rPr>
        <w:t>Волоконно-оптические линии связи (ВОЛС) обеспечивают наилучшие характеристики по пропускной способности и надёжности, однако их использование на ВЛ 6–10 кВ экономически целесообразно только при прокладке оптического кабеля в составе грозозащитного троса (ОКГТ) или при подвеске самонесущего оптического кабеля на опорах ВЛ. Стоимость прокладки ВОЛС составляет от 300 до 800 тысяч рублей за километр в зависимости от типа кабеля и способа монтажа [9].</w:t>
      </w:r>
    </w:p>
    <w:p>
      <w:pPr>
        <w:spacing w:before="0" w:after="0" w:line="360" w:lineRule="auto"/>
        <w:ind w:firstLine="709"/>
        <w:jc w:val="both"/>
      </w:pPr>
      <w:r>
        <w:rPr>
          <w:rFonts w:ascii="Times New Roman" w:hAnsi="Times New Roman"/>
          <w:b w:val="0"/>
          <w:i w:val="0"/>
          <w:color w:val="000000"/>
          <w:sz w:val="28"/>
        </w:rPr>
        <w:t>Радиоканал на основе УКВ-радиостанций является надёжным решением, не зависящим от внешних операторов связи. Однако ограниченная пропускная способность (9,6–19,2 Кбит/с) позволяет передавать только базовые телеметрические данные без осциллограмм и подробных архивов. Использование радиочастот требует получения частотного разрешения от Роскомнадзора [10].</w:t>
      </w:r>
    </w:p>
    <w:p>
      <w:pPr>
        <w:spacing w:before="0" w:after="0" w:line="360" w:lineRule="auto"/>
        <w:ind w:firstLine="709"/>
        <w:jc w:val="both"/>
      </w:pPr>
      <w:r>
        <w:rPr>
          <w:rFonts w:ascii="Times New Roman" w:hAnsi="Times New Roman"/>
          <w:b w:val="0"/>
          <w:i w:val="0"/>
          <w:color w:val="000000"/>
          <w:sz w:val="28"/>
        </w:rPr>
        <w:t>Каналы связи на основе мобильных сетей GSM/GPRS и LTE являются наиболее доступным решением, не требующим развёртывания собственной коммуникационной инфраструктуры. Основным недостатком является зависимость от зоны покрытия оператора мобильной связи, которая в сельской местности может быть нестабильной. Для повышения надёжности используется одновременное подключение к двум операторам связи с автоматическим переключением при потере связи с основным оператором [11].</w:t>
      </w:r>
    </w:p>
    <w:p>
      <w:pPr>
        <w:spacing w:before="0" w:after="0" w:line="360" w:lineRule="auto"/>
        <w:ind w:firstLine="709"/>
        <w:jc w:val="both"/>
      </w:pPr>
      <w:r>
        <w:rPr>
          <w:rFonts w:ascii="Times New Roman" w:hAnsi="Times New Roman"/>
          <w:b w:val="0"/>
          <w:i w:val="0"/>
          <w:color w:val="000000"/>
          <w:sz w:val="28"/>
        </w:rPr>
        <w:t>В рассматриваемой системе мониторинга принято решение использовать GSM/GPRS в качестве основного канала связи с резервированием через LTE второго оператора. Данный выбор обусловлен наличием покрытия мобильных сетей в зоне прохождения ВЛ, низкими затратами на развёртывание и достаточной пропускной способностью для передачи телеметрических данных в объёмах, характерных для трёх реклоузеров [12].</w:t>
      </w:r>
    </w:p>
    <w:p>
      <w:bookmarkStart w:id="14" w:name="_bm_section_2_4"/>
      <w:pPr>
        <w:spacing w:before="240" w:after="120" w:line="360" w:lineRule="auto"/>
        <w:ind w:firstLine="709"/>
        <w:jc w:val="both"/>
      </w:pPr>
      <w:r>
        <w:rPr>
          <w:rFonts w:ascii="Times New Roman" w:hAnsi="Times New Roman"/>
          <w:b/>
          <w:color w:val="000000"/>
          <w:sz w:val="28"/>
        </w:rPr>
        <w:t>2.4 Архитектура системы мониторинга и взаимодействие её элементов</w:t>
      </w:r>
      <w:bookmarkEnd w:id="14"/>
    </w:p>
    <w:p>
      <w:pPr>
        <w:spacing w:before="0" w:after="0" w:line="360" w:lineRule="auto"/>
        <w:ind w:firstLine="709"/>
        <w:jc w:val="both"/>
      </w:pPr>
      <w:r>
        <w:rPr>
          <w:rFonts w:ascii="Times New Roman" w:hAnsi="Times New Roman"/>
          <w:b w:val="0"/>
          <w:i w:val="0"/>
          <w:color w:val="000000"/>
          <w:sz w:val="28"/>
        </w:rPr>
        <w:t>Архитектура системы мониторинга построена по трёхуровневому принципу в соответствии с рекомендациями стандарта МЭК 62351 и практикой построения АСУ ТП в электроэнергетике [13].</w:t>
      </w:r>
    </w:p>
    <w:p>
      <w:pPr>
        <w:spacing w:before="0" w:after="0" w:line="360" w:lineRule="auto"/>
        <w:ind w:firstLine="709"/>
        <w:jc w:val="both"/>
      </w:pPr>
      <w:r>
        <w:rPr>
          <w:rFonts w:ascii="Times New Roman" w:hAnsi="Times New Roman"/>
          <w:b w:val="0"/>
          <w:i w:val="0"/>
          <w:color w:val="000000"/>
          <w:sz w:val="28"/>
        </w:rPr>
        <w:t>Первый уровень — полевой. На данном уровне расположены контроллеры реклоузеров, датчики параметров окружающей среды и коммуникационное оборудование (GSM/GPRS-модемы). Контроллеры реклоузеров выполняют первичную обработку измеренных величин: аналого-цифровое преобразование, фильтрацию, вычисление действующих значений токов и напряжений, расчёт мощностей и частоты. Обработанные данные формируются в телеграммы протокола МЭК 60870-5-104 и передаются на коммуникационный уровень. Контроллеры также обеспечивают буферизацию данных при временной потере связи с диспетчерским центром: накопленные данные автоматически передаются после восстановления соединения [14].</w:t>
      </w:r>
    </w:p>
    <w:p>
      <w:pPr>
        <w:spacing w:before="0" w:after="0" w:line="360" w:lineRule="auto"/>
        <w:ind w:firstLine="709"/>
        <w:jc w:val="both"/>
      </w:pPr>
      <w:r>
        <w:rPr>
          <w:rFonts w:ascii="Times New Roman" w:hAnsi="Times New Roman"/>
          <w:b w:val="0"/>
          <w:i w:val="0"/>
          <w:color w:val="000000"/>
          <w:sz w:val="28"/>
        </w:rPr>
        <w:t>Второй уровень — коммуникационный. Данный уровень обеспечивает транспортировку данных между полевыми устройствами и диспетчерским центром. Основу коммуникационного уровня составляют каналы мобильной связи GSM/GPRS, организованные через VPN-туннели для обеспечения информационной безопасности. Для каждого реклоузера организовано два независимых канала связи (основной и резервный) через разных операторов мобильной связи. Управление каналами связи осуществляется коммуникационным сервером, который отслеживает состояние каждого канала и при обнаружении потери связи автоматически переключается на резервный канал [15].</w:t>
      </w:r>
    </w:p>
    <w:p>
      <w:pPr>
        <w:spacing w:before="0" w:after="0" w:line="360" w:lineRule="auto"/>
        <w:ind w:firstLine="709"/>
        <w:jc w:val="both"/>
      </w:pPr>
      <w:r>
        <w:rPr>
          <w:rFonts w:ascii="Times New Roman" w:hAnsi="Times New Roman"/>
          <w:b w:val="0"/>
          <w:i w:val="0"/>
          <w:color w:val="000000"/>
          <w:sz w:val="28"/>
        </w:rPr>
        <w:t>Третий уровень — диспетчерский. На данном уровне расположены серверы SCADA-системы, база данных, рабочие станции диспетчеров и вспомогательные системы (архивный сервер, веб-сервер для удалённого доступа). Основной сервер SCADA-системы принимает данные от коммуникационного сервера, выполняет их обработку (проверку достоверности, пересчёт, нормализацию), записывает в базу данных, формирует мнемосхемы и передаёт на рабочие станции операторов. Для обеспечения отказоустойчивости основной сервер дублируется резервным сервером, работающим в режиме горячего резерва [16].</w:t>
      </w:r>
    </w:p>
    <w:p>
      <w:pPr>
        <w:spacing w:before="0" w:after="0" w:line="360" w:lineRule="auto"/>
        <w:ind w:firstLine="709"/>
        <w:jc w:val="both"/>
      </w:pPr>
      <w:r>
        <w:rPr>
          <w:rFonts w:ascii="Times New Roman" w:hAnsi="Times New Roman"/>
          <w:b w:val="0"/>
          <w:i w:val="0"/>
          <w:color w:val="000000"/>
          <w:sz w:val="28"/>
        </w:rPr>
        <w:t>Взаимодействие между уровнями системы осуществляется по следующей схеме. Контроллеры реклоузеров инициируют TCP-соединение с коммуникационным сервером по протоколу МЭК 60870-5-104. После установления соединения коммуникационный сервер отправляет команду общего опроса (General Interrogation) для получения текущих значений всех контролируемых параметров. Далее контроллеры передают данные в двух режимах: периодическая передача телеизмерений с заданным интервалом (cyclic) и спорадическая передача при изменении состояния дискретных сигналов (spontaneous). При необходимости дистанционного управления реклоузером диспетчер формирует команду на рабочей станции, которая передаётся через основной сервер и коммуникационный сервер на контроллер реклоузера с обязательным квитированием (подтверждением) выполнения [17].</w:t>
      </w:r>
    </w:p>
    <w:p>
      <w:pPr>
        <w:spacing w:before="0" w:after="0" w:line="360" w:lineRule="auto"/>
        <w:ind w:firstLine="709"/>
        <w:jc w:val="both"/>
      </w:pPr>
      <w:r>
        <w:rPr>
          <w:rFonts w:ascii="Times New Roman" w:hAnsi="Times New Roman"/>
          <w:b w:val="0"/>
          <w:i w:val="0"/>
          <w:color w:val="000000"/>
          <w:sz w:val="28"/>
        </w:rPr>
        <w:t>Важной особенностью архитектуры является применение принципа «store-and-forward» (буферизация и пересылка) для обеспечения гарантированной доставки данных при нестабильных каналах связи. Контроллеры реклоузеров оснащены энергонезависимой памятью объёмом до 64 Мбайт, позволяющей хранить телеметрические данные и события за период до 7 суток при отсутствии связи. После восстановления соединения накопленные данные автоматически синхронизируются с сервером SCADA-системы с сохранением меток времени [18].</w:t>
      </w:r>
    </w:p>
    <w:p>
      <w:pPr>
        <w:spacing w:before="120" w:after="0"/>
        <w:ind w:firstLine="0"/>
        <w:jc w:val="center"/>
      </w:pPr>
      <w:r>
        <w:drawing>
          <wp:inline xmlns:a="http://schemas.openxmlformats.org/drawingml/2006/main" xmlns:pic="http://schemas.openxmlformats.org/drawingml/2006/picture">
            <wp:extent cx="5400000" cy="308571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400000" cy="3085714"/>
                    </a:xfrm>
                    <a:prstGeom prst="rect"/>
                  </pic:spPr>
                </pic:pic>
              </a:graphicData>
            </a:graphic>
          </wp:inline>
        </w:drawing>
      </w:r>
    </w:p>
    <w:p>
      <w:pPr>
        <w:spacing w:before="120" w:after="240" w:line="360" w:lineRule="auto"/>
        <w:ind w:firstLine="0"/>
        <w:jc w:val="center"/>
      </w:pPr>
      <w:r>
        <w:rPr>
          <w:rFonts w:ascii="Times New Roman" w:hAnsi="Times New Roman"/>
          <w:color w:val="000000"/>
          <w:sz w:val="28"/>
        </w:rPr>
        <w:t>Рисунок 1 – Трёхуровневая архитектура системы мониторинга автоматизированного участка ВЛ</w:t>
      </w:r>
    </w:p>
    <w:p>
      <w:pPr>
        <w:spacing w:before="0" w:after="0" w:line="360" w:lineRule="auto"/>
        <w:ind w:firstLine="709"/>
        <w:jc w:val="both"/>
      </w:pPr>
      <w:r>
        <w:rPr>
          <w:rFonts w:ascii="Times New Roman" w:hAnsi="Times New Roman"/>
          <w:b w:val="0"/>
          <w:i w:val="0"/>
          <w:color w:val="000000"/>
          <w:sz w:val="28"/>
        </w:rPr>
        <w:t>Основной сервер SCADA-системы выполняет следующую последовательность операций при поступлении новых данных от контроллера реклоузера.</w:t>
      </w:r>
    </w:p>
    <w:p>
      <w:pPr>
        <w:spacing w:before="0" w:after="0" w:line="360" w:lineRule="auto"/>
        <w:ind w:firstLine="709"/>
        <w:jc w:val="both"/>
      </w:pPr>
      <w:r>
        <w:rPr>
          <w:rFonts w:ascii="Times New Roman" w:hAnsi="Times New Roman"/>
          <w:b w:val="0"/>
          <w:i w:val="0"/>
          <w:color w:val="000000"/>
          <w:sz w:val="28"/>
        </w:rPr>
        <w:t>На первом этапе производится проверка достоверности данных. Каждое полученное измерение проверяется по нескольким критериям: анализ дескриптора качества (Quality Descriptor), передаваемого в составе информационного объекта протокола IEC 104; проверка принадлежности значения допустимому физическому диапазону (например, напряжение не может быть отрицательным, ток не может превышать номинальную отключающую способность аппарата); проверка скорости изменения параметра (gradient check) — слишком быстрое изменение может свидетельствовать о неисправности датчика, а не о реальном процессе в сети; проверка метки времени — данные с временем, отличающимся от текущего более чем на заданную величину, помечаются как «substituted» (замещённые).</w:t>
      </w:r>
    </w:p>
    <w:p>
      <w:pPr>
        <w:spacing w:before="0" w:after="0" w:line="360" w:lineRule="auto"/>
        <w:ind w:firstLine="709"/>
        <w:jc w:val="both"/>
      </w:pPr>
      <w:r>
        <w:rPr>
          <w:rFonts w:ascii="Times New Roman" w:hAnsi="Times New Roman"/>
          <w:b w:val="0"/>
          <w:i w:val="0"/>
          <w:color w:val="000000"/>
          <w:sz w:val="28"/>
        </w:rPr>
        <w:t>На втором этапе выполняется пересчёт и нормализация данных. Контроллеры реклоузеров передают значения токов и напряжений в первичных величинах, которые при необходимости пересчитываются с учётом коэффициентов трансформации измерительных трансформаторов. Также выполняется расчёт производных параметров, не передаваемых непосредственно от контроллера: полная мощность, коэффициент несимметрии токов, энергия нарастающим итогом.</w:t>
      </w:r>
    </w:p>
    <w:p>
      <w:pPr>
        <w:spacing w:before="0" w:after="0" w:line="360" w:lineRule="auto"/>
        <w:ind w:firstLine="709"/>
        <w:jc w:val="both"/>
      </w:pPr>
      <w:r>
        <w:rPr>
          <w:rFonts w:ascii="Times New Roman" w:hAnsi="Times New Roman"/>
          <w:b w:val="0"/>
          <w:i w:val="0"/>
          <w:color w:val="000000"/>
          <w:sz w:val="28"/>
        </w:rPr>
        <w:t>На третьем этапе обработанные данные записываются в базу данных и передаются на рабочие станции операторов. Для минимизации задержки передача на рабочие станции осуществляется параллельно с записью в базу данных через механизм WebSocket. Это обеспечивает обновление информации на экране диспетчера практически мгновенно (задержка не превышает 100–200 мс от момента поступления данных на сервер).</w:t>
      </w:r>
    </w:p>
    <w:p>
      <w:bookmarkStart w:id="15" w:name="_bm_section_2_5"/>
      <w:pPr>
        <w:spacing w:before="240" w:after="120" w:line="360" w:lineRule="auto"/>
        <w:ind w:firstLine="709"/>
        <w:jc w:val="both"/>
      </w:pPr>
      <w:r>
        <w:rPr>
          <w:rFonts w:ascii="Times New Roman" w:hAnsi="Times New Roman"/>
          <w:b/>
          <w:color w:val="000000"/>
          <w:sz w:val="28"/>
        </w:rPr>
        <w:t>2.5 Требования к надёжности и отказоустойчивости системы мониторинга</w:t>
      </w:r>
      <w:bookmarkEnd w:id="15"/>
    </w:p>
    <w:p>
      <w:pPr>
        <w:spacing w:before="0" w:after="0" w:line="360" w:lineRule="auto"/>
        <w:ind w:firstLine="709"/>
        <w:jc w:val="both"/>
      </w:pPr>
      <w:r>
        <w:rPr>
          <w:rFonts w:ascii="Times New Roman" w:hAnsi="Times New Roman"/>
          <w:b w:val="0"/>
          <w:i w:val="0"/>
          <w:color w:val="000000"/>
          <w:sz w:val="28"/>
        </w:rPr>
        <w:t>Надёжность системы мониторинга является критическим параметром, определяющим её пригодность для промышленной эксплуатации. В соответствии с РД 34.35.127-93 «Руководящие указания по проектированию систем оперативно-диспетчерского управления энергосистемами» и СТО 56947007-29.240.10.028-2009 «Автоматизированные системы управления технологическими процессами подстанций», к SCADA-системе предъявляются следующие требования по надёжности [19].</w:t>
      </w:r>
    </w:p>
    <w:p>
      <w:pPr>
        <w:spacing w:before="0" w:after="0" w:line="360" w:lineRule="auto"/>
        <w:ind w:firstLine="709"/>
        <w:jc w:val="both"/>
      </w:pPr>
      <w:r>
        <w:rPr>
          <w:rFonts w:ascii="Times New Roman" w:hAnsi="Times New Roman"/>
          <w:b w:val="0"/>
          <w:i w:val="0"/>
          <w:color w:val="000000"/>
          <w:sz w:val="28"/>
        </w:rPr>
        <w:t>Основные показатели надёжности системы мониторинга представлены в таблице 4.</w:t>
      </w:r>
    </w:p>
    <w:p>
      <w:pPr>
        <w:spacing w:before="240" w:after="120" w:line="360" w:lineRule="auto"/>
        <w:ind w:firstLine="0"/>
        <w:jc w:val="left"/>
      </w:pPr>
      <w:r>
        <w:rPr>
          <w:rFonts w:ascii="Times New Roman" w:hAnsi="Times New Roman"/>
          <w:color w:val="000000"/>
          <w:sz w:val="28"/>
        </w:rPr>
        <w:t>Таблица 4 – Требуемые показатели надёжности системы мониторинга</w:t>
      </w:r>
    </w:p>
    <w:tbl>
      <w:tblPr>
        <w:tblStyle w:val="TableGrid"/>
        <w:tblW w:type="auto" w:w="0"/>
        <w:tblLook w:firstColumn="1" w:firstRow="1" w:lastColumn="0" w:lastRow="0" w:noHBand="0" w:noVBand="1" w:val="04A0"/>
        <w:tblW w:type="pct" w:w="5000"/>
      </w:tblPr>
      <w:tblGrid>
        <w:gridCol w:w="2339"/>
        <w:gridCol w:w="2339"/>
        <w:gridCol w:w="2339"/>
        <w:gridCol w:w="2339"/>
      </w:tblGrid>
      <w:tr>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Показатель</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Обозначение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Требуемое значение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Единица измерения</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Коэффициент готовности</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Кг</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0,999</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Среднее время наработки на отказ</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MTBF</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50 000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ч</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Среднее время восстановления</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MTTR</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0,5 (гор. резерв)</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ч</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Допустимое время простоя в 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Тпр</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8,76</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ч</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Вероятность безотказной работы (1 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P(t)</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0,995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Максимальная потеря данных при отказе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10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w:t>
            </w:r>
          </w:p>
        </w:tc>
      </w:tr>
    </w:tbl>
    <w:p>
      <w:pPr>
        <w:spacing w:before="0" w:after="0" w:line="360" w:lineRule="auto"/>
        <w:ind w:firstLine="709"/>
        <w:jc w:val="both"/>
      </w:pPr>
      <w:r>
        <w:rPr>
          <w:rFonts w:ascii="Times New Roman" w:hAnsi="Times New Roman"/>
          <w:b w:val="0"/>
          <w:i w:val="0"/>
          <w:color w:val="000000"/>
          <w:sz w:val="28"/>
        </w:rPr>
        <w:t>Для обеспечения указанных показателей надёжности в системе мониторинга предусмотрены следующие механизмы резервирования и отказоустойчивости:</w:t>
      </w:r>
    </w:p>
    <w:p>
      <w:pPr>
        <w:spacing w:before="0" w:after="0" w:line="360" w:lineRule="auto"/>
        <w:ind w:firstLine="709"/>
        <w:jc w:val="both"/>
      </w:pPr>
      <w:r>
        <w:rPr>
          <w:rFonts w:ascii="Times New Roman" w:hAnsi="Times New Roman"/>
          <w:b w:val="0"/>
          <w:i w:val="0"/>
          <w:color w:val="000000"/>
          <w:sz w:val="28"/>
        </w:rPr>
        <w:t xml:space="preserve">Резервирование серверов. </w:t>
      </w:r>
      <w:r>
        <w:rPr>
          <w:rFonts w:ascii="Times New Roman" w:hAnsi="Times New Roman"/>
          <w:b w:val="0"/>
          <w:i w:val="0"/>
          <w:color w:val="000000"/>
          <w:sz w:val="28"/>
        </w:rPr>
        <w:t>основной и резервный серверы SCADA-системы работают в режиме горячего резерва с автоматическим переключением при отказе основного сервера. Время переключения не превышает 10 секунд. Оба сервера непрерывно синхронизируют данные между собой через выделенный канал связи (heartbeat);</w:t>
      </w:r>
    </w:p>
    <w:p>
      <w:pPr>
        <w:spacing w:before="0" w:after="0" w:line="360" w:lineRule="auto"/>
        <w:ind w:firstLine="709"/>
        <w:jc w:val="both"/>
      </w:pPr>
      <w:r>
        <w:rPr>
          <w:rFonts w:ascii="Times New Roman" w:hAnsi="Times New Roman"/>
          <w:b w:val="0"/>
          <w:i w:val="0"/>
          <w:color w:val="000000"/>
          <w:sz w:val="28"/>
        </w:rPr>
        <w:t xml:space="preserve">Резервирование каналов связи. </w:t>
      </w:r>
      <w:r>
        <w:rPr>
          <w:rFonts w:ascii="Times New Roman" w:hAnsi="Times New Roman"/>
          <w:b w:val="0"/>
          <w:i w:val="0"/>
          <w:color w:val="000000"/>
          <w:sz w:val="28"/>
        </w:rPr>
        <w:t>для каждого реклоузера организовано два независимых канала связи через разных операторов мобильной связи. При потере основного канала переключение на резервный происходит автоматически в течение 15–30 секунд;</w:t>
      </w:r>
    </w:p>
    <w:p>
      <w:pPr>
        <w:spacing w:before="0" w:after="0" w:line="360" w:lineRule="auto"/>
        <w:ind w:firstLine="709"/>
        <w:jc w:val="both"/>
      </w:pPr>
      <w:r>
        <w:rPr>
          <w:rFonts w:ascii="Times New Roman" w:hAnsi="Times New Roman"/>
          <w:b w:val="0"/>
          <w:i w:val="0"/>
          <w:color w:val="000000"/>
          <w:sz w:val="28"/>
        </w:rPr>
        <w:t xml:space="preserve">Буферизация данных. </w:t>
      </w:r>
      <w:r>
        <w:rPr>
          <w:rFonts w:ascii="Times New Roman" w:hAnsi="Times New Roman"/>
          <w:b w:val="0"/>
          <w:i w:val="0"/>
          <w:color w:val="000000"/>
          <w:sz w:val="28"/>
        </w:rPr>
        <w:t>контроллеры реклоузеров хранят данные в энергонезависимой памяти при потере связи. После восстановления соединения данные синхронизируются с сервером с сохранением меток времени;</w:t>
      </w:r>
    </w:p>
    <w:p>
      <w:pPr>
        <w:spacing w:before="0" w:after="0" w:line="360" w:lineRule="auto"/>
        <w:ind w:firstLine="709"/>
        <w:jc w:val="both"/>
      </w:pPr>
      <w:r>
        <w:rPr>
          <w:rFonts w:ascii="Times New Roman" w:hAnsi="Times New Roman"/>
          <w:b w:val="0"/>
          <w:i w:val="0"/>
          <w:color w:val="000000"/>
          <w:sz w:val="28"/>
        </w:rPr>
        <w:t xml:space="preserve">Резервное электропитание. </w:t>
      </w:r>
      <w:r>
        <w:rPr>
          <w:rFonts w:ascii="Times New Roman" w:hAnsi="Times New Roman"/>
          <w:b w:val="0"/>
          <w:i w:val="0"/>
          <w:color w:val="000000"/>
          <w:sz w:val="28"/>
        </w:rPr>
        <w:t>серверное оборудование диспетчерского центра оснащено источниками бесперебойного питания (ИБП) с временем автономной работы не менее 2 часов. Реклоузеры питаются от контролируемой линии и оснащены встроенными аккумуляторными батареями для работы при обесточении линии;</w:t>
      </w:r>
    </w:p>
    <w:p>
      <w:pPr>
        <w:spacing w:before="0" w:after="0" w:line="360" w:lineRule="auto"/>
        <w:ind w:firstLine="709"/>
        <w:jc w:val="both"/>
      </w:pPr>
      <w:r>
        <w:rPr>
          <w:rFonts w:ascii="Times New Roman" w:hAnsi="Times New Roman"/>
          <w:b w:val="0"/>
          <w:i w:val="0"/>
          <w:color w:val="000000"/>
          <w:sz w:val="28"/>
        </w:rPr>
        <w:t xml:space="preserve">Резервное копирование. </w:t>
      </w:r>
      <w:r>
        <w:rPr>
          <w:rFonts w:ascii="Times New Roman" w:hAnsi="Times New Roman"/>
          <w:b w:val="0"/>
          <w:i w:val="0"/>
          <w:color w:val="000000"/>
          <w:sz w:val="28"/>
        </w:rPr>
        <w:t>автоматическое резервное копирование базы данных выполняется ежедневно с хранением копий на отдельном носителе. Полное восстановление из резервной копии занимает не более 30 минут.</w:t>
      </w:r>
    </w:p>
    <w:p>
      <w:pPr>
        <w:spacing w:before="0" w:after="0" w:line="360" w:lineRule="auto"/>
        <w:ind w:firstLine="709"/>
        <w:jc w:val="both"/>
      </w:pPr>
      <w:r>
        <w:rPr>
          <w:rFonts w:ascii="Times New Roman" w:hAnsi="Times New Roman"/>
          <w:b w:val="0"/>
          <w:i w:val="0"/>
          <w:color w:val="000000"/>
          <w:sz w:val="28"/>
        </w:rPr>
        <w:t>Расчёт коэффициента готовности системы выполняется по формуле:</w:t>
      </w:r>
    </w:p>
    <w:p>
      <w:pPr>
        <w:spacing w:before="0" w:after="0" w:line="360" w:lineRule="auto"/>
        <w:ind w:firstLine="709"/>
        <w:jc w:val="both"/>
      </w:pPr>
      <w:r>
        <w:rPr>
          <w:rFonts w:ascii="Times New Roman" w:hAnsi="Times New Roman"/>
          <w:b w:val="0"/>
          <w:i w:val="0"/>
          <w:color w:val="000000"/>
          <w:sz w:val="28"/>
        </w:rPr>
        <w:t>Кг = MTBF / (MTBF + MTTR)</w:t>
      </w:r>
    </w:p>
    <w:p>
      <w:pPr>
        <w:spacing w:before="0" w:after="0" w:line="360" w:lineRule="auto"/>
        <w:ind w:firstLine="709"/>
        <w:jc w:val="both"/>
      </w:pPr>
      <w:r>
        <w:rPr>
          <w:rFonts w:ascii="Times New Roman" w:hAnsi="Times New Roman"/>
          <w:b w:val="0"/>
          <w:i w:val="0"/>
          <w:color w:val="000000"/>
          <w:sz w:val="28"/>
        </w:rPr>
        <w:t>При MTBF = 50 000 часов и MTTR = 0,5 часа (горячий резерв) коэффициент готовности составляет: Кг = 50000 / (50000 + 0,5) = 0,99999, что значительно превышает минимально допустимое значение 0,999 и обеспечивает надёжную работу системы мониторинга в промышленных условиях [20].</w:t>
      </w:r>
    </w:p>
    <w:p>
      <w:pPr>
        <w:spacing w:before="0" w:after="0" w:line="360" w:lineRule="auto"/>
        <w:ind w:firstLine="709"/>
        <w:jc w:val="both"/>
      </w:pPr>
      <w:r>
        <w:rPr>
          <w:rFonts w:ascii="Times New Roman" w:hAnsi="Times New Roman"/>
          <w:b w:val="0"/>
          <w:i w:val="0"/>
          <w:color w:val="000000"/>
          <w:sz w:val="28"/>
        </w:rPr>
        <w:t>Таким образом, разработанная архитектура системы мониторинга обеспечивает полный цикл сбора, передачи, обработки и отображения телеметрических данных от автоматизированного участка ВЛ 6–10 кВ. Трёхуровневая структура системы, использование стандартных протоколов и механизмы резервирования обеспечивают высокую надёжность и масштабируемость решения.</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