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16" w:name="_bm_glava_3"/>
      <w:pPr>
        <w:pageBreakBefore/>
        <w:spacing w:before="0" w:after="240" w:line="36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Глава 3. Разработка прототипа SCADA-системы мониторинга автоматизированного участка ВЛ</w:t>
      </w:r>
      <w:bookmarkEnd w:id="16"/>
    </w:p>
    <w:p>
      <w:bookmarkStart w:id="17" w:name="_bm_section_3_1"/>
      <w:pPr>
        <w:spacing w:before="240" w:after="120" w:line="36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3.1 Определение функциональных требований к прототипу системы мониторинга</w:t>
      </w:r>
      <w:bookmarkEnd w:id="17"/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Прототип SCADA-системы разрабатывается с целью практической демонстрации возможностей мониторинга автоматизированного участка ВЛ 6–10 кВ и верификации предложенной архитектуры. Прототип реализует основные функции промышленной SCADA-системы в упрощённом виде, достаточном для оценки работоспособности выбранных архитектурных решений и протоколов обмена данными [1].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Функциональные требования к прототипу сформулированы на основе анализа, проведённого в первой и второй главах. Требования разделены на обязательные (must have), желательные (should have) и перспективные (could have) в соответствии с методологией MoSCoW [2].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К обязательным функциональным требованиям относятся: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приём телеметрических данных от контроллеров реклоузеров по протоколу МЭК 60870-5-104;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обработка и хранение телеизмерений и телесигнализации в реляционной базе данных;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отображение текущих значений параметров электрического режима в веб-интерфейсе;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формирование аварийных сообщений при выходе параметров за установленные пороговые значения;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ведение журнала событий с привязкой к временным меткам;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передача команд телеуправления (включение/отключение реклоузера) через протокол МЭК 60870-5-104.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К желательным функциональным требованиям относятся: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визуализация параметров на мнемосхеме участка ВЛ;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построение графиков изменения параметров во времени (тренды);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экспорт архивных данных в форматы CSV и PDF для последующего анализа;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уведомление оперативного персонала об аварийных событиях через WebSocket в реальном времени.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реализации прототипа выбран следующий стек технологий. Серверная часть реализована на языке программирования Python 3.10 с использованием микрофреймворка Flask, обеспечивающего построение REST API и обработку HTTP-запросов. Для обмена данными в реальном времени используется библиотека Flask-SocketIO, реализующая протокол WebSocket. В качестве системы управления базами данных используется SQLite 3, обеспечивающая достаточную производительность для прототипа при минимальных требованиях к инфраструктуре. Для реализации клиента протокола МЭК 60870-5-104 используется собственная разработка на базе стандартных библиотек Python (socket, struct, threading) [3].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Клиентская часть (интерфейс диспетчера) реализована как одностраничное веб-приложение (SPA) с использованием HTML5, CSS3 и JavaScript. Для построения графиков используется библиотека Chart.js, для обмена данными с сервером — Fetch API и WebSocket API [4].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Выбор Python в качестве основного языка разработки обусловлен следующими факторами: наличие обширной экосистемы библиотек для работы с сетевыми протоколами и базами данных, высокая скорость прототипирования, читаемость кода и возможность быстрой модификации алгоритмов обработки данных. Для промышленного внедрения критически важные модули могут быть переписаны на C/C++ или Go для повышения производительности [5].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Архитектура прототипа построена по принципу микросервисов, что обеспечивает модульность, независимость компонентов и возможность горизонтального масштабирования. Основными компонентами являются: сервис приёма данных (Protocol Gateway) — принимает телеметрию по протоколу IEC 104 и публикует данные во внутреннюю шину сообщений; сервис обработки данных (Data Processor) — выполняет валидацию, пересчёт и запись в базу данных; сервис событий и алармов (Event Service) — анализирует входящие данные на предмет выхода за уставки и формирует события; API-сервис (REST API) — предоставляет интерфейс для клиентских приложений; WebSocket-сервис (Real-time Service) — обеспечивает передачу обновлений клиентам в реальном времени.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прототипе все перечисленные компоненты реализованы в рамках единого Python-процесса с использованием многопоточности (threading), что упрощает развёртывание и отладку. При переходе к промышленной эксплуатации каждый компонент может быть выделен в отдельный микросервис с использованием контейнеризации (Docker) и оркестрации (Kubernetes).</w:t>
      </w:r>
    </w:p>
    <w:p>
      <w:bookmarkStart w:id="18" w:name="_bm_section_3_2"/>
      <w:pPr>
        <w:spacing w:before="240" w:after="120" w:line="36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3.2 Разработка структуры обмена данными между полевыми устройствами и SCADA</w:t>
      </w:r>
      <w:bookmarkEnd w:id="18"/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Протокол МЭК 60870-5-104 (IEC 104) является международным стандартом передачи телемеханической информации по сетям TCP/IP. Протокол определяет прикладной уровень обмена данными между управляющей станцией (SCADA-сервер) и контролируемыми станциями (контроллеры реклоузеров). Транспортным уровнем протокола является TCP, порт по умолчанию — 2404 [6].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Единицей передачи данных в протоколе является APDU (Application Protocol Data Unit — блок данных прикладного протокола), который включает заголовок APCI (Application Protocol Control Information — управляющая информация прикладного протокола) и блок данных ASDU (Application Service Data Unit — блок данных прикладной службы) [7].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Протокол определяет три формата кадров APDU: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I-формат (Information). </w:t>
      </w:r>
      <w:r>
        <w:rPr>
          <w:rFonts w:ascii="Times New Roman" w:hAnsi="Times New Roman"/>
          <w:b w:val="0"/>
          <w:i w:val="0"/>
          <w:color w:val="000000"/>
          <w:sz w:val="28"/>
        </w:rPr>
        <w:t>кадр передачи данных, содержащий ASDU с телеметрической информацией или командами управления. Каждый I-кадр имеет два 15-битных счётчика: номер передачи (Send Sequence Number, SSN) и номер приёма (Receive Sequence Number, RSN), обеспечивающих контроль последовательности и подтверждение доставки;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S-формат (Supervisory). </w:t>
      </w:r>
      <w:r>
        <w:rPr>
          <w:rFonts w:ascii="Times New Roman" w:hAnsi="Times New Roman"/>
          <w:b w:val="0"/>
          <w:i w:val="0"/>
          <w:color w:val="000000"/>
          <w:sz w:val="28"/>
        </w:rPr>
        <w:t>кадр подтверждения приёма, не содержащий ASDU. Используется для подтверждения получения I-кадров, когда управляющая станция не имеет данных для передачи;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U-формат (Unnumbered). </w:t>
      </w:r>
      <w:r>
        <w:rPr>
          <w:rFonts w:ascii="Times New Roman" w:hAnsi="Times New Roman"/>
          <w:b w:val="0"/>
          <w:i w:val="0"/>
          <w:color w:val="000000"/>
          <w:sz w:val="28"/>
        </w:rPr>
        <w:t>ненумерованный кадр управления соединением. Используется для активации/деактивации передачи данных (STARTDT/STOPDT) и тестирования канала связи (TESTFR).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Блок данных ASDU содержит следующие поля: идентификатор типа (Type ID), определяющий формат передаваемых данных; квалификатор переменной структуры (VSQ), указывающий количество информационных объектов; причину передачи (Cause of Transmission, COT), определяющую контекст передачи данных (периодический, спорадический, по запросу и т.д.); общий адрес ASDU (Common Address of ASDU, CA), идентифицирующий контролируемую станцию; и набор информационных объектов (Information Objects, IO), содержащих собственно данные [8].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разработанном прототипе используются следующие типы информационных объектов:</w:t>
      </w:r>
    </w:p>
    <w:p>
      <w:pPr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928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rotoco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2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 w:line="360" w:lineRule="auto"/>
        <w:ind w:firstLine="0"/>
        <w:jc w:val="center"/>
      </w:pPr>
      <w:r>
        <w:rPr>
          <w:rFonts w:ascii="Times New Roman" w:hAnsi="Times New Roman"/>
          <w:color w:val="000000"/>
          <w:sz w:val="28"/>
        </w:rPr>
        <w:t>Рисунок 2 – Структура кадра APDU протокола МЭК 60870-5-104</w:t>
      </w:r>
    </w:p>
    <w:p>
      <w:pPr>
        <w:spacing w:before="240" w:after="120" w:line="360" w:lineRule="auto"/>
        <w:ind w:firstLine="0"/>
        <w:jc w:val="left"/>
      </w:pPr>
      <w:r>
        <w:rPr>
          <w:rFonts w:ascii="Times New Roman" w:hAnsi="Times New Roman"/>
          <w:color w:val="000000"/>
          <w:sz w:val="28"/>
        </w:rPr>
        <w:t>Таблица 5 – Используемые типы информационных объектов МЭК 60870-5-104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type="pct" w:w="500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Тип (TypeID)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Описание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Направление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Применение</w:t>
            </w:r>
          </w:p>
        </w:tc>
      </w:tr>
      <w:tr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M_SP_NA_1 (1)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Одноэлементная информация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Мониторинг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Положение реклоузера, аварийные сигналы</w:t>
            </w:r>
          </w:p>
        </w:tc>
      </w:tr>
      <w:tr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M_ME_NC_1 (13)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Измерение с плавающей точкой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Мониторинг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Ток, напряжение, мощность</w:t>
            </w:r>
          </w:p>
        </w:tc>
      </w:tr>
      <w:tr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M_ME_TF_1 (36)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Измерение с меткой времени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Мониторинг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Телеизмерения с точным временем</w:t>
            </w:r>
          </w:p>
        </w:tc>
      </w:tr>
      <w:tr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M_SP_TB_1 (30)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Одноэлементная с меткой времени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Мониторинг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Срабатывание защиты с временем</w:t>
            </w:r>
          </w:p>
        </w:tc>
      </w:tr>
      <w:tr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C_SC_NA_1 (45)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Однопозиционная команда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Управление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Включение/отключение реклоузера</w:t>
            </w:r>
          </w:p>
        </w:tc>
      </w:tr>
      <w:tr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C_DC_NA_1 (46)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Двухпозиционная команда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Управление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Переключение режимов</w:t>
            </w:r>
          </w:p>
        </w:tc>
      </w:tr>
      <w:tr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C_IC_NA_1 (100)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Общий опрос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Управление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Запрос текущих значений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Реализация клиента протокола МЭК 60870-5-104 в прототипе выполнена на языке Python с использованием стандартных библиотек socket и struct для работы с TCP-соединениями и бинарными данными. Клиент поддерживает все три формата кадров (I, S, U), обеспечивает контроль последовательности номеров, автоматическую отправку тестовых кадров (TESTFR) для контроля активности соединения и обработку входящих ASDU с извлечением информационных объектов. Полный листинг кода клиента протокола приведён в Приложении Г [9].</w:t>
      </w:r>
    </w:p>
    <w:p>
      <w:bookmarkStart w:id="19" w:name="_bm_section_3_3"/>
      <w:pPr>
        <w:spacing w:before="240" w:after="120" w:line="36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3.3 Логическая структура базы данных и обработка информации</w:t>
      </w:r>
      <w:bookmarkEnd w:id="19"/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хранения телеметрических данных, событий и конфигурационной информации в прототипе используется реляционная база данных SQLite 3. Выбор SQLite обусловлен простотой развёртывания (база данных хранится в одном файле), отсутствием необходимости установки отдельного сервера СУБД и достаточной производительностью для обработки информационных потоков, характерных для мониторинга трёх реклоузеров [10].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Логическая структура базы данных включает четыре основных таблицы: devices (устройства), measurements (измерения), events (события) и alarms (алармы). Структура таблиц спроектирована в соответствии с третьей нормальной формой (3НФ) для минимизации избыточности данных [11].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Таблица devices содержит информацию об устройствах полевого уровня и включает следующие поля: уникальный идентификатор устройства (id), тип устройства (device_type — реклоузер, датчик температуры, метеостанция), наименование (name), местоположение в текстовом виде (location), координаты GPS (latitude, longitude), текущий статус связи (status — online/offline) и время последнего сеанса связи (last_seen) [12].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Таблица measurements является основной таблицей для хранения телеизмерений. Каждая запись содержит ссылку на устройство (device_id), наименование измеряемого параметра (parameter), числовое значение (value), единицу измерения (unit), дескриптор качества (quality) и временную метку (timestamp). Для обеспечения быстрого поиска по устройству и времени создан составной индекс по полям device_id и timestamp [13].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Таблица events хранит журнал событий: срабатывания защит, изменения состояния оборудования, действия оперативного персонала, системные события. Каждая запись включает ссылку на устройство, тип события (event_type), уровень критичности (severity: info, warning, error, critical), текстовое описание (description), признак квитирования оператором (acknowledged) и временную метку. Индекс по полю timestamp обеспечивает быстрый доступ к хронологическому журналу событий [14].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Таблица alarms содержит текущие аварийные состояния параметров: ссылку на устройство, параметр, нижний и верхний пороги, текущее значение, состояние аларма (normal, low, high) и время активации. Данная таблица используется для оперативного отображения активных алармов на рабочей станции диспетчера [15].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обеспечения производительности при работе с большими объёмами исторических данных в прототипе реализован механизм автоматического архивирования: данные старше 30 суток переносятся из основной таблицы measurements в архивную таблицу measurements_archive с сохранением индексов. Это позволяет поддерживать объём основной таблицы на уровне 3–5 миллионов записей, обеспечивая время отклика запросов не более 100 мс [16].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Полный листинг инициализации базы данных и серверной части прототипа приведён в Приложении 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обеспечения целостности данных при одновременном доступе нескольких клиентов в прототипе используется механизм транзакций SQLite с уровнем изоляции SERIALIZABLE. Каждая операция записи (вставка нового измерения, обновление состояния устройства, регистрация события) выполняется в рамках отдельной транзакции, что гарантирует атомарность и согласованность данных.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Объём базы данных при работе с тремя реклоузерами и периодом опроса 2 секунды может быть оценён следующим образом. Каждый реклоузер генерирует приблизительно 40 аналоговых измерений и 20 дискретных сигналов. При периоде опроса 2 секунды для аналоговых и передаче дискретных по событию, суточный объём данных составляет: (40 параметров × 3 устройства × 43 200 отсчётов/сутки × 50 байт/запись) = приблизительно 259 Мбайт в сутки. За год непрерывной работы объём базы составит около 95 Гбайт, что требует реализации механизмов архивирования и сжатия исторических данных.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прототипе реализован двухуровневый механизм хранения данных. Оперативный уровень содержит данные за последние 30 суток в полном разрешении (каждый отсчёт) и обеспечивает быстрый доступ для построения детальных трендов и анализа аварийных ситуаций. Архивный уровень содержит агрегированные данные (средние, минимальные, максимальные значения за 5-минутные и часовые интервалы) за весь период хранения (до 3 лет), что обеспечивает приемлемый объём хранения при сохранении возможности долгосрочного анализа тенденций.</w:t>
      </w:r>
    </w:p>
    <w:p>
      <w:bookmarkStart w:id="20" w:name="_bm_section_3_4"/>
      <w:pPr>
        <w:spacing w:before="240" w:after="120" w:line="36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3.4 Расчёт нагрузки на серверную инфраструктуру и архитектурные ограничения прототипа</w:t>
      </w:r>
      <w:bookmarkEnd w:id="20"/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оценки производственной пригодности прототипа выполнен расчёт нагрузки на серверную инфраструктуру при различных конфигурациях автоматизированного участка. Расчёт основан на характеристиках информационного потока протокола МЭК 60870-5-104 и измеренных показателях производительности компонентов прототипа [16].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Информационный поток от одного реклоузера включает: 40 аналоговых параметров (TypeID M_ME_NC_1, 13 байт на объект) с периодом передачи 2 секунды и 20 дискретных сигналов (TypeID M_SP_NA_1, 4 байта на объект) с передачей по событию. Размер одного I-кадра APDU составляет от 16 до 253 байт. При периодическом опросе 40 параметров формируется 2–3 I-кадра (с учётом ограничения на 127 информационных объектов в одном ASDU), что даёт объём 400–600 байт за цикл опроса. Таким образом, один реклоузер генерирует информационный поток 200–300 байт/с в нормальном режиме [17].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Расчёт нагрузки на подсистему записи в базу данных выполнен для трёх конфигураций: 3 устройства (базовая), 30 устройств (типовой район) и 100 устройств (предельная для прототипа). Результаты расчёта представлены ниже.</w:t>
      </w:r>
    </w:p>
    <w:p>
      <w:pPr>
        <w:spacing w:before="240" w:after="120" w:line="360" w:lineRule="auto"/>
        <w:ind w:firstLine="0"/>
        <w:jc w:val="left"/>
      </w:pPr>
      <w:r>
        <w:rPr>
          <w:rFonts w:ascii="Times New Roman" w:hAnsi="Times New Roman"/>
          <w:color w:val="000000"/>
          <w:sz w:val="28"/>
        </w:rPr>
        <w:t>Таблица 6 – Расчёт нагрузки на серверную инфраструктуру прототипа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type="pct" w:w="500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Параметр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3 устройства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30 устройств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100 устройств</w:t>
            </w:r>
          </w:p>
        </w:tc>
      </w:tr>
      <w:tr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Входящий поток, КБ/с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0,9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9,0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30,0</w:t>
            </w:r>
          </w:p>
        </w:tc>
      </w:tr>
      <w:tr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Операций INSERT/с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60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600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2 000</w:t>
            </w:r>
          </w:p>
        </w:tc>
      </w:tr>
      <w:tr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Загрузка CPU, %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8–12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35–45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85–95</w:t>
            </w:r>
          </w:p>
        </w:tc>
      </w:tr>
      <w:tr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Потребление RAM, МБ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350–450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620–780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1 400–1 600</w:t>
            </w:r>
          </w:p>
        </w:tc>
      </w:tr>
      <w:tr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Объём БД за сутки, МБ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2,5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25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85</w:t>
            </w:r>
          </w:p>
        </w:tc>
      </w:tr>
      <w:tr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Объём БД за год, ГБ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0,9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9,1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30,5</w:t>
            </w:r>
          </w:p>
        </w:tc>
      </w:tr>
      <w:tr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Время обработки ASDU, мс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15–40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45–75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120–200</w:t>
            </w:r>
          </w:p>
        </w:tc>
      </w:tr>
      <w:tr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Время записи в БД, мс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5–10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15–30</w:t>
            </w:r>
          </w:p>
        </w:tc>
        <w:tc>
          <w:tcPr>
            <w:tcW w:type="dxa" w:w="2339"/>
            <w:vAlign w:val="center"/>
            <w:tcMar>
              <w:top w:w="28" w:type="dxa"/>
              <w:bottom w:w="28" w:type="dxa"/>
              <w:left w:w="57" w:type="dxa"/>
              <w:right w:w="57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28"/>
              </w:rPr>
              <w:t>40–80</w:t>
            </w:r>
          </w:p>
        </w:tc>
      </w:tr>
    </w:tbl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Как видно из расчёта, узким местом прототипа при масштабировании свыше 50 устройств является подсистема записи в базу данных SQLite. При 100 устройствах время обработки одного ASDU возрастает до 120–200 мс, что приближается к периоду опроса (2 000 мс) и создаёт риск потери данных при лавинном поступлении спорадических телеграмм. Загрузка CPU достигает 85–95%, что не оставляет запаса для обработки аварийных ситуаций [18].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Архитектурные ограничения прототипа и пути их преодоления: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Однопоточная запись SQLite. </w:t>
      </w:r>
      <w:r>
        <w:rPr>
          <w:rFonts w:ascii="Times New Roman" w:hAnsi="Times New Roman"/>
          <w:b w:val="0"/>
          <w:i w:val="0"/>
          <w:color w:val="000000"/>
          <w:sz w:val="28"/>
        </w:rPr>
        <w:t>SQLite поддерживает только одну одновременную транзакцию записи (WAL-режим допускает параллельное чтение, но не запись). При переходе на PostgreSQL с пулом соединений (pgBouncer, 16 подключений) пропускная способность записи возрастает в 8–10 раз, до 16 000–20 000 INSERT/с;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Отсутствие горизонтального масштабирования. </w:t>
      </w:r>
      <w:r>
        <w:rPr>
          <w:rFonts w:ascii="Times New Roman" w:hAnsi="Times New Roman"/>
          <w:b w:val="0"/>
          <w:i w:val="0"/>
          <w:color w:val="000000"/>
          <w:sz w:val="28"/>
        </w:rPr>
        <w:t>все компоненты прототипа работают в едином Python-процессе. Микросервисная декомпозиция (Protocol Gateway, Data Processor, Event Service, API) с использованием Docker и Kubernetes позволит распределить нагрузку между узлами кластера;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Ограничение GIL интерпретатора Python. </w:t>
      </w:r>
      <w:r>
        <w:rPr>
          <w:rFonts w:ascii="Times New Roman" w:hAnsi="Times New Roman"/>
          <w:b w:val="0"/>
          <w:i w:val="0"/>
          <w:color w:val="000000"/>
          <w:sz w:val="28"/>
        </w:rPr>
        <w:t>Global Interpreter Lock ограничивает параллельное выполнение потоков. Для критических по производительности модулей (парсинг ASDU, валидация данных) рекомендуется переход на multiprocessing или переписывание на Go/Rust с сохранением Python для бизнес-логики;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Отсутствие кэширования. </w:t>
      </w:r>
      <w:r>
        <w:rPr>
          <w:rFonts w:ascii="Times New Roman" w:hAnsi="Times New Roman"/>
          <w:b w:val="0"/>
          <w:i w:val="0"/>
          <w:color w:val="000000"/>
          <w:sz w:val="28"/>
        </w:rPr>
        <w:t>каждый запрос к REST API обращается непосредственно к БД. Внедрение Redis в качестве кэша текущих значений сократит время отклика API с 50–100 мс до 1–5 мс для 95-го перцентиля.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верификации расчётных показателей проведено нагрузочное тестирование прототипа на сервере с конфигурацией: Intel Core i5-12400 (6 ядер, 2,5 ГГц), 16 ГБ DDR4, SSD NVMe 256 ГБ, Ubuntu 22.04 LTS. Тестирование выполнено с помощью программного имитатора, генерирующего трафик МЭК 60870-5-104 от заданного количества виртуальных устройств. Имитатор варьировал количество устройств от 1 до 100 с шагом 10, при каждом значении проводилось 15-минутное тестирование с замером показателей [19].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Результаты нагрузочного тестирования подтвердили расчётные оценки: при 30 устройствах загрузка CPU составила 38% (расчётная 35–45%), потребление RAM — 650 МБ (расчётное 620–780 МБ), среднее время обработки ASDU — 52 мс (расчётное 45–75 мс). Критический порог производительности (загрузка CPU &gt; 80%) достигается при 80–90 устройствах. Таким образом, прототип гарантированно обеспечивает мониторинг до 50 устройств на указанной аппаратной конфигурации с запасом производительности не менее 30%.</w:t>
      </w:r>
    </w:p>
    <w:p>
      <w:pPr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214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load_te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2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40" w:line="360" w:lineRule="auto"/>
        <w:ind w:firstLine="0"/>
        <w:jc w:val="center"/>
      </w:pPr>
      <w:r>
        <w:rPr>
          <w:rFonts w:ascii="Times New Roman" w:hAnsi="Times New Roman"/>
          <w:color w:val="000000"/>
          <w:sz w:val="28"/>
        </w:rPr>
        <w:t>Рисунок 3 – Результаты нагрузочного тестирования прототипа</w:t>
      </w:r>
    </w:p>
    <w:p>
      <w:bookmarkStart w:id="21" w:name="_bm_section_3_5"/>
      <w:pPr>
        <w:spacing w:before="240" w:after="120" w:line="360" w:lineRule="auto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3.5 Разработка интерфейса диспетчера для отображения состояния линии</w:t>
      </w:r>
      <w:bookmarkEnd w:id="21"/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Интерфейс диспетчера (HMI — Human-Machine Interface) является ключевым элементом SCADA-системы, обеспечивающим визуализацию информации и взаимодействие оперативного персонала с системой управления. При проектировании интерфейса прототипа учтены рекомендации стандарта ISA-101 «Human Machine Interfaces for Process Automation Systems» и руководства NUREG-0700 по проектированию диспетчерских интерфейсов для критической инфраструктуры [17].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Интерфейс диспетчера реализован как веб-приложение и включает следующие основные экраны: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Обзорная мнемосхема. </w:t>
      </w:r>
      <w:r>
        <w:rPr>
          <w:rFonts w:ascii="Times New Roman" w:hAnsi="Times New Roman"/>
          <w:b w:val="0"/>
          <w:i w:val="0"/>
          <w:color w:val="000000"/>
          <w:sz w:val="28"/>
        </w:rPr>
        <w:t>отображает однолинейную схему автоматизированного участка ВЛ 6–10 кВ с графическим представлением реклоузеров, трансформаторных подстанций и участков линии. Реклоузеры отображаются в виде стандартных условных графических обозначений с цветовой индикацией состояния: зелёный — включён, красный — отключён, жёлтый — нет связи, мигающий красный — аварийное отключение. Рядом с каждым реклоузером отображаются числовые значения тока и напряжения;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Панель телеизмерений. </w:t>
      </w:r>
      <w:r>
        <w:rPr>
          <w:rFonts w:ascii="Times New Roman" w:hAnsi="Times New Roman"/>
          <w:b w:val="0"/>
          <w:i w:val="0"/>
          <w:color w:val="000000"/>
          <w:sz w:val="28"/>
        </w:rPr>
        <w:t>табличное представление всех контролируемых параметров с текущими значениями, единицами измерения и индикацией качества данных. Параметры, вышедшие за пределы уставок, выделяются цветом. Для каждого параметра доступен переход к графику изменения во времени (тренд);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Журнал событий. </w:t>
      </w:r>
      <w:r>
        <w:rPr>
          <w:rFonts w:ascii="Times New Roman" w:hAnsi="Times New Roman"/>
          <w:b w:val="0"/>
          <w:i w:val="0"/>
          <w:color w:val="000000"/>
          <w:sz w:val="28"/>
        </w:rPr>
        <w:t>хронологический список событий с возможностью фильтрации по типу, устройству и уровню критичности. Новые события добавляются в реальном времени через WebSocket. Аварийные события сопровождаются звуковым сигналом и требуют квитирования оператором;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Панель алармов. </w:t>
      </w:r>
      <w:r>
        <w:rPr>
          <w:rFonts w:ascii="Times New Roman" w:hAnsi="Times New Roman"/>
          <w:b w:val="0"/>
          <w:i w:val="0"/>
          <w:color w:val="000000"/>
          <w:sz w:val="28"/>
        </w:rPr>
        <w:t>отображает только активные аварийные состояния, требующие внимания оператора. Алармы отсортированы по уровню критичности и снабжены рекомендациями по устранению;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 xml:space="preserve">Панель трендов. </w:t>
      </w:r>
      <w:r>
        <w:rPr>
          <w:rFonts w:ascii="Times New Roman" w:hAnsi="Times New Roman"/>
          <w:b w:val="0"/>
          <w:i w:val="0"/>
          <w:color w:val="000000"/>
          <w:sz w:val="28"/>
        </w:rPr>
        <w:t>интерактивные графики изменения параметров во времени с возможностью выбора временного диапазона, масштабирования и наложения нескольких параметров на один график. Для построения графиков используется библиотека Chart.js.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При проектировании цветовой палитры интерфейса использован принцип минимализма: основной фон — тёмно-серый (#2C3E50) для снижения утомляемости глаз при длительной работе, цвета индикации соответствуют стандарту МЭК 60073 «Основные и общие правила кодирования и индикации»: зелёный — нормальное состояние, жёлтый — предупреждение, красный — авария, синий — информационное сообщение [18].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передачи данных между сервером и клиентским интерфейсом используется два механизма. REST API (HTTP-запросы) применяется для получения исторических данных, конфигурации устройств и выполнения команд управления. WebSocket используется для передачи обновлений в реальном времени: новых телеизмерений, событий и изменений состояния устройств. Такое сочетание обеспечивает оптимальное распределение нагрузки: REST API обрабатывает относительно редкие запросы больших объёмов данных, а WebSocket обеспечивает мгновенную доставку оперативной информации [19].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обеспечения безопасности доступа в прототипе реализованы механизмы аутентификации (проверка логина и пароля) и авторизации (разграничение прав доступа на уровне ролей: оператор, инженер, администратор). Все действия пользователей протоколируются в журнале событий [20].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Таким образом, разработанный прототип SCADA-системы реализует полный цикл обработки телеметрических данных: от приёма по протоколу МЭК 60870-5-104 до визуализации в веб-интерфейсе диспетчера. Модульная архитектура прототипа позволяет расширять функциональность без существенной переработки базовых компонентов.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Отдельного рассмотрения заслуживает процесс выполнения дистанционного управления реклоузером через интерфейс диспетчера. Команда телеуправления является критически важной операцией, требующей повышенных мер безопасности для предотвращения ошибочных и несанкционированных действий.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Процесс телеуправления реализован по схеме «Select-Before-Operate» (SBO), предусмотренной стандартом МЭК 60870-5-104. Последовательность действий следующая. Диспетчер выбирает на мнемосхеме реклоузер, которым необходимо управлять, и нажимает кнопку «Управление». Система отображает диалоговое окно с текущим состоянием реклоузера и доступными командами (включить/отключить). После выбора команды система отправляет команду типа «Select» (C_SC_NA_1 с флагом SE=1) на контроллер реклоузера и ожидает подтверждения готовности. При получении положительного подтверждения (Activation Confirmation) диспетчеру предлагается подтвердить выполнение команды. После подтверждения отправляется команда «Execute» (C_SC_NA_1 с флагом SE=0), и система ожидает подтверждения выполнения (Activation Termination). Все этапы процесса протоколируются в журнале событий с указанием имени оператора, времени и результата.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Для предотвращения ошибочных действий в интерфейсе реализованы следующие защитные механизмы: подтверждение команды двойным нажатием; отображение предупреждения при попытке управления устройством с истёкшей сессией связи; блокировка одновременного управления несколькими реклоузерами одним оператором; автоматическая отмена команды при отсутствии подтверждения от контроллера в течение 30 секунд (таймаут t1 протокола IEC 104).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8"/>
      </w:rPr>
      <w:fldChar w:fldCharType="begin"/>
    </w:r>
    <w:r>
      <w:rPr>
        <w:rFonts w:ascii="Times New Roman" w:hAnsi="Times New Roman"/>
        <w:sz w:val="28"/>
      </w:rPr>
      <w:instrText xml:space="preserve"> PAGE </w:instrText>
    </w:r>
    <w:r>
      <w:rPr>
        <w:rFonts w:ascii="Times New Roman" w:hAnsi="Times New Roman"/>
        <w:sz w:val="2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