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2" w:name="_bm_glava_4"/>
      <w:pPr>
        <w:pageBreakBefore/>
        <w:spacing w:before="0" w:after="24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Глава 4. Оценка эффективности и перспектив внедрения системы мониторинга</w:t>
      </w:r>
      <w:bookmarkEnd w:id="22"/>
    </w:p>
    <w:p>
      <w:bookmarkStart w:id="23" w:name="_bm_section_4_1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 Анализ работы прототипа системы мониторинга в различных режимах эксплуатации</w:t>
      </w:r>
      <w:bookmarkEnd w:id="23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верификации работоспособности разработанного прототипа SCADA-системы проведено тестирование в трёх основных режимах эксплуатации: нормальном, аварийном и при потере канала связи. Тестирование выполнено с использованием программного имитатора контроллера реклоузера, моделирующего передачу телеметрических данных по протоколу МЭК 60870-5-104 [1].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нормальном режиме эксплуатации имитатор генерировал периодические телеизмерения (напряжение, ток, мощность, частота) с интервалом 2 секунды и случайными вариациями значений в пределах нормального рабочего диапазона. Тестирование в нормальном режиме проводилось непрерывно в течение 72 часов. Результаты тестирования представлены в таблице 5.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7 – Результаты тестирования в нормальном режиме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Показатель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Требуемое значение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Фактическое значение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Результат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приёма телеизмерения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≤ 2 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1,2–1,8 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Соответствует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обработки и записи в БД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≤ 100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15–40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Соответствует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отображения в интерфейсе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≤ 500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120–300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Соответствует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Потеря данных за 72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Соответствует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Загрузка CPU сервера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≤ 30%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8–12%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Соответствует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Потребление RAM сервера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≤ 2 ГБ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350–450 МБ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Соответствует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Объём БД за 72 ч (3 устройства)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–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185 МБ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–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аварийном режиме имитатор моделировал следующие сценарии: короткое замыкание на линии (резкое возрастание тока до 3–5 кратных значений с последующим срабатыванием защиты), перенапряжение (увеличение напряжения выше 110% номинального), обрыв фазы (падение тока одной фазы до нуля). Для каждого сценария фиксировались: время обнаружения аварии системой, корректность классификации события и время доставки уведомления на рабочую станцию диспетчера [2].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тестирования в аварийном режиме представлены в таблице 6.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8 – Результаты тестирования в аварийном режиме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Сценарий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обнаружения,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Корректность классификации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уведомления, мс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Короткое замыкание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120–180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250–400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Перенапряжение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85–130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200–350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Обрыв фазы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150–220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300–450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Замыкание на землю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130–190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280–420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Потеря питания ТП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2000–3000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95%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2500–3500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Тестирование при потере канала связи проводилось путём программного разрыва TCP-соединения между имитатором и сервером SCADA. Фиксировались: время обнаружения потери связи, поведение системы в период отсутствия связи и корректность восстановления данных после возобновления соединения [3].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обнаружила потерю связи через 15–20 секунд (определяется таймаутом тестовых кадров TESTFR протокола IEC 104). В период отсутствия связи на мнемосхеме диспетчера состояние реклоузера отображалось как «Нет связи» (жёлтый цвет), а все телеизмерения от данного устройства помечались дескриптором качества «Invalid». После восстановления соединения имитатор передал буферизованные данные за период потери связи, которые были корректно обработаны и записаны в базу данных с сохранением оригинальных меток времени. Время полной синхронизации после восстановления связи составило от 3 до 8 секунд в зависимости от объёма накопленных данных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Дополнительно было проведено нагрузочное тестирование прототипа для оценки предельной производительности системы. В ходе теста количество имитируемых устройств последовательно увеличивалось с 3 до 100, при этом каждое устройство передавало 40 аналоговых параметров с периодом 2 секунды. Результаты нагрузочного тестирования показали следующее: при 10 устройствах (400 параметров) загрузка CPU составила 15%, потребление RAM — 480 МБ, время обработки одного пакета — 25 мс; при 30 устройствах (1 200 параметров) загрузка CPU достигла 35%, RAM — 620 МБ, время обработки — 45 мс; при 50 устройствах (2 000 параметров) загрузка CPU составила 55%, RAM — 850 МБ, время обработки — 75 мс; при 100 устройствах (4 000 параметров) загрузка CPU достигла 90%, RAM — 1,4 ГБ, время обработки — 150 мс.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Нагрузочное тестирование выявило узкое место в подсистеме записи в базу данных: при количестве устройств более 50 начинает сказываться ограничение SQLite на количество одновременных операций записи. Для промышленного применения необходим переход на СУБД PostgreSQL с поддержкой параллельной записи и партиционирования таблиц.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Также было проведено тестирование сценария одновременного срабатывания защит нескольких реклоузеров (каскадное отключение). При одновременном получении аварийных телеграмм от трёх реклоузеров система корректно обработала все события, сформировала три отдельных аларма и передала их на рабочую станцию диспетчера в течение 500 мс. Журнал событий корректно отобразил последовательность срабатываний с точностью до миллисекунды, что подтвердило правильность работы механизма временных меток.</w:t>
      </w:r>
    </w:p>
    <w:p>
      <w:bookmarkStart w:id="24" w:name="_bm_section_4_2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 Влияние внедрения SCADA на управляемость и надёжность распределительной сети</w:t>
      </w:r>
      <w:bookmarkEnd w:id="24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Оценка влияния внедрения SCADA-системы на показатели надёжности электроснабжения выполнена на основе статистических данных о технологических нарушениях на типовом участке ВЛ 10 кВ филиала ПАО «Россети» протяжённостью 18 км, обслуживающем 12 трансформаторных подстанций 10/0,4 кВ с общей нагрузкой около 3500 потребителей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оценки используются международные индексы надёжности электроснабжения SAIDI и SAIFI, рекомендованные стандартом IEEE 1366: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SAIDI (System Average Interruption Duration Index) — </w:t>
      </w:r>
      <w:r>
        <w:rPr>
          <w:rFonts w:ascii="Times New Roman" w:hAnsi="Times New Roman"/>
          <w:b w:val="0"/>
          <w:i w:val="0"/>
          <w:color w:val="000000"/>
          <w:sz w:val="28"/>
        </w:rPr>
        <w:t>средняя продолжительность перерывов электроснабжения на одного потребителя за год, измеряется в часах/год;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SAIFI (System Average Interruption Frequency Index) — </w:t>
      </w:r>
      <w:r>
        <w:rPr>
          <w:rFonts w:ascii="Times New Roman" w:hAnsi="Times New Roman"/>
          <w:b w:val="0"/>
          <w:i w:val="0"/>
          <w:color w:val="000000"/>
          <w:sz w:val="28"/>
        </w:rPr>
        <w:t>среднее количество перерывов электроснабжения на одного потребителя за год, измеряется в ед./год.</w:t>
      </w:r>
    </w:p>
    <w:p>
      <w:pPr>
        <w:spacing w:before="120" w:after="120" w:line="360" w:lineRule="auto"/>
        <w:ind w:firstLine="0"/>
        <w:tabs>
          <w:tab w:val="center" w:pos="4677"/>
          <w:tab w:val="right" w:pos="9354"/>
        </w:tabs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SAIDI = Σ(ri × Ni) / NT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(4.1)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ri — длительность i-го перерыва электроснабжения, ч; Ni — количество потребителей, затронутых i-м перерывом; NT — общее количество обслуживаемых потребителей.</w:t>
      </w:r>
    </w:p>
    <w:p>
      <w:pPr>
        <w:spacing w:before="120" w:after="120" w:line="360" w:lineRule="auto"/>
        <w:ind w:firstLine="0"/>
        <w:tabs>
          <w:tab w:val="center" w:pos="4677"/>
          <w:tab w:val="right" w:pos="9354"/>
        </w:tabs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SAIFI = ΣNi / NT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(4.2)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Ni — количество потребителей, затронутых i-м перерывом; NT — общее количество обслуживаемых потребителей.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9 – Сравнение показателей надёжности до и после внедрения SCADA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Показатель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Без SCADA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 SCADA (прогноз)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Улучшение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обнаружения аварии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2–6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0,25–0,5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 6–12 раз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локализации повреждения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1–3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0,1–0,3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 5–10 раз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Среднее число аварий в год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12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12*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–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Среднее время восстановления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4,5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1,2 ч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 3,8 раза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SAIDI, ч/год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15,8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4,2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 3,8 раза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SAIFI, ед./год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3,4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2,1**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 1,6 раза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Недоотпуск электроэнергии, МВт·ч/год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42,5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11,3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 3,8 раза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Примечание: * — SCADA-система не уменьшает количество аварий на линии, но сокращает время реагирования; ** — снижение SAIFI обусловлено уменьшением зоны отключения за счёт автоматического секционирования реклоузерами.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Как видно из таблицы 7, наиболее значительное улучшение достигается по показателю SAIDI: среднее время перерывов электроснабжения сокращается с 15,8 до 4,2 часов на потребителя в год, что обусловлено кардинальным сокращением времени обнаружения и локализации повреждения. При наличии SCADA-системы диспетчер получает информацию о срабатывании защиты реклоузера в течение нескольких секунд (вместо нескольких часов при традиционной системе оповещения через звонки потребителей), а место повреждения определяется автоматически по данным о том, какие именно реклоузеры зафиксировали сверхтоки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Экономический эффект от сокращения недоотпуска электроэнергии рассчитывается по формуле (4.3).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Эн = (Wн.без – Wн.с) × Тэ</w:t>
        <w:tab/>
        <w:t>(4.3)</w:t>
      </w:r>
    </w:p>
    <w:p>
      <w:pPr>
        <w:spacing w:before="120" w:after="120" w:line="360" w:lineRule="auto"/>
        <w:ind w:firstLine="0"/>
        <w:tabs>
          <w:tab w:val="center" w:pos="4677"/>
          <w:tab w:val="right" w:pos="9354"/>
        </w:tabs>
      </w:pPr>
      <w:r>
        <w:rPr>
          <w:rFonts w:ascii="Times New Roman" w:hAnsi="Times New Roman"/>
          <w:sz w:val="28"/>
        </w:rPr>
        <w:t>При среднем тарифе 5,5 руб./кВт·ч экономический эффект от сокращения недоотпуска составляет: Эн = (42,5 – 11,3) × 1000 × 5,5 = 171 600 руб./год на один участок ВЛ. Дополнительный экономический эффект формируется за счёт сокращения затрат на выездные осмотры линии и оплату труда ремонтного персонала [8].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Wн.без и Wн.с — недоотпуск электроэнергии без SCADA и с SCADA соответственно, МВт·ч/год; Тэ — средний тариф на электроэнергию для конечных потребителей [7].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8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aid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4 – Сравнение показателей надёжности и времени реакции на аварии</w:t>
      </w:r>
    </w:p>
    <w:p>
      <w:bookmarkStart w:id="25" w:name="_bm_section_4_3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 Сравнение разработанного решения с существующими SCADA-решениями</w:t>
      </w:r>
      <w:bookmarkEnd w:id="25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объективной оценки конкурентоспособности разработанного прототипа проведён сравнительный анализ с тремя коммерческими SCADA-системами, широко применяемыми в электросетевом комплексе России: Siemens WinCC, MasterSCADA (компания «ИнСАТ») и платформа «ЭНТЕК» (компания «ТомскСофт»). Сравнение выполнено по критериям, наиболее значимым для задачи мониторинга ВЛ 6–10 кВ [9].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сравнительного анализа представлены в таблице 8.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10 – Сравнение прототипа с коммерческими SCADA-системами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Критерий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SmartGrid Line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Siemens WinCC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MasterSCADA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ЭНТЕК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Стоимость лицензии (30 устр.)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 руб.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от 500 тыс. руб.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от 200 тыс. руб.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от 80 тыс. руб.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TCO за 5 лет (30 устр.)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4 045 тыс. руб.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4 150 тыс. руб.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3 150 тыс. руб.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2 800 тыс. руб.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Протоколы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IEC 104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IEC 104, 61850, OPC UA, Modbus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IEC 104, Modbus, OPC UA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IEC 104, Modbus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Масштабируемость (макс. устр.)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100*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256 000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500 000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100 000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Задержка обработки (мс)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15–40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20–50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25–60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30–80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Задержка отображения (мс)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120–300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200–500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150–400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300–800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Веб-интерфейс (WebSocket)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 (встроенный)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Доп. модуль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Работа на Linux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Открытый исходный код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Мобильный доступ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 (адаптивный)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Доп. модуль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Горячее резервирование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Нет**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Частично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Реестр отечест. ПО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Нет***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Нет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</w:tr>
      <w:tr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Техническая поддержка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Самостоят.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Ограничена****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Полная</w:t>
            </w:r>
          </w:p>
        </w:tc>
        <w:tc>
          <w:tcPr>
            <w:tcW w:type="dxa" w:w="1871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Полная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Примечания к таблице 9: * — ограничение прототипа, при доработке масштабируется; ** — в прототипе не реализовано, предусмотрено архитектурой; *** — возможно включение после доработки до промышленного уровня; **** — техническая поддержка Siemens ограничена в связи с санкционным режимом.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Сравнительный анализ показывает, что по ключевому для задачи мониторинга ВЛ показателю — задержке обработки данных — прототип SmartGrid Line демонстрирует лучшие результаты: 15–40 мс против 20–50 мс у WinCC и 25–60 мс у MasterSCADA. Задержка отображения данных в веб-интерфейсе составляет 120–300 мс, что в 1,3–2,7 раза быстрее конкурентов за счёт прямого WebSocket-канала без промежуточных шлюзов. При этом стоимость лицензии равна нулю, а TCO за 5 лет для типовой инсталляции на 30 устройств составляет 4 045 тыс. руб. — сопоставимо с WinCC (4 150 тыс. руб.) и MasterSCADA (3 150 тыс. руб.) [10].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Открытый исходный код позволяет адаптировать систему под конкретные требования заказчика без зависимости от вендора. Кроссплатформенность (работа на Linux) соответствует требованиям импортозамещения операционных систем. Встроенный веб-интерфейс с поддержкой WebSocket обеспечивает мониторинг в реальном времени без необходимости установки дополнительных модулей.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Вместе с тем, прототип имеет объективные ограничения: масштабируемость ограничена 100 устройствами (SQLite не предназначена для высоконагруженных систем, переход на PostgreSQL увеличит предел до 10 000+ устройств); отсутствует горячее резервирование (реализуемо на этапе промышленной доработки); нет сертификации и включения в реестр отечественного ПО. Также прототип поддерживает только протокол МЭК 60870-5-104, тогда как WinCC поддерживает 4+ протокола, что ограничивает интеграцию с разнородным оборудованием [11].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84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5 – Сравнение задержек обработки и совокупной стоимости владения SCADA-систем</w:t>
      </w:r>
    </w:p>
    <w:p>
      <w:bookmarkStart w:id="26" w:name="_bm_section_4_4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4.4 Учёт рыночных тенденций и перспектив промышленного внедрения системы</w:t>
      </w:r>
      <w:bookmarkEnd w:id="26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Анализ рыночных тенденций в области автоматизации распределительных электрических сетей позволяет оценить перспективы коммерциализации разработанного решения и определить его целевую нишу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Российский рынок систем автоматизации электросетей характеризуется следующими ключевыми тенденциями: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Импортозамещение. </w:t>
      </w:r>
      <w:r>
        <w:rPr>
          <w:rFonts w:ascii="Times New Roman" w:hAnsi="Times New Roman"/>
          <w:b w:val="0"/>
          <w:i w:val="0"/>
          <w:color w:val="000000"/>
          <w:sz w:val="28"/>
        </w:rPr>
        <w:t>в условиях ограничения поставок зарубежного оборудования и программного обеспечения электросетевые компании активно ищут отечественные аналоги SCADA-систем. По данным ПАО «Россети», доля импортного ПО в АСУ ТП подстанций составляет около 60%, и к 2027 году планируется снизить этот показатель до 20%. Это создаёт значительный спрос на отечественные разработки, включая решения с открытым исходным кодом;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Цифровая трансформация. </w:t>
      </w:r>
      <w:r>
        <w:rPr>
          <w:rFonts w:ascii="Times New Roman" w:hAnsi="Times New Roman"/>
          <w:b w:val="0"/>
          <w:i w:val="0"/>
          <w:color w:val="000000"/>
          <w:sz w:val="28"/>
        </w:rPr>
        <w:t>программа цифровой трансформации электросетевого комплекса предусматривает оснащение средствами телемеханики 100% питающих центров и не менее 50% распределительных линий 6–10 кВ к 2030 году. При текущем уровне автоматизации ВЛ 6–10 кВ около 15–20% это означает необходимость оснащения более 200 000 км линий, что формирует рынок объёмом десятки миллиардов рублей;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Переход к открытым стандартам. </w:t>
      </w:r>
      <w:r>
        <w:rPr>
          <w:rFonts w:ascii="Times New Roman" w:hAnsi="Times New Roman"/>
          <w:b w:val="0"/>
          <w:i w:val="0"/>
          <w:color w:val="000000"/>
          <w:sz w:val="28"/>
        </w:rPr>
        <w:t>отрасль движется от проприетарных протоколов к открытым стандартам (МЭК 61850, МЭК 60870-5-104, OPC UA), что снижает барьеры входа для новых разработчиков и повышает интероперабельность систем;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Облачные технологии и IIoT. </w:t>
      </w:r>
      <w:r>
        <w:rPr>
          <w:rFonts w:ascii="Times New Roman" w:hAnsi="Times New Roman"/>
          <w:b w:val="0"/>
          <w:i w:val="0"/>
          <w:color w:val="000000"/>
          <w:sz w:val="28"/>
        </w:rPr>
        <w:t>появление платформ промышленного Интернета вещей и облачных SCADA-систем открывает новые возможности для мониторинга территориально распределённых объектов при минимальных затратах на инфраструктуру.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Экономическая оценка внедрения разработанного решения выполнена для типового сценария: оснащение системой мониторинга 10 участков ВЛ 10 кВ (30 реклоузеров) в одном районе электрических сетей. Расчёт экономического эффекта представлен в таблице 9.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11 – Экономическая оценка внедрения системы мониторинга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4677"/>
        <w:gridCol w:w="4677"/>
      </w:tblGrid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Статья затрат/доходов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Значение, тыс. руб.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Единовременные затраты: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Серверное оборудование (основной + резервный)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850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Лицензии ПО (нет, открытый код)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Коммуникационное оборудование (30 SIM-карт)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Настройка и пусконаладка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600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Обучение персонала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Итого единовременные затраты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1 645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Ежегодные затраты: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Мобильная связь (30 SIM × 500 руб./мес.)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180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Техническая поддержка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Итого ежегодные затраты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480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Ежегодный экономический эффект: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Сокращение недоотпуска электроэнергии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1 716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Сокращение затрат на выездные осмотры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540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Снижение затрат на ремонт (раннее обнаружение)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380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 Итого ежегодный эффект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2 636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Чистый ежегодный эффект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2 156</w:t>
            </w:r>
          </w:p>
        </w:tc>
      </w:tr>
      <w:tr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Срок окупаемости</w:t>
            </w:r>
          </w:p>
        </w:tc>
        <w:tc>
          <w:tcPr>
            <w:tcW w:type="dxa" w:w="4677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0,76 года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Как показывает расчёт, срок окупаемости внедрения системы мониторинга составляет менее одного года, что свидетельствует о высокой экономической эффективности решения. Основной экономический эффект формируется за счёт сокращения времени обнаружения и устранения аварий, что приводит к уменьшению недоотпуска электроэнергии и штрафных санкций за нарушение качества электроснабжения [13].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Перспективы развития разработанного решения включают следующие направления: масштабирование системы для мониторинга сотен и тысяч объектов с переходом на СУБД PostgreSQL и микросервисную архитектуру; добавление модулей предиктивной аналитики на основе алгоритмов машинного обучения для прогнозирования аварий; интеграция с ГИС-платформами для визуализации объектов на карте; разработка мобильного приложения для аварийных бригад; прохождение процедуры включения в Единый реестр российских программ [14].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Проведённый анализ SWOT-факторов показывает, что к сильным сторонам разработки относятся: открытый исходный код, низкая стоимость внедрения, соответствие стандартам МЭК, кроссплатформенность. К слабым сторонам: отсутствие промышленной сертификации, ограниченная масштабируемость прототипа, необходимость доработки до промышленного уровня. Возможности определяются растущим спросом на отечественные SCADA-решения и государственной поддержкой импортозамещения. Угрозы связаны с конкуренцией со стороны крупных отечественных разработчиков (ИнСАТ, ТомскСофт) и потенциальным ослаблением санкционного давления [15].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Таким образом, результаты оценки эффективности подтверждают работоспособность и экономическую целесообразность разработанного прототипа SCADA-системы для мониторинга ВЛ 6–10 кВ. Разработка имеет значительный потенциал для коммерциализации в условиях растущего спроса на отечественные решения в области автоматизации электросетей.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84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conom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6 – Структура экономического эффекта и срок окупаемости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