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27" w:name="_bm_zaklyuchenie"/>
      <w:pPr>
        <w:spacing w:before="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  <w:bookmarkEnd w:id="27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настоящей выпускной квалификационной работе проведено исследование и разработка прототипа системы мониторинга автоматизированного участка воздушной линии электропередачи 6–10 кВ для интеграции в SCADA-систему. По результатам работы сформулированы следующие основные выводы.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первой главе выполнен анализ существующих SCADA-систем, применяемых в распределительных электрических сетях. Сравнительный анализ четырёх SCADA-платформ (Siemens WinCC, MasterSCADA, ClearSCADA, ЭНТЕК) по 13 критериям выявил, что ни одна из существующих систем не обеспечивает оптимального сочетания стоимости, открытости и адаптируемости для задач мониторинга ВЛ 6–10 кВ. Сформулированы требования к системе мониторинга на основе ПУЭ, РД 34.35.127-93, ГОСТ 32144-2013 и IEEE 1366-2012.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 второй главе разработана трёхуровневая архитектура системы мониторинга (полевой, коммуникационный, диспетчерский уровни) для участка протяжённостью 18 км с 12 трансформаторными подстанциями и 3 500 потребителями. Обоснован выбор GSM/GPRS (скорость 20–85 Кбит/с, суточный трафик 4–5 МБ) с резервированием через LTE. Расчёт показателей надёжности подтвердил достижение коэффициента готовности 0,997 при MTBF не менее 25 000 часов.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третьей главе выполнена разработка программного прототипа SCADA-системы на Python 3.10 (Flask, SQLite, WebSocket). Реализован клиент протокола МЭК 60870-5-104 с поддержкой 7 типов информационных объектов. Выполнен расчёт нагрузки на серверную инфраструктуру: прототип обрабатывает 60 INSERT/с при 3 устройствах (загрузка CPU 8–12%) и до 2 000 INSERT/с при 100 устройствах (загрузка CPU 85–95%). Определён критический порог масштабируемости — 50 устройств с запасом производительности 30%.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четвёртой главе проведена комплексная оценка эффективности разработанного прототипа. Тестирование подтвердило соответствие всем установленным требованиям. Достигнуты следующие количественные результаты: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Показатель SAIDI снижается на 73,4% — с 15,8 до 4,2 часов/год на потребителя. Время обнаружения аварии сокращается на 83–92% — с 2–6 часов до 0,25–0,5 часа. Время локализации повреждения сокращается на 90% — с 1–3 часов до 0,1–0,3 часа. Среднее время восстановления электроснабжения сокращается на 73,3% — с 4,5 до 1,2 часа. Недоотпуск электроэнергии снижается на 73,4% — с 42,5 до 11,3 МВт·ч/год. Задержка обработки телеметрии составляет 15–40 мс, что в 1,3–1,5 раза быстрее коммерческих аналогов. Потеря данных за 72 часа непрерывного тестирования — 0%. Экономический эффект: 2 636 тыс. руб./год при затратах 1 645 тыс. руб. (единовременно) и 480 тыс. руб./год; срок окупаемости — 0,76 года (9,1 месяца).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Перспективы дальнейшего развития включают:</w:t>
      </w:r>
    </w:p>
    <w:p>
      <w:pPr>
        <w:spacing w:before="0" w:after="0" w:line="360" w:lineRule="auto"/>
        <w:ind w:firstLine="709"/>
        <w:jc w:val="both"/>
      </w:pPr>
      <w:pPr/>
      <w:r>
        <w:rPr>
          <w:rFonts w:ascii="Times New Roman" w:hAnsi="Times New Roman" w:cs="Times New Roman"/>
          <w:b w:val="0"/>
          <w:i w:val="0"/>
          <w:sz w:val="28"/>
        </w:rPr>
        <w:t>– переход на PostgreSQL/TimescaleDB (увеличение пропускной способности записи в 8–10 раз);</w:t>
      </w:r>
    </w:p>
    <w:p>
      <w:pPr>
        <w:spacing w:before="0" w:after="0" w:line="360" w:lineRule="auto"/>
        <w:ind w:firstLine="709"/>
        <w:jc w:val="both"/>
      </w:pPr>
      <w:pPr/>
      <w:r>
        <w:rPr>
          <w:rFonts w:ascii="Times New Roman" w:hAnsi="Times New Roman" w:cs="Times New Roman"/>
          <w:b w:val="0"/>
          <w:i w:val="0"/>
          <w:sz w:val="28"/>
        </w:rPr>
        <w:t>– внедрение предиктивной аналитики на основе градиентного бустинга (прогнозируемая точность 70–80% при горизонте 6–12 часов);</w:t>
      </w:r>
    </w:p>
    <w:p>
      <w:pPr>
        <w:spacing w:before="0" w:after="0" w:line="360" w:lineRule="auto"/>
        <w:ind w:firstLine="709"/>
        <w:jc w:val="both"/>
      </w:pPr>
      <w:pPr/>
      <w:r>
        <w:rPr>
          <w:rFonts w:ascii="Times New Roman" w:hAnsi="Times New Roman" w:cs="Times New Roman"/>
          <w:b w:val="0"/>
          <w:i w:val="0"/>
          <w:sz w:val="28"/>
        </w:rPr>
        <w:t>– интеграцию с ГИС-платформами (OpenStreetMap + Leaflet.js);</w:t>
      </w:r>
    </w:p>
    <w:p>
      <w:pPr>
        <w:spacing w:before="0" w:after="0" w:line="360" w:lineRule="auto"/>
        <w:ind w:firstLine="709"/>
        <w:jc w:val="both"/>
      </w:pPr>
      <w:pPr/>
      <w:r>
        <w:rPr>
          <w:rFonts w:ascii="Times New Roman" w:hAnsi="Times New Roman" w:cs="Times New Roman"/>
          <w:b w:val="0"/>
          <w:i w:val="0"/>
          <w:sz w:val="28"/>
        </w:rPr>
        <w:t>– прохождение включения в Единый реестр российских программ.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