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1D19E3">
      <w:pPr>
        <w:keepNext/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  <w:outlineLvl w:val="0"/>
      </w:pPr>
      <w:bookmarkStart w:id="0" w:name="_Toc1123589725"/>
      <w:bookmarkStart w:id="1" w:name="_Toc1355177484"/>
      <w:r>
        <w:rPr>
          <w:rFonts w:ascii="Times New Roman" w:hAnsi="Times New Roman" w:eastAsia="Times New Roman"/>
          <w:b/>
          <w:sz w:val="28"/>
        </w:rPr>
        <w:t>АННОТАЦИЯ</w:t>
      </w:r>
      <w:bookmarkEnd w:id="0"/>
      <w:bookmarkEnd w:id="1"/>
    </w:p>
    <w:p w14:paraId="0310F1B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Работа посвящена разработке алгоритмов автоматики и схем дистанционного управления реклоузерами и разъединителями для автоматизированного участка распределительных сетей 6–10 кВ. Проведён анализ устройств и систем автоматики воздушных линий, рассмотрены функции реклоузеров и разъединителей с дистанционным управлением, а также нормативные требования ПУЭ и стандартов ПАО «Россети». Разработаны алгоритмы обнаружения и отключения коротких замыканий, секционирования повреждённого участка, автоматического восстановления питания неповреждённых секций. Предложены схемы дистанционного управления с использованием протоколов Modbus TCP и МЭК 60870-5-104. Создан программный прототип SCADA-системы на языке Python, подтверждающий работоспособность разработанных алгоритмов.</w:t>
      </w:r>
    </w:p>
    <w:p w14:paraId="66386895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Работа содержит 4 главы, 8 таблиц, 10 рисунков, 2 приложения. Список использованных источников включает 30 наименований.</w:t>
      </w:r>
    </w:p>
    <w:p w14:paraId="088FE000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Ключевые слова: распределительные сети 6–10 кВ, реклоузер, разъединитель, FLISR, секционирование, автоматическое повторное включение, SCADA, телемеханика, релейная защита.</w:t>
      </w:r>
    </w:p>
    <w:p w14:paraId="6127EB03">
      <w:pPr>
        <w:keepNext/>
        <w:keepLines w:val="0"/>
        <w:pageBreakBefore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 w:cs="Times New Roman"/>
          <w:b/>
          <w:sz w:val="28"/>
          <w:szCs w:val="28"/>
        </w:rPr>
        <w:t>СОДЕРЖАНИЕ</w:t>
      </w:r>
    </w:p>
    <w:p w14:paraId="7F5025F5">
      <w:pPr>
        <w:pStyle w:val="6"/>
        <w:tabs>
          <w:tab w:val="right" w:leader="dot" w:pos="9355"/>
        </w:tabs>
      </w:pPr>
      <w:r>
        <w:fldChar w:fldCharType="begin"/>
      </w:r>
      <w:r>
        <w:instrText xml:space="preserve"> TOC \h \z \u </w:instrText>
      </w:r>
      <w:r>
        <w:fldChar w:fldCharType="separate"/>
      </w:r>
      <w:r>
        <w:fldChar w:fldCharType="begin"/>
      </w:r>
      <w:r>
        <w:instrText xml:space="preserve"> HYPERLINK \l _Toc1355177484 </w:instrText>
      </w:r>
      <w:r>
        <w:fldChar w:fldCharType="separate"/>
      </w:r>
      <w:r>
        <w:rPr>
          <w:rFonts w:ascii="Times New Roman" w:hAnsi="Times New Roman" w:eastAsia="Times New Roman"/>
        </w:rPr>
        <w:t>АННОТАЦИЯ</w:t>
      </w:r>
      <w:r>
        <w:tab/>
      </w:r>
      <w:r>
        <w:fldChar w:fldCharType="begin"/>
      </w:r>
      <w:r>
        <w:instrText xml:space="preserve"> PAGEREF _Toc1355177484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80E2920">
      <w:pPr>
        <w:pStyle w:val="6"/>
        <w:tabs>
          <w:tab w:val="right" w:leader="dot" w:pos="9355"/>
        </w:tabs>
      </w:pPr>
      <w:r>
        <w:fldChar w:fldCharType="begin"/>
      </w:r>
      <w:r>
        <w:instrText xml:space="preserve"> HYPERLINK \l _Toc256413506 </w:instrText>
      </w:r>
      <w:r>
        <w:fldChar w:fldCharType="separate"/>
      </w:r>
      <w:r>
        <w:rPr>
          <w:rFonts w:ascii="Times New Roman" w:hAnsi="Times New Roman" w:eastAsia="Times New Roman"/>
        </w:rPr>
        <w:t>СПИСОК СОК</w:t>
      </w:r>
      <w:bookmarkStart w:id="52" w:name="_GoBack"/>
      <w:bookmarkEnd w:id="52"/>
      <w:r>
        <w:rPr>
          <w:rFonts w:ascii="Times New Roman" w:hAnsi="Times New Roman" w:eastAsia="Times New Roman"/>
        </w:rPr>
        <w:t>РАЩЕНИЙ И УСЛОВНЫХ ОБОЗНАЧЕНИЙ</w:t>
      </w:r>
      <w:r>
        <w:tab/>
      </w:r>
      <w:r>
        <w:fldChar w:fldCharType="begin"/>
      </w:r>
      <w:r>
        <w:instrText xml:space="preserve"> PAGEREF _Toc256413506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B31CD97">
      <w:pPr>
        <w:pStyle w:val="6"/>
        <w:tabs>
          <w:tab w:val="right" w:leader="dot" w:pos="9355"/>
        </w:tabs>
      </w:pPr>
      <w:r>
        <w:fldChar w:fldCharType="begin"/>
      </w:r>
      <w:r>
        <w:instrText xml:space="preserve"> HYPERLINK \l _Toc1689599460 </w:instrText>
      </w:r>
      <w:r>
        <w:fldChar w:fldCharType="separate"/>
      </w:r>
      <w:r>
        <w:rPr>
          <w:rFonts w:ascii="Times New Roman" w:hAnsi="Times New Roman" w:eastAsia="Times New Roman"/>
        </w:rPr>
        <w:t>ТЕРМИНЫ И ОПРЕДЕЛЕНИЯ</w:t>
      </w:r>
      <w:r>
        <w:tab/>
      </w:r>
      <w:r>
        <w:fldChar w:fldCharType="begin"/>
      </w:r>
      <w:r>
        <w:instrText xml:space="preserve"> PAGEREF _Toc1689599460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B947D4A">
      <w:pPr>
        <w:pStyle w:val="6"/>
        <w:tabs>
          <w:tab w:val="right" w:leader="dot" w:pos="9355"/>
        </w:tabs>
      </w:pPr>
      <w:r>
        <w:fldChar w:fldCharType="begin"/>
      </w:r>
      <w:r>
        <w:instrText xml:space="preserve"> HYPERLINK \l _Toc921859939 </w:instrText>
      </w:r>
      <w:r>
        <w:fldChar w:fldCharType="separate"/>
      </w:r>
      <w:r>
        <w:rPr>
          <w:rFonts w:ascii="Times New Roman" w:hAnsi="Times New Roman" w:eastAsia="Times New Roman"/>
        </w:rPr>
        <w:t>ВВЕДЕНИЕ</w:t>
      </w:r>
      <w:r>
        <w:tab/>
      </w:r>
      <w:r>
        <w:fldChar w:fldCharType="begin"/>
      </w:r>
      <w:r>
        <w:instrText xml:space="preserve"> PAGEREF _Toc921859939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4B79D76">
      <w:pPr>
        <w:pStyle w:val="6"/>
        <w:tabs>
          <w:tab w:val="right" w:leader="dot" w:pos="9355"/>
        </w:tabs>
      </w:pPr>
      <w:r>
        <w:fldChar w:fldCharType="begin"/>
      </w:r>
      <w:r>
        <w:instrText xml:space="preserve"> HYPERLINK \l _Toc1752965315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1 Устройства и структура системы автоматики автоматизированных ВЛ 6-10 кВ</w:t>
      </w:r>
      <w:r>
        <w:tab/>
      </w:r>
      <w:r>
        <w:fldChar w:fldCharType="begin"/>
      </w:r>
      <w:r>
        <w:instrText xml:space="preserve"> PAGEREF _Toc1752965315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EF9F1D4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_Toc759896012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1.1 Назначение и задачи автоматики в распределительных сетях 6-10 кВ</w:t>
      </w:r>
      <w:r>
        <w:tab/>
      </w:r>
      <w:r>
        <w:fldChar w:fldCharType="begin"/>
      </w:r>
      <w:r>
        <w:instrText xml:space="preserve"> PAGEREF _Toc759896012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B79C9A5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_Toc487024975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1.2 Классификация устройств и систем автоматики и управления</w:t>
      </w:r>
      <w:r>
        <w:tab/>
      </w:r>
      <w:r>
        <w:fldChar w:fldCharType="begin"/>
      </w:r>
      <w:r>
        <w:instrText xml:space="preserve"> PAGEREF _Toc487024975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B6FE80F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_Toc1368576108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1.3 Особенности применения автоматики на воздушных линиях 6-10 кВ</w:t>
      </w:r>
      <w:r>
        <w:tab/>
      </w:r>
      <w:r>
        <w:fldChar w:fldCharType="begin"/>
      </w:r>
      <w:r>
        <w:instrText xml:space="preserve"> PAGEREF _Toc1368576108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99348F9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_Toc2108787786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1.4 Нормативные требования к системам автоматики и дистанционного управления</w:t>
      </w:r>
      <w:r>
        <w:tab/>
      </w:r>
      <w:r>
        <w:fldChar w:fldCharType="begin"/>
      </w:r>
      <w:r>
        <w:instrText xml:space="preserve"> PAGEREF _Toc2108787786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52E3FD8B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_Toc326209214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1.5 Назначение и функции реклоузеров в распределительных сетях 6-10 кВ</w:t>
      </w:r>
      <w:r>
        <w:tab/>
      </w:r>
      <w:r>
        <w:fldChar w:fldCharType="begin"/>
      </w:r>
      <w:r>
        <w:instrText xml:space="preserve"> PAGEREF _Toc326209214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405F4DA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_Toc72508907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1.6 Назначение и функции разъединителей с дистанционным управлением</w:t>
      </w:r>
      <w:r>
        <w:tab/>
      </w:r>
      <w:r>
        <w:fldChar w:fldCharType="begin"/>
      </w:r>
      <w:r>
        <w:instrText xml:space="preserve"> PAGEREF _Toc72508907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6F78CCD1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_Toc1033972100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1.7 Структура системы автоматики автоматизированного участка ВЛ 6-10 кВ</w:t>
      </w:r>
      <w:r>
        <w:tab/>
      </w:r>
      <w:r>
        <w:fldChar w:fldCharType="begin"/>
      </w:r>
      <w:r>
        <w:instrText xml:space="preserve"> PAGEREF _Toc1033972100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159E1727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_Toc531413176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1.8 Взаимодействие реклоузеров и разъединителей в автоматизированной сети</w:t>
      </w:r>
      <w:r>
        <w:tab/>
      </w:r>
      <w:r>
        <w:fldChar w:fldCharType="begin"/>
      </w:r>
      <w:r>
        <w:instrText xml:space="preserve"> PAGEREF _Toc531413176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14F44E09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_Toc76761159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1.9 Структурные схемы дистанционного управления реклоузерами и разъединителями</w:t>
      </w:r>
      <w:r>
        <w:tab/>
      </w:r>
      <w:r>
        <w:fldChar w:fldCharType="begin"/>
      </w:r>
      <w:r>
        <w:instrText xml:space="preserve"> PAGEREF _Toc76761159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6808C171">
      <w:pPr>
        <w:pStyle w:val="6"/>
        <w:tabs>
          <w:tab w:val="right" w:leader="dot" w:pos="9355"/>
        </w:tabs>
      </w:pPr>
      <w:r>
        <w:fldChar w:fldCharType="begin"/>
      </w:r>
      <w:r>
        <w:instrText xml:space="preserve"> HYPERLINK \l _Toc1634611113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2 Разработка алгоритмов автоматики и дистанционного управления автоматизированным участком ВЛ</w:t>
      </w:r>
      <w:r>
        <w:tab/>
      </w:r>
      <w:r>
        <w:fldChar w:fldCharType="begin"/>
      </w:r>
      <w:r>
        <w:instrText xml:space="preserve"> PAGEREF _Toc1634611113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4228BF33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_Toc150680120 </w:instrText>
      </w:r>
      <w:r>
        <w:fldChar w:fldCharType="separate"/>
      </w:r>
      <w:r>
        <w:rPr>
          <w:rFonts w:hint="default" w:ascii="Times New Roman" w:hAnsi="Times New Roman" w:eastAsia="Times New Roman" w:cs="Times New Roman"/>
          <w:bCs/>
        </w:rPr>
        <w:t>2.1 Алгоритмы обнаружения аварийных режимов на воздушной линии</w:t>
      </w:r>
      <w:r>
        <w:tab/>
      </w:r>
      <w:r>
        <w:fldChar w:fldCharType="begin"/>
      </w:r>
      <w:r>
        <w:instrText xml:space="preserve"> PAGEREF _Toc150680120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7DBB64AF">
      <w:pPr>
        <w:pStyle w:val="8"/>
        <w:tabs>
          <w:tab w:val="right" w:leader="dot" w:pos="9355"/>
        </w:tabs>
      </w:pPr>
      <w:r>
        <w:fldChar w:fldCharType="begin"/>
      </w:r>
      <w:r>
        <w:instrText xml:space="preserve"> HYPERLINK \l _Toc597557027 </w:instrText>
      </w:r>
      <w:r>
        <w:fldChar w:fldCharType="separate"/>
      </w:r>
      <w:r>
        <w:rPr>
          <w:rFonts w:hint="default" w:ascii="Times New Roman" w:hAnsi="Times New Roman" w:eastAsia="Times New Roman" w:cs="Times New Roman"/>
          <w:bCs/>
        </w:rPr>
        <w:t>2.1.1 Расчёт уставок релейной защиты реклоузера автоматизированного участка ВЛ 6–10 кВ</w:t>
      </w:r>
      <w:r>
        <w:tab/>
      </w:r>
      <w:r>
        <w:fldChar w:fldCharType="begin"/>
      </w:r>
      <w:r>
        <w:instrText xml:space="preserve"> PAGEREF _Toc597557027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776370A9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_Toc1507419417 </w:instrText>
      </w:r>
      <w:r>
        <w:fldChar w:fldCharType="separate"/>
      </w:r>
      <w:r>
        <w:rPr>
          <w:rFonts w:hint="default" w:ascii="Times New Roman" w:hAnsi="Times New Roman" w:eastAsia="Times New Roman" w:cs="Times New Roman"/>
          <w:bCs/>
        </w:rPr>
        <w:t>2.2 Алгоритмы автоматического секционирования линии</w:t>
      </w:r>
      <w:r>
        <w:tab/>
      </w:r>
      <w:r>
        <w:fldChar w:fldCharType="begin"/>
      </w:r>
      <w:r>
        <w:instrText xml:space="preserve"> PAGEREF _Toc1507419417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274F97F8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_Toc1333557860 </w:instrText>
      </w:r>
      <w:r>
        <w:fldChar w:fldCharType="separate"/>
      </w:r>
      <w:r>
        <w:rPr>
          <w:rFonts w:hint="default" w:ascii="Times New Roman" w:hAnsi="Times New Roman" w:eastAsia="Times New Roman" w:cs="Times New Roman"/>
          <w:bCs/>
        </w:rPr>
        <w:t>2.3 Алгоритмы восстановления электроснабжения после аварии</w:t>
      </w:r>
      <w:r>
        <w:tab/>
      </w:r>
      <w:r>
        <w:fldChar w:fldCharType="begin"/>
      </w:r>
      <w:r>
        <w:instrText xml:space="preserve"> PAGEREF _Toc1333557860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37C354C8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_Toc1967612928 </w:instrText>
      </w:r>
      <w:r>
        <w:fldChar w:fldCharType="separate"/>
      </w:r>
      <w:r>
        <w:rPr>
          <w:rFonts w:hint="default" w:ascii="Times New Roman" w:hAnsi="Times New Roman" w:eastAsia="Times New Roman" w:cs="Times New Roman"/>
          <w:bCs/>
        </w:rPr>
        <w:t>2.4 Структурные схемы дистанционного управления реклоузерами и разъединителями</w:t>
      </w:r>
      <w:r>
        <w:tab/>
      </w:r>
      <w:r>
        <w:fldChar w:fldCharType="begin"/>
      </w:r>
      <w:r>
        <w:instrText xml:space="preserve"> PAGEREF _Toc1967612928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6B755B6A">
      <w:pPr>
        <w:pStyle w:val="6"/>
        <w:tabs>
          <w:tab w:val="right" w:leader="dot" w:pos="9355"/>
        </w:tabs>
      </w:pPr>
      <w:r>
        <w:fldChar w:fldCharType="begin"/>
      </w:r>
      <w:r>
        <w:instrText xml:space="preserve"> HYPERLINK \l _Toc569800743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3 Исследование работы разработанных алгоритмов</w:t>
      </w:r>
      <w:r>
        <w:tab/>
      </w:r>
      <w:r>
        <w:fldChar w:fldCharType="begin"/>
      </w:r>
      <w:r>
        <w:instrText xml:space="preserve"> PAGEREF _Toc569800743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05D8AC21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_Toc1011505628 </w:instrText>
      </w:r>
      <w:r>
        <w:fldChar w:fldCharType="separate"/>
      </w:r>
      <w:r>
        <w:rPr>
          <w:rFonts w:hint="default" w:ascii="Times New Roman" w:hAnsi="Times New Roman" w:eastAsia="Times New Roman" w:cs="Times New Roman"/>
          <w:bCs/>
        </w:rPr>
        <w:t>3.1 Работа системы автоматики в нормальных режимах эксплуатации</w:t>
      </w:r>
      <w:r>
        <w:tab/>
      </w:r>
      <w:r>
        <w:fldChar w:fldCharType="begin"/>
      </w:r>
      <w:r>
        <w:instrText xml:space="preserve"> PAGEREF _Toc1011505628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033A4A92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_Toc894540144 </w:instrText>
      </w:r>
      <w:r>
        <w:fldChar w:fldCharType="separate"/>
      </w:r>
      <w:r>
        <w:rPr>
          <w:rFonts w:hint="default" w:ascii="Times New Roman" w:hAnsi="Times New Roman" w:eastAsia="Times New Roman" w:cs="Times New Roman"/>
          <w:bCs/>
        </w:rPr>
        <w:t>3.2 Работа системы автоматики при аварийных режимах</w:t>
      </w:r>
      <w:r>
        <w:tab/>
      </w:r>
      <w:r>
        <w:fldChar w:fldCharType="begin"/>
      </w:r>
      <w:r>
        <w:instrText xml:space="preserve"> PAGEREF _Toc894540144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101161D3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_Toc3187561 </w:instrText>
      </w:r>
      <w:r>
        <w:fldChar w:fldCharType="separate"/>
      </w:r>
      <w:r>
        <w:rPr>
          <w:rFonts w:hint="default" w:ascii="Times New Roman" w:hAnsi="Times New Roman" w:eastAsia="Times New Roman" w:cs="Times New Roman"/>
          <w:bCs/>
        </w:rPr>
        <w:t>3.3 Оценка эффективности применения разработанных алгоритмов</w:t>
      </w:r>
      <w:r>
        <w:tab/>
      </w:r>
      <w:r>
        <w:fldChar w:fldCharType="begin"/>
      </w:r>
      <w:r>
        <w:instrText xml:space="preserve"> PAGEREF _Toc3187561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3FBC0A7E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_Toc2033730199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3.4 Ограничения и особенности практического применения алгоритмов</w:t>
      </w:r>
      <w:r>
        <w:tab/>
      </w:r>
      <w:r>
        <w:fldChar w:fldCharType="begin"/>
      </w:r>
      <w:r>
        <w:instrText xml:space="preserve"> PAGEREF _Toc2033730199 \h </w:instrText>
      </w:r>
      <w:r>
        <w:fldChar w:fldCharType="separate"/>
      </w:r>
      <w:r>
        <w:t>58</w:t>
      </w:r>
      <w:r>
        <w:fldChar w:fldCharType="end"/>
      </w:r>
      <w:r>
        <w:fldChar w:fldCharType="end"/>
      </w:r>
    </w:p>
    <w:p w14:paraId="4142985E">
      <w:pPr>
        <w:pStyle w:val="6"/>
        <w:tabs>
          <w:tab w:val="right" w:leader="dot" w:pos="9355"/>
        </w:tabs>
      </w:pPr>
      <w:r>
        <w:fldChar w:fldCharType="begin"/>
      </w:r>
      <w:r>
        <w:instrText xml:space="preserve"> HYPERLINK \l _Toc1553728941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4 Ориентация разработанных алгоритмов на промышленное внедрение</w:t>
      </w:r>
      <w:r>
        <w:tab/>
      </w:r>
      <w:r>
        <w:fldChar w:fldCharType="begin"/>
      </w:r>
      <w:r>
        <w:instrText xml:space="preserve"> PAGEREF _Toc1553728941 \h </w:instrText>
      </w:r>
      <w:r>
        <w:fldChar w:fldCharType="separate"/>
      </w:r>
      <w:r>
        <w:t>59</w:t>
      </w:r>
      <w:r>
        <w:fldChar w:fldCharType="end"/>
      </w:r>
      <w:r>
        <w:fldChar w:fldCharType="end"/>
      </w:r>
    </w:p>
    <w:p w14:paraId="15748645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_Toc121163867 </w:instrText>
      </w:r>
      <w:r>
        <w:fldChar w:fldCharType="separate"/>
      </w:r>
      <w:r>
        <w:rPr>
          <w:rFonts w:hint="default" w:ascii="Times New Roman" w:hAnsi="Times New Roman" w:eastAsia="Times New Roman" w:cs="Times New Roman"/>
          <w:bCs/>
        </w:rPr>
        <w:t>4.1 Требования сетевых организаций к системам автоматики распределительных сетей</w:t>
      </w:r>
      <w:r>
        <w:tab/>
      </w:r>
      <w:r>
        <w:fldChar w:fldCharType="begin"/>
      </w:r>
      <w:r>
        <w:instrText xml:space="preserve"> PAGEREF _Toc121163867 \h </w:instrText>
      </w:r>
      <w:r>
        <w:fldChar w:fldCharType="separate"/>
      </w:r>
      <w:r>
        <w:t>59</w:t>
      </w:r>
      <w:r>
        <w:fldChar w:fldCharType="end"/>
      </w:r>
      <w:r>
        <w:fldChar w:fldCharType="end"/>
      </w:r>
    </w:p>
    <w:p w14:paraId="40A73790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_Toc586615313 </w:instrText>
      </w:r>
      <w:r>
        <w:fldChar w:fldCharType="separate"/>
      </w:r>
      <w:r>
        <w:rPr>
          <w:rFonts w:hint="default" w:ascii="Times New Roman" w:hAnsi="Times New Roman" w:eastAsia="Times New Roman" w:cs="Times New Roman"/>
          <w:bCs/>
        </w:rPr>
        <w:t>4.2 Совместимость разработанных алгоритмов с существующим оборудованием и системами управления</w:t>
      </w:r>
      <w:r>
        <w:tab/>
      </w:r>
      <w:r>
        <w:fldChar w:fldCharType="begin"/>
      </w:r>
      <w:r>
        <w:instrText xml:space="preserve"> PAGEREF _Toc586615313 \h </w:instrText>
      </w:r>
      <w:r>
        <w:fldChar w:fldCharType="separate"/>
      </w:r>
      <w:r>
        <w:t>59</w:t>
      </w:r>
      <w:r>
        <w:fldChar w:fldCharType="end"/>
      </w:r>
      <w:r>
        <w:fldChar w:fldCharType="end"/>
      </w:r>
    </w:p>
    <w:p w14:paraId="1CCF0AD9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_Toc146142214 </w:instrText>
      </w:r>
      <w:r>
        <w:fldChar w:fldCharType="separate"/>
      </w:r>
      <w:r>
        <w:rPr>
          <w:rFonts w:hint="default" w:ascii="Times New Roman" w:hAnsi="Times New Roman" w:eastAsia="Times New Roman" w:cs="Times New Roman"/>
          <w:bCs/>
        </w:rPr>
        <w:t>4.3 Вопросы внедрения алгоритмов в действующие распределительные сети 6–10 кВ</w:t>
      </w:r>
      <w:r>
        <w:tab/>
      </w:r>
      <w:r>
        <w:fldChar w:fldCharType="begin"/>
      </w:r>
      <w:r>
        <w:instrText xml:space="preserve"> PAGEREF _Toc146142214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423E7122">
      <w:pPr>
        <w:pStyle w:val="7"/>
        <w:tabs>
          <w:tab w:val="right" w:leader="dot" w:pos="9355"/>
        </w:tabs>
      </w:pPr>
      <w:r>
        <w:fldChar w:fldCharType="begin"/>
      </w:r>
      <w:r>
        <w:instrText xml:space="preserve"> HYPERLINK \l _Toc1638382177 </w:instrText>
      </w:r>
      <w:r>
        <w:fldChar w:fldCharType="separate"/>
      </w:r>
      <w:r>
        <w:rPr>
          <w:rFonts w:hint="default" w:ascii="Times New Roman" w:hAnsi="Times New Roman" w:eastAsia="Times New Roman" w:cs="Times New Roman"/>
          <w:bCs/>
        </w:rPr>
        <w:t>4.4 Перспективы применения разработанных решений в промышленных условиях</w:t>
      </w:r>
      <w:r>
        <w:tab/>
      </w:r>
      <w:r>
        <w:fldChar w:fldCharType="begin"/>
      </w:r>
      <w:r>
        <w:instrText xml:space="preserve"> PAGEREF _Toc1638382177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3A249D7E">
      <w:pPr>
        <w:pStyle w:val="6"/>
        <w:tabs>
          <w:tab w:val="right" w:leader="dot" w:pos="9355"/>
        </w:tabs>
      </w:pPr>
      <w:r>
        <w:fldChar w:fldCharType="begin"/>
      </w:r>
      <w:r>
        <w:instrText xml:space="preserve"> HYPERLINK \l _Toc1253927005 </w:instrText>
      </w:r>
      <w:r>
        <w:fldChar w:fldCharType="separate"/>
      </w:r>
      <w:r>
        <w:rPr>
          <w:rFonts w:hint="default" w:ascii="Times New Roman" w:hAnsi="Times New Roman" w:eastAsia="Times New Roman" w:cs="Times New Roman Bold"/>
          <w:bCs/>
        </w:rPr>
        <w:t>ЗАКЛЮЧЕНИЕ</w:t>
      </w:r>
      <w:r>
        <w:tab/>
      </w:r>
      <w:r>
        <w:fldChar w:fldCharType="begin"/>
      </w:r>
      <w:r>
        <w:instrText xml:space="preserve"> PAGEREF _Toc1253927005 \h </w:instrText>
      </w:r>
      <w:r>
        <w:fldChar w:fldCharType="separate"/>
      </w:r>
      <w:r>
        <w:t>61</w:t>
      </w:r>
      <w:r>
        <w:fldChar w:fldCharType="end"/>
      </w:r>
      <w:r>
        <w:fldChar w:fldCharType="end"/>
      </w:r>
    </w:p>
    <w:p w14:paraId="4D422585">
      <w:pPr>
        <w:pStyle w:val="6"/>
        <w:tabs>
          <w:tab w:val="right" w:leader="dot" w:pos="9355"/>
        </w:tabs>
      </w:pPr>
      <w:r>
        <w:fldChar w:fldCharType="begin"/>
      </w:r>
      <w:r>
        <w:instrText xml:space="preserve"> HYPERLINK \l _Toc1494145024 </w:instrText>
      </w:r>
      <w:r>
        <w:fldChar w:fldCharType="separate"/>
      </w:r>
      <w:r>
        <w:rPr>
          <w:rFonts w:hint="default" w:ascii="Times New Roman" w:hAnsi="Times New Roman" w:eastAsia="Times New Roman" w:cs="Times New Roman"/>
          <w:bCs/>
        </w:rPr>
        <w:t>СПИСОК ЛИТЕРАТУРЫ</w:t>
      </w:r>
      <w:r>
        <w:tab/>
      </w:r>
      <w:r>
        <w:fldChar w:fldCharType="begin"/>
      </w:r>
      <w:r>
        <w:instrText xml:space="preserve"> PAGEREF _Toc1494145024 \h </w:instrText>
      </w:r>
      <w:r>
        <w:fldChar w:fldCharType="separate"/>
      </w:r>
      <w:r>
        <w:t>62</w:t>
      </w:r>
      <w:r>
        <w:fldChar w:fldCharType="end"/>
      </w:r>
      <w:r>
        <w:fldChar w:fldCharType="end"/>
      </w:r>
    </w:p>
    <w:p w14:paraId="20A21A3C">
      <w:pPr>
        <w:pStyle w:val="6"/>
        <w:tabs>
          <w:tab w:val="right" w:leader="dot" w:pos="9355"/>
        </w:tabs>
      </w:pPr>
      <w:r>
        <w:fldChar w:fldCharType="begin"/>
      </w:r>
      <w:r>
        <w:instrText xml:space="preserve"> HYPERLINK \l _Toc1569133997 </w:instrText>
      </w:r>
      <w:r>
        <w:fldChar w:fldCharType="separate"/>
      </w:r>
      <w:r>
        <w:rPr>
          <w:rFonts w:ascii="Times New Roman" w:hAnsi="Times New Roman" w:eastAsia="Times New Roman"/>
        </w:rPr>
        <w:t>ПРИЛОЖЕНИЕ А</w:t>
      </w:r>
      <w:r>
        <w:tab/>
      </w:r>
      <w:r>
        <w:fldChar w:fldCharType="begin"/>
      </w:r>
      <w:r>
        <w:instrText xml:space="preserve"> PAGEREF _Toc1569133997 \h </w:instrText>
      </w:r>
      <w:r>
        <w:fldChar w:fldCharType="separate"/>
      </w:r>
      <w:r>
        <w:t>65</w:t>
      </w:r>
      <w:r>
        <w:fldChar w:fldCharType="end"/>
      </w:r>
      <w:r>
        <w:fldChar w:fldCharType="end"/>
      </w:r>
    </w:p>
    <w:p w14:paraId="62D0E3EE">
      <w:pPr>
        <w:pStyle w:val="6"/>
        <w:tabs>
          <w:tab w:val="right" w:leader="dot" w:pos="9355"/>
        </w:tabs>
      </w:pPr>
      <w:r>
        <w:fldChar w:fldCharType="begin"/>
      </w:r>
      <w:r>
        <w:instrText xml:space="preserve"> HYPERLINK \l _Toc1335902419 </w:instrText>
      </w:r>
      <w:r>
        <w:fldChar w:fldCharType="separate"/>
      </w:r>
      <w:r>
        <w:rPr>
          <w:rFonts w:ascii="Times New Roman" w:hAnsi="Times New Roman" w:eastAsia="Times New Roman"/>
        </w:rPr>
        <w:t>ПРИЛОЖЕНИЕ Б</w:t>
      </w:r>
      <w:r>
        <w:tab/>
      </w:r>
      <w:r>
        <w:fldChar w:fldCharType="begin"/>
      </w:r>
      <w:r>
        <w:instrText xml:space="preserve"> PAGEREF _Toc1335902419 \h </w:instrText>
      </w:r>
      <w:r>
        <w:fldChar w:fldCharType="separate"/>
      </w:r>
      <w:r>
        <w:t>68</w:t>
      </w:r>
      <w:r>
        <w:fldChar w:fldCharType="end"/>
      </w:r>
      <w:r>
        <w:fldChar w:fldCharType="end"/>
      </w:r>
    </w:p>
    <w:p w14:paraId="1F5A748E">
      <w:r>
        <w:fldChar w:fldCharType="end"/>
      </w:r>
    </w:p>
    <w:p w14:paraId="7BD6AC93">
      <w:pPr>
        <w:keepNext/>
        <w:keepLines w:val="0"/>
        <w:pageBreakBefore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  <w:outlineLvl w:val="0"/>
      </w:pPr>
      <w:bookmarkStart w:id="2" w:name="_Toc256413506"/>
      <w:bookmarkStart w:id="3" w:name="_Toc1348800004"/>
      <w:r>
        <w:rPr>
          <w:rFonts w:ascii="Times New Roman" w:hAnsi="Times New Roman" w:eastAsia="Times New Roman"/>
          <w:b/>
          <w:sz w:val="28"/>
        </w:rPr>
        <w:t>СПИСОК СОКРАЩЕНИЙ И УСЛОВНЫХ ОБОЗНАЧЕНИЙ</w:t>
      </w:r>
      <w:bookmarkEnd w:id="2"/>
      <w:bookmarkEnd w:id="3"/>
    </w:p>
    <w:p w14:paraId="5F56873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АВР – автоматическое включение резерва</w:t>
      </w:r>
    </w:p>
    <w:p w14:paraId="18ECC38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АВНР – автоматический возврат к нормальному режиму</w:t>
      </w:r>
    </w:p>
    <w:p w14:paraId="1189C453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АПВ – автоматическое повторное включение</w:t>
      </w:r>
    </w:p>
    <w:p w14:paraId="7D05ED79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ВЛ – воздушная линия электропередачи</w:t>
      </w:r>
    </w:p>
    <w:p w14:paraId="56E3969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ИКЗ – индикатор короткого замыкания</w:t>
      </w:r>
    </w:p>
    <w:p w14:paraId="60501B1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КЗ – короткое замыкание</w:t>
      </w:r>
    </w:p>
    <w:p w14:paraId="5E68E24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МТЗ – максимальная токовая защита</w:t>
      </w:r>
    </w:p>
    <w:p w14:paraId="278D80A3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МЭК – Международная электротехническая комиссия</w:t>
      </w:r>
    </w:p>
    <w:p w14:paraId="2B90FD0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ОВБ – оперативно-выездная бригада</w:t>
      </w:r>
    </w:p>
    <w:p w14:paraId="272C56B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ОЗЗ – однофазное замыкание на землю</w:t>
      </w:r>
    </w:p>
    <w:p w14:paraId="5D17502F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ПС – подстанция</w:t>
      </w:r>
    </w:p>
    <w:p w14:paraId="79FD317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ПУЭ – Правила устройства электроустановок</w:t>
      </w:r>
    </w:p>
    <w:p w14:paraId="79570909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РЗА – релейная защита и автоматика</w:t>
      </w:r>
    </w:p>
    <w:p w14:paraId="3CBDDB83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СТО – стандарт организации</w:t>
      </w:r>
    </w:p>
    <w:p w14:paraId="653EEB3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ТО – токовая отсечка</w:t>
      </w:r>
    </w:p>
    <w:p w14:paraId="72D7662F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ТП – трансформаторная подстанция</w:t>
      </w:r>
    </w:p>
    <w:p w14:paraId="758E6F4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DMS – Distribution Management System</w:t>
      </w:r>
    </w:p>
    <w:p w14:paraId="175AE4E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FLISR – Fault Location, Isolation and Service Restoration</w:t>
      </w:r>
    </w:p>
    <w:p w14:paraId="04A52085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GPRS – General Packet Radio Service</w:t>
      </w:r>
    </w:p>
    <w:p w14:paraId="684F253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GSM – Global System for Mobile Communications</w:t>
      </w:r>
    </w:p>
    <w:p w14:paraId="71912BCC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IEC – International Electrotechnical Commission</w:t>
      </w:r>
    </w:p>
    <w:p w14:paraId="77D2B9C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IEEE – Institute of Electrical and Electronics Engineers</w:t>
      </w:r>
    </w:p>
    <w:p w14:paraId="500D95DC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RTU – Remote Terminal Unit</w:t>
      </w:r>
    </w:p>
    <w:p w14:paraId="2B8DB4C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SAIDI – System Average Interruption Duration Index</w:t>
      </w:r>
    </w:p>
    <w:p w14:paraId="406DC3A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SAIFI – System Average Interruption Frequency Index</w:t>
      </w:r>
    </w:p>
    <w:p w14:paraId="7851B690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SCADA – Supervisory Control and Data Acquisition</w:t>
      </w:r>
    </w:p>
    <w:p w14:paraId="4F6A4598">
      <w:pPr>
        <w:keepNext/>
        <w:keepLines w:val="0"/>
        <w:pageBreakBefore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  <w:outlineLvl w:val="0"/>
      </w:pPr>
      <w:bookmarkStart w:id="4" w:name="_Toc1689599460"/>
      <w:r>
        <w:rPr>
          <w:rFonts w:ascii="Times New Roman" w:hAnsi="Times New Roman" w:eastAsia="Times New Roman"/>
          <w:b/>
          <w:sz w:val="28"/>
        </w:rPr>
        <w:t>ТЕРМИНЫ И ОПРЕДЕЛЕНИЯ</w:t>
      </w:r>
      <w:bookmarkEnd w:id="4"/>
    </w:p>
    <w:p w14:paraId="26F65B2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Автоматическое секционирование – разделение ВЛ на отдельные участки с помощью коммутационных аппаратов для минимизации зоны отключения при аварии.</w:t>
      </w:r>
    </w:p>
    <w:p w14:paraId="16770B5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Индикатор короткого замыкания (ИКЗ) – устройство, фиксирующее протекание тока КЗ через контролируемый участок линии и передающее информацию в SCADA.</w:t>
      </w:r>
    </w:p>
    <w:p w14:paraId="5A20609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Короткое замыкание (КЗ) – замыкание между фазами или замыкание фазы на землю, приводящее к протеканию сверхтоков.</w:t>
      </w:r>
    </w:p>
    <w:p w14:paraId="0280219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Максимальная токовая защита (МТЗ) – токовая защита с выдержкой времени, срабатывающая при превышении тока заданной уставки.</w:t>
      </w:r>
    </w:p>
    <w:p w14:paraId="0EB70EB9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Реклоузер – автоматический выключатель наружной установки для ВЛ 6–10 кВ с функциями РЗА и АПВ.</w:t>
      </w:r>
    </w:p>
    <w:p w14:paraId="5DE6C340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Разъединитель – коммутационный аппарат для создания видимого разрыва цепи в бестоковую паузу.</w:t>
      </w:r>
    </w:p>
    <w:p w14:paraId="4502172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SCADA – система диспетчерского управления и сбора данных.</w:t>
      </w:r>
    </w:p>
    <w:p w14:paraId="321F7A3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Токовая отсечка (ТО) – быстродействующая токовая защита мгновенного действия.</w:t>
      </w:r>
    </w:p>
    <w:p w14:paraId="604F198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FLISR – технология автоматического обнаружения повреждения, изоляции и восстановления электроснабжения.</w:t>
      </w:r>
    </w:p>
    <w:p w14:paraId="637F9720">
      <w:pPr>
        <w:keepNext/>
        <w:keepLines w:val="0"/>
        <w:pageBreakBefore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  <w:outlineLvl w:val="0"/>
      </w:pPr>
      <w:bookmarkStart w:id="5" w:name="_Toc444289496"/>
      <w:bookmarkStart w:id="6" w:name="_Toc921859939"/>
      <w:r>
        <w:rPr>
          <w:rFonts w:ascii="Times New Roman" w:hAnsi="Times New Roman" w:eastAsia="Times New Roman"/>
          <w:b/>
          <w:sz w:val="28"/>
        </w:rPr>
        <w:t>ВВЕДЕНИЕ</w:t>
      </w:r>
      <w:bookmarkEnd w:id="5"/>
      <w:bookmarkEnd w:id="6"/>
    </w:p>
    <w:p w14:paraId="73CA9FE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Распределительные сети 6–10 кВ — наиболее протяжённый элемент электроэнергетической системы России. Их суммарная протяжённость превышает 2,5 млн км, причём значительная часть линий выполнена воздушными и эксплуатируется в сложных климатических условиях [1]. По данным ПАО «Россети», до 70–80 % отключений потребителей приходится на аварии именно в сетях 6–10 кВ [2].</w:t>
      </w:r>
    </w:p>
    <w:p w14:paraId="3C637E9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Концепция «Цифровая трансформация 2030» ПАО «Россети» [23] предусматривает внедрение средств интеллектуального управления распределительными сетями: реклоузеров, разъединителей с дистанционным управлением, индикаторов КЗ и систем телемеханики. Ключевой технологией при этом выступает FLISR — автоматическое определение места повреждения, изоляция аварийного участка и восстановление электроснабжения неповреждённых секций [3].</w:t>
      </w:r>
    </w:p>
    <w:p w14:paraId="7DEF182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Состояние распределительных сетей 6–10 кВ в РФ характеризуется износом: от 50 до 70 % ВЛ эксплуатируются за пределами нормативного срока [2]. Показатель SAIDI в ряде регионов превышает 300–500 мин/год, тогда как в Германии и Японии он составляет 15–30 мин [12]. Разрыв во многом вызван отсутствием автоматического секционирования и восстановления питания на уровне ВЛ 6–10 кВ.</w:t>
      </w:r>
    </w:p>
    <w:p w14:paraId="7EE5CDD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При КЗ на неавтоматизированной ВЛ 6–10 кВ восстановление питания включает: срабатывание защит головного выключателя и отключение всей линии; направление ОВБ; обход линии для поиска места повреждения; ручное переключение разъединителей. Время восстановления составляет от 2 до 8 часов, при этом обесточиваются все потребители фидера [1]. Внедрение автоматики на базе реклоузеров и разъединителей с дистанционным управлением позволяет сократить это время до 1–2 минут.</w:t>
      </w:r>
    </w:p>
    <w:p w14:paraId="645A1A9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Цель работы — разработка алгоритмов автоматики и схем дистанционного управления реклоузерами и разъединителями для автоматизированного участка распределительных сетей 6–10 кВ.</w:t>
      </w:r>
    </w:p>
    <w:p w14:paraId="774088A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Задачи:</w:t>
      </w:r>
    </w:p>
    <w:p w14:paraId="29364FF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1. Проанализировать устройства и структуру системы автоматики автоматизированных ВЛ 6–10 кВ.</w:t>
      </w:r>
    </w:p>
    <w:p w14:paraId="32E7FC6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2. Разработать алгоритмы обнаружения аварийных режимов, секционирования и восстановления электроснабжения автоматизированного участка ВЛ.</w:t>
      </w:r>
    </w:p>
    <w:p w14:paraId="600B2D40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3. Исследовать работу разработанных алгоритмов в нормальных и аварийных режимах эксплуатации.</w:t>
      </w:r>
    </w:p>
    <w:p w14:paraId="28BEBB3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4. Оценить требования и перспективы промышленного внедрения разработанных решений.</w:t>
      </w:r>
    </w:p>
    <w:p w14:paraId="089860D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Объект исследования — автоматизированный участок ВЛ 6–10 кВ, оснащённый реклоузерами, разъединителями с дистанционным управлением и ИКЗ.</w:t>
      </w:r>
    </w:p>
    <w:p w14:paraId="04C2036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Предмет исследования — алгоритмы автоматики (обнаружение КЗ, секционирование, восстановление питания) и схемы дистанционного управления коммутационными аппаратами.</w:t>
      </w:r>
    </w:p>
    <w:p w14:paraId="765430D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Методы исследования: анализ нормативно-технической документации (ПУЭ, ГОСТ Р, СТО «Россети»); анализ оборудования и схем автоматизации; разработка алгоритмов на основе конечных автоматов; программное моделирование в прототипе SCADA-системы.</w:t>
      </w:r>
    </w:p>
    <w:p w14:paraId="2951E0E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Научная новизна состоит в разработке комплексного подхода к алгоритмам FLISR для российских ВЛ 6–10 кВ с учётом специфики воздушных линий — высокой доли неустойчивых повреждений, радиально-магистральной топологии и требований ПУЭ.</w:t>
      </w:r>
    </w:p>
    <w:p w14:paraId="191FE5A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Практическая значимость определяется ориентацией на промышленное внедрение. Разработанный прототип SCADA-системы подтверждает работоспособность алгоритмов и может служить основой для создания промышленного ПО автоматизации распределительных сетей.</w:t>
      </w:r>
    </w:p>
    <w:p w14:paraId="770E610E">
      <w:pPr>
        <w:keepNext/>
        <w:keepLines w:val="0"/>
        <w:pageBreakBefore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  <w:outlineLvl w:val="0"/>
      </w:pPr>
      <w:bookmarkStart w:id="7" w:name="_Toc1752965315"/>
      <w:r>
        <w:rPr>
          <w:rFonts w:ascii="Times New Roman" w:hAnsi="Times New Roman" w:eastAsia="Times New Roman" w:cs="Times New Roman"/>
          <w:b/>
          <w:sz w:val="28"/>
        </w:rPr>
        <w:t>1 Устройства и структура системы автоматики автоматизированных ВЛ 6-10 кВ</w:t>
      </w:r>
      <w:bookmarkEnd w:id="7"/>
    </w:p>
    <w:p w14:paraId="7DAE566F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 xml:space="preserve">Автоматика управления распределительными сетями 6-10 кВ с применением реклоузеров и разъединителей рассматривается как ключевой инструмент повышения надёжности электроснабжения и сокращения времени перерывов питания потребителей, особенно в сетях с воздушными линиями значительной протяжённости. </w:t>
      </w:r>
    </w:p>
    <w:p w14:paraId="2436E65F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В действующих нормативных документах (ПУЭ, СТО «Россети», РД по РЗА) подчёркивается, что выбор схемы сети, состава коммутационной аппаратуры и структуры автоматики должен обеспечивать локализацию повреждений, возможность автоматического восстановления электроснабжения и безопасное выполнение переключений.</w:t>
      </w:r>
    </w:p>
    <w:p w14:paraId="4C10FC4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Автоматизация распределительных сетей 6-10 кВ на базе реклоузеров и разъединителей с дистанционным управлением является частью более общего процесса цифровизации электрических сетей и внедрения концепции Smart Grid. Для таких сетей характерен переход от традиционного «реактивного» управления, основанного на выездах оперативного персонала и локальных переключениях, к активному режиму, при котором система автоматически распознаёт аварийные состояния, выполняет секционирование и реконфигурацию схемы питания с минимальным участием диспетчера.</w:t>
      </w:r>
    </w:p>
    <w:p w14:paraId="42EAB02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Автоматическое секционирование распределительных сетей 6-10 кВ и последующая реконфигурация схемы питания рассматриваются как одно из наиболее эффективных мероприятий по повышению надёжности электроснабжения и снижению показателей SAIDI и SAIFI. Установка реклоузеров и интеллектуальных разъединителей на ключевых участках ВЛ позволяет существенно сократить объём отключаемой нагрузки при авариях и уменьшить время восстановления электроснабжения за счёт автоматического или дистанционного включения резервных связей.</w:t>
      </w:r>
    </w:p>
    <w:p w14:paraId="6A11AA73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Автоматизация с использованием реклоузеров и интеллектуальных разъединителей вписывается и в логику классических мероприятий по повышению надёжности ВЛ 6–10 кВ, и в современные подходы к цифровизации распределительных сетей. На фоне традиционных решений в виде КРУН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пунктов секционирования и плавких предохранителей реклоузер выступает как «интеллектуальный» аппарат, совмещающий функции быстродействующего выключателя, устройства релейной защиты и узла сбора диагностической информации, что позволяет не только отключать повреждённый участок, но и поддерживать работоспособность сети при кратковременных отклонениях параметров, автоматически восстанавливая питание там, где это возможно.</w:t>
      </w:r>
    </w:p>
    <w:p w14:paraId="6930A2B3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</w:pPr>
      <w:bookmarkStart w:id="8" w:name="_Toc759896012"/>
      <w:r>
        <w:rPr>
          <w:rFonts w:ascii="Times New Roman" w:hAnsi="Times New Roman" w:eastAsia="Times New Roman" w:cs="Times New Roman"/>
          <w:b/>
          <w:sz w:val="28"/>
        </w:rPr>
        <w:t>1.1 Назначение и задачи автоматики в распределительных сетях 6-10 кВ</w:t>
      </w:r>
      <w:bookmarkEnd w:id="8"/>
    </w:p>
    <w:p w14:paraId="09DEA53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Распределительные сети 6-10 кВ обеспечивают питание потребителей всех трёх категорий по надёжности, поэтому режимы их работы жёстко увязаны с требованиями ПУЭ по обеспечению непрерывности электроснабжения и допустимой длительности перерывов. В главе 1.2 ПУЭ [1] указывается, что при проектировании систем электроснабжения необходимо учитывать ремонтные, аварийные и послеаварийные режимы, а также предусматривать технические мероприятия, обеспечивающие надёжность и резервирование питания потребителей.​</w:t>
      </w:r>
    </w:p>
    <w:p w14:paraId="3D74EFF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Назначение автоматики управления на уровне сетей 6-10 кВ заключается в автоматическом реагировании на изменения состояния сети (повреждения, перегрузки, изменение схемы) без участия оперативного персонала, с сохранением питания максимально возможного числа потребителей. Основные задачи такой автоматики можно сформулировать следующим образом:​</w:t>
      </w:r>
    </w:p>
    <w:p w14:paraId="4A25DCE6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обнаружение и локализация аварийных режимов (межфазные КЗ, однофазные замыкания на землю, перегрузки) по параметрам тока и напряжения, с обеспечением селективного отключения только повреждённого участка сети;</w:t>
      </w:r>
    </w:p>
    <w:p w14:paraId="2998300F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автоматическое восстановление электроснабжения за счёт АПВ реклоузеров и/или автоматического включения резервных связей (АВР по сети), с учётом требований ПУЭ к категориям электроприёмников и независимым источникам питания;</w:t>
      </w:r>
    </w:p>
    <w:p w14:paraId="4E787462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обеспечение безопасного выполнения коммутаций (отключение и включение участков ВЛ, перевод нагрузки, выделение участка в ремонт) при соблюдении блокировок и условий бестоковой паузы, требуемых нормативными документами.</w:t>
      </w:r>
    </w:p>
    <w:p w14:paraId="7E15B1A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В отраслевых стандартах «Россетей» [2], регламентирующих применение секционирующих пунктов с реклоузерами 6-10 кВ, назначение автоматики дополнительно увязывается с улучшением нормативных показателей надёжности SAIDI и SAIFI для распределительных сетей. За счёт ограничения зоны отключения и сокращения времени поиска повреждений автоматика на основе реклоузеров позволяет уменьшить среднюю продолжительность и частоту отключений для конечных потребителей, что прямо отражается на значениях этих индексов.</w:t>
      </w:r>
    </w:p>
    <w:p w14:paraId="214C927C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</w:pPr>
      <w:bookmarkStart w:id="9" w:name="_Toc487024975"/>
      <w:r>
        <w:rPr>
          <w:rFonts w:ascii="Times New Roman" w:hAnsi="Times New Roman" w:eastAsia="Times New Roman" w:cs="Times New Roman"/>
          <w:b/>
          <w:sz w:val="28"/>
        </w:rPr>
        <w:t>1.2 Классификация устройств и систем автоматики и управления</w:t>
      </w:r>
      <w:bookmarkEnd w:id="9"/>
    </w:p>
    <w:p w14:paraId="119C51A0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 xml:space="preserve">Систему автоматики управления в распределительных сетях 6-10 кВ целесообразно рассматривать в двух плоскостях: по функциональному назначению и по архитектуре (локальная или централизованная). </w:t>
      </w:r>
    </w:p>
    <w:p w14:paraId="34F431E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По функциональному назначению можно выделить следующие группы устройств и алгоритмов:</w:t>
      </w:r>
    </w:p>
    <w:p w14:paraId="172B4F66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защитная автоматика (релейные защиты линий и трансформаторов, защита от замыканий на землю, максимальные токовые защиты, дистанционные и направленные защиты), обеспечивающая отключение повреждённых элементов сети в соответствии с требованиями раздела 3 ПУЭ «Защита и автоматика»;</w:t>
      </w:r>
    </w:p>
    <w:p w14:paraId="7391C5C8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оперативно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восстановительная автоматика (АПВ, АВР, автоматическое секционирование фидеров), реализующая автоматические переключения для восстановления питания и изменения схемы сети без участия оперативного персонала;</w:t>
      </w:r>
    </w:p>
    <w:p w14:paraId="3A5D7FAB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информационно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диагностическая автоматика (регистрация аварийных событий, измерение токов и напряжений, диагностика состояния устройств РЗА и коммутационной аппаратуры, самодиагностика микропроцессорных терминалов), обеспечивающая персонал необходимыми данными для анализа работы сети.</w:t>
      </w:r>
    </w:p>
    <w:p w14:paraId="2FF7A04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По архитектуре, в соответствии с современными решениями для распределительных сетей 6-10 кВ, автоматику можно разделить на локальную и централизованную:</w:t>
      </w:r>
    </w:p>
    <w:p w14:paraId="49CBD559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локальная автоматика реализуется непосредственно в терминалах РЗА реклоузеров и контроллерах «умных» разъединителей, выполняющих отключение, АПВ и простейшее секционирование по заранее заданным уставкам и логике;</w:t>
      </w:r>
    </w:p>
    <w:p w14:paraId="2BC49B37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централизованная автоматика реализуется на уровне АСДУ (SCADA) или специализированных контроллеров распределительной сети, которые на основе телеметрии от реклоузеров и разъединителей формируют оптимальные команды по реконфигурации сети, АВР по сети, ограничению нагрузки и другим действиям.</w:t>
      </w:r>
    </w:p>
    <w:p w14:paraId="3083455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Реклоузеры и разъединители с дистанционным управлением в этом контексте выступают как исполнительные устройства, совмещающие функции коммутационной аппаратуры и элемента системы автоматики и телемеханики [3]. Для них нормативные документы устанавливают требования как к электрическим параметрам и коммутационной способности, так и к наличию встроенной РЗА, поддержке телемеханики и возможности работы в составе централизованных систем управления.</w:t>
      </w:r>
    </w:p>
    <w:p w14:paraId="370771C5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</w:pPr>
      <w:bookmarkStart w:id="10" w:name="_Toc1368576108"/>
      <w:r>
        <w:rPr>
          <w:rFonts w:ascii="Times New Roman" w:hAnsi="Times New Roman" w:eastAsia="Times New Roman" w:cs="Times New Roman"/>
          <w:b/>
          <w:sz w:val="28"/>
        </w:rPr>
        <w:t>1.3 Особенности применения автоматики на воздушных линиях 6-10 кВ</w:t>
      </w:r>
      <w:bookmarkEnd w:id="10"/>
    </w:p>
    <w:p w14:paraId="33A46CA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Воздушные линии 6-10 кВ по сравнению с кабельными участками характеризуются более высокой частотой повреждений, значительной долей неустойчивых КЗ (например, перекрытий из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за веток, гололёда, грозовых перенапряжений) и большой протяжённостью, что увеличивает время поиска места повреждения. ПУЭ допускает работу сетей 2-35 кВ с изолированной или компенсированной нейтралью, причём выбор режима заземления нейтрали и применение дугогасящих реакторов напрямую влияет на характер аварийных режимов и алгоритмы работы защит и автоматики.</w:t>
      </w:r>
    </w:p>
    <w:p w14:paraId="45E8431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В этих условиях применение реклоузеров на ВЛ 6-10 кВ позволяет реализовать несколько ключевых возможностей:</w:t>
      </w:r>
    </w:p>
    <w:p w14:paraId="7A61B033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выполнение автоматического повторного включения для самоустраняющихся повреждений, что существенно снижает число длительных отключений потребителей при грозовых и временных перекрытиях;</w:t>
      </w:r>
    </w:p>
    <w:p w14:paraId="10B18A3E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секционирование длинных фидеров на несколько участков с автоматическим отключением только повреждённой секции и сохранением питания по остальной части линии;</w:t>
      </w:r>
    </w:p>
    <w:p w14:paraId="06112DCA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уменьшение времени поиска и устранения повреждения за счёт того, что участок, на котором зафиксировано отключение реклоузера, непосредственно указывает на зону дефекта.</w:t>
      </w:r>
    </w:p>
    <w:p w14:paraId="5C1659E0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«Умные» разъединители на опорах ВЛ дополняют реклоузеры, обеспечивая дистанционное разделение линий, изменение схемы питания, выделение участков в ремонт и создание временных схем электроснабжения без выезда оперативного персонала. При этом ПУЭ и отраслевые стандарты требуют, чтобы коммутирование нагрузочных токов и токов КЗ осуществлялось выключателями или реклоузерами, тогда как разъединители должны работать в бестоковую паузу, что учитывается при разработке алгоритмов совместной работы этих аппаратов.</w:t>
      </w:r>
    </w:p>
    <w:p w14:paraId="6082C8C1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</w:pPr>
      <w:bookmarkStart w:id="11" w:name="_Toc2108787786"/>
      <w:r>
        <w:rPr>
          <w:rFonts w:ascii="Times New Roman" w:hAnsi="Times New Roman" w:eastAsia="Times New Roman" w:cs="Times New Roman"/>
          <w:b/>
          <w:sz w:val="28"/>
        </w:rPr>
        <w:t>1.4 Нормативные требования к системам автоматики и дистанционного управления</w:t>
      </w:r>
      <w:bookmarkEnd w:id="11"/>
    </w:p>
    <w:p w14:paraId="145C80E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Нормативные требования к системам автоматики и дистанционного управления реклоузерами и разъединителями в распределительных сетях 6-10 кВ формируются на основе нескольких уровней документов. ПУЭ задаёт общие принципы построения систем электроснабжения, требования к защите, автоматике и телемеханике, а также к выбору схем сетей, резервированию и обеспечению электробезопасности. В главе 3.3 ПУЭ устанавливается, что автоматика и телемеханика должны обеспечивать выполнение переключений, необходимое для нормальной и послеаварийной работы электроустановки, с требуемой надёжностью и селективностью.</w:t>
      </w:r>
    </w:p>
    <w:p w14:paraId="3BCA3A9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СТО 34.01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23.1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001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2017 [4] (и родственные ему стандарты «Россетей») регламентируют применение секционирующих пунктов с реклоузерами в сетях 6-10 кВ, определяют типовые схемы включения реклоузеров, их место в структуре сети и требования к функциям автоматики, включая АПВ, автоматическое секционирование и взаимодействие с АСДУ. СТО 34.01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3.2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004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2016 «Реклоузеры 6-35 кВ. Общие технические требования» [5] устанавливает требования к функционалу реклоузера как устройства РЗА и коммутации: наличие встроенных защит, заданного числа циклов АПВ, средств регистрации аварийных событий, интерфейсов связи и устойчивости к воздействиям окружающей среды.</w:t>
      </w:r>
    </w:p>
    <w:p w14:paraId="5836ABC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РД 153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34.3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35.613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00 «Правила технического обслуживания устройств РЗА и электроавтоматики электрических сетей 0,4-35 кВ» [6] определяет требования к надёжности устройств автоматики, видам и периодичности их технического обслуживания, испытаний и опробований, а также к организации контроля и самодиагностики, что критично для бесперебойной работы функций автоматики на реклоузерах и разъединителях. В совокупности эти документы задают рамки, в которых должны разрабатываться алгоритмы автоматики и структурные схемы дистанционного управления реклоузерами и разъединителями на автоматизированном участке распределительной сети 6-10 кВ.</w:t>
      </w:r>
    </w:p>
    <w:p w14:paraId="7575EC26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</w:pPr>
      <w:bookmarkStart w:id="12" w:name="_Toc326209214"/>
      <w:r>
        <w:rPr>
          <w:rFonts w:ascii="Times New Roman" w:hAnsi="Times New Roman" w:eastAsia="Times New Roman" w:cs="Times New Roman"/>
          <w:b/>
          <w:sz w:val="28"/>
        </w:rPr>
        <w:t>1.5 Назначение и функции реклоузеров в распределительных сетях 6-10 кВ</w:t>
      </w:r>
      <w:bookmarkEnd w:id="12"/>
    </w:p>
    <w:p w14:paraId="47F163F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Реклоузеры в распределительных сетях 6-10 кВ выполняют функции быстродействующих коммутационных аппаратов с встроенной релейной защитой и автоматикой, предназначенных для коммутации, пропускания, автоматического отключения и повторного включения цепи по заранее заданной последовательности циклов. В соответствии со СТО 34.01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3.2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004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2016 реклоузеры должны обеспечивать работу в составе распределительных сетей 6-35 кВ, выполнять заданное число циклов АПВ, иметь средства дистанционного управления и регистрации аварийных событий.</w:t>
      </w:r>
    </w:p>
    <w:p w14:paraId="2A53385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Современный реклоузер для ВЛ 6-10 кВ, помимо базовых функций МТЗ и АПВ, как правило, реализует целый набор защит и автоматик: направленную МТЗ, защиту минимального и максимального напряжения, автоматический ввод резервного питания (АВР), автоматическое восстановление нормального режима (АВНР), а также функции автоматического и ручного переконфигурирования сети. Наличие встроенных средств регистрации аварийных событий, осциллографирования и контроля ресурса коммутационного аппарата позволяет использовать реклоузер не только как силовой аппарат, но и как полноценный элемент цифровой сети, обеспечивающий сбор и передачу диагностической информации в систему верхнего уровня.</w:t>
      </w:r>
    </w:p>
    <w:p w14:paraId="1294E5C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В условиях распределительных сетей 6-10 кВ основными задачами реклоузеров являются:</w:t>
      </w:r>
    </w:p>
    <w:p w14:paraId="7540D8F7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защита воздушных и смешанных линий от токов короткого замыкания и перегрузки с обеспечением селективного отключения повреждённых участков;</w:t>
      </w:r>
    </w:p>
    <w:p w14:paraId="53D0605C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реализация автоматического повторного включения для самоустраняющихся повреждений, характернсых для ВЛ 6-10 кВ;</w:t>
      </w:r>
    </w:p>
    <w:p w14:paraId="7C0D8129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секционирование фидеров с целью ограничения зоны отключения и сокращения времени поиска повреждений;</w:t>
      </w:r>
    </w:p>
    <w:p w14:paraId="2D20F6A2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обеспечение дистанционного управления и наблюдаемости линии со стороны АСДУ или централизованного контроллера сети.</w:t>
      </w:r>
    </w:p>
    <w:p w14:paraId="07BB42F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На примере вакуумного реклоузера РиМ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РВ можно отметить, что устройство конструктивно совмещает в одном изделии коммутационный модуль с вакуумным выключателем и низковольтный модуль со встроенными функциями релейной защиты, автоматики, блоком питания и интерфейсами связи. Это позволяет реализовать полный комплекс функций: отключение и включение линии, АПВ, регистрацию аварийных событий, измерение токов и напряжений, передачу данных в систему верхнего уровня, а также выполнение оперативных переключений на ВЛ без выезда оперативного персонала.</w:t>
      </w:r>
    </w:p>
    <w:p w14:paraId="152557E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Реклоузер в автоматизированной ВЛ 6–10 кВ фактически выполняет функции пункта секционирования, совмещая в себе защиту линии, коммутацию в нормальных и аварийных режимах, автоматическое секционирование и резервирование, а также дистанционное управление. В отличие от традиционных КРУН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пунктов секционирования, выносной реклоузер размещается непосредственно на опоре ВЛ, что сокращает объём строительных работ, уменьшает длину секций и позволяет точнее адаптировать расположение аппарата к фактической конфигурации нагрузки и статистике повреждений.</w:t>
      </w:r>
    </w:p>
    <w:p w14:paraId="48E31DF9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</w:pPr>
      <w:bookmarkStart w:id="13" w:name="_Toc72508907"/>
      <w:r>
        <w:rPr>
          <w:rFonts w:ascii="Times New Roman" w:hAnsi="Times New Roman" w:eastAsia="Times New Roman" w:cs="Times New Roman"/>
          <w:b/>
          <w:sz w:val="28"/>
        </w:rPr>
        <w:t>1.6 Назначение и функции разъединителей с дистанционным управлением</w:t>
      </w:r>
      <w:bookmarkEnd w:id="13"/>
    </w:p>
    <w:p w14:paraId="4C01B2D9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Разъединители в распределительных сетях 6-10 кВ традиционно используются для создания видимого разрыва, изменения схемы сети и обеспечения безопасного вывода оборудования в ремонт, при этом по ПУЭ и типовым руководствам они не предназначены для отключения токов нагрузки и токов короткого замыкания. В современных проектах автоматизации ВЛ используются «умные» разъединители с дистанционным управлением и встроенными индикаторами токов короткого замыкания, которые сохраняют коммутационные ограничения классического разъединителя, но дополняются средствами автоматики и телемеханики.</w:t>
      </w:r>
    </w:p>
    <w:p w14:paraId="7836FD0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Назначение таких разъединителей в автоматизированных сетях 6-10 кВ заключается в:</w:t>
      </w:r>
    </w:p>
    <w:p w14:paraId="7096F433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дистанционном выполнении операций включения и отключения в бестоковую паузу, создаваемую реклоузером или выключателем, с обеспечением видимого разрыва и возможностью заземления отключённого участка;</w:t>
      </w:r>
    </w:p>
    <w:p w14:paraId="6A233AF1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участии в автоматизированном секционировании линий и изменении схемы сети (включение/отключение ответвлений, перемычек, обходных линий) по командам АСДУ или сетевого контроллера;</w:t>
      </w:r>
    </w:p>
    <w:p w14:paraId="64991779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повышении наблюдаемости сети за счёт передачи в систему верхнего уровня информации о состоянии разъединителя, наличии токов КЗ и однофазных замыканий на землю, а также регистрации аварийных событий.</w:t>
      </w:r>
    </w:p>
    <w:p w14:paraId="60267AAF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Цифровые разъединители с индикаторами короткого замыкания и шкафами управления позволяют селективно определять место возникновения аварий на воздушно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кабельных линиях сложной топологии и гарантированно передавать информацию в системы верхнего уровня. При этом сами коммутационные операции по отключению токов КЗ выполняются реклоузерами или выключателями, а разъединители задействуются только после создания бестоковой паузы, что соответствует требованиям ПУЭ и отраслевых стандартов.</w:t>
      </w:r>
    </w:p>
    <w:p w14:paraId="7B7B3FF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Интеллектуальные разъединители 6-10 кВ с автоматизированным приводом и встроенными индикаторами короткого замыкания (ИКЗ) превращают обычный линейный разъединитель в активный элемент системы автоматики. Такие устройства не только выполняют секционирование линии в бестоковую паузу, но и фиксируют факты и направление протекания токов КЗ и ОЗЗ, передают информацию в шкаф управления и далее в АСДУ, что резко сокращает время поиска повреждённого участка и позволяет выполнять дистанционное секционирование без выезда оперативной бригады.</w:t>
      </w:r>
    </w:p>
    <w:p w14:paraId="3F3D83D6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</w:pPr>
      <w:bookmarkStart w:id="14" w:name="_Toc1033972100"/>
      <w:r>
        <w:rPr>
          <w:rFonts w:ascii="Times New Roman" w:hAnsi="Times New Roman" w:eastAsia="Times New Roman" w:cs="Times New Roman"/>
          <w:b/>
          <w:sz w:val="28"/>
        </w:rPr>
        <w:t>1.7 Структура системы автоматики автоматизированного участка ВЛ 6-10 кВ</w:t>
      </w:r>
      <w:bookmarkEnd w:id="14"/>
    </w:p>
    <w:p w14:paraId="35F770A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Система автоматики автоматизированного участка ВЛ 6-10 кВ представляет</w:t>
      </w:r>
      <w:r>
        <w:rPr>
          <w:rFonts w:ascii="Times New Roman" w:hAnsi="Times New Roman" w:eastAsia="Times New Roman" w:cs="Segoe UI"/>
          <w:b w:val="0"/>
          <w:sz w:val="28"/>
        </w:rPr>
        <w:t xml:space="preserve"> 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собой совокупность устройств релейной защиты и автоматики, коммутационной аппаратуры (реклоузеров и разъединителей), контроллеров и систем диспетчерского управления, объединённых каналами связи. На нижнем уровне находятся реклоузеры с встроенными терминалами РЗА, шкафы управления разъединителями и индикаторы коротких замыканий, обеспечивающие локальное выполнение защитных и переключательных функций.</w:t>
      </w:r>
    </w:p>
    <w:p w14:paraId="70AA5EB5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На верхнем уровне система включает:</w:t>
      </w:r>
    </w:p>
    <w:p w14:paraId="530038FE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АСДУ (SCADA) или сетевой контроллер распределительной сети, осуществляющий сбор телеметрии, визуализацию схемы сети, формирование команд дистанционного управления и реализацию централизованных алгоритмов секционирования и восстановления электроснабжения;</w:t>
      </w:r>
    </w:p>
    <w:p w14:paraId="4A975033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серверы архивирования и анализа данных, обеспечивающие хранение и обработку информации о режимах работы сети, аварийных событиях и действиях автоматики;</w:t>
      </w:r>
    </w:p>
    <w:p w14:paraId="29EC8BE5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рабочие места оперативного персонала, на которых отображается топология сети, состояние реклоузеров и разъединителей, а также результаты срабатывания защит и автоматики.</w:t>
      </w:r>
    </w:p>
    <w:p w14:paraId="72BFA21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СТО и типовые решения ПАО «Россети» предусматривают, что структура системы автоматики должна обеспечивать селективность срабатывания устройств, координацию локальных алгоритмов АПВ и секционирования с централизованными функциями АСДУ, а также возможность резервного местного управления оборудованием в случае отказа каналов связи или верхнего уровня. При этом устройства РЗА и автоматики подлежат техническому обслуживанию и проверкам в соответствии с требованиями РД 153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34.3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35.613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00, что учитывается при проектировании структуры системы.</w:t>
      </w:r>
    </w:p>
    <w:p w14:paraId="0398651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Современные решения по автоматизации ВЛ 6-10 кВ всё чаще реализуют технологию FLISR (Fault Location, Isolation and Service Restoration) [8], в рамках которой система должна выполнить три последовательных действия: обнаружить и локализовать участок с повреждением, изолировать его с помощью коммутационных аппаратов и восстановить электроснабжение по неповреждённой части сети. В этой логике реклоузер выступает основным устройством автоматического отключения и повторного включения линии, а интеллектуальные разъединители с ИКЗ обеспечивают точное выделение повреждённого участка и возможность его изоляции и последующего вывода в ремонт.</w:t>
      </w:r>
    </w:p>
    <w:p w14:paraId="3CBA144A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</w:pPr>
      <w:bookmarkStart w:id="15" w:name="_Toc531413176"/>
      <w:r>
        <w:rPr>
          <w:rFonts w:ascii="Times New Roman" w:hAnsi="Times New Roman" w:eastAsia="Times New Roman" w:cs="Times New Roman"/>
          <w:b/>
          <w:sz w:val="28"/>
        </w:rPr>
        <w:t>1.8 Взаимодействие реклоузеров и разъединителей в автоматизированной сети</w:t>
      </w:r>
      <w:bookmarkEnd w:id="15"/>
    </w:p>
    <w:p w14:paraId="49A91CBF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Эффективность автоматизации распределительных сетей 6-10 кВ достигается за счёт согласованной работы реклоузеров и разъединителей с дистанционным управлением, при которой каждый тип аппарата выполняет строго определённые функции. Реклоузеры выполняют отключение токов короткого замыкания и реализацию АПВ, а разъединители обеспечивают последующее секционирование, изменение схемы питания и выделение участков в ремонт при соблюдении требований по коммутации в бестоковую паузу.</w:t>
      </w:r>
    </w:p>
    <w:p w14:paraId="77C09843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Можно выделить несколько типовых сценариев взаимодействия:</w:t>
      </w:r>
    </w:p>
    <w:p w14:paraId="329E2A1E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сценарий аварийного отключения и АПВ: при возникновении повреждения на удалённом участке ВЛ реклоузер отключает линию и выполняет один или несколько циклов АПВ; при стойком повреждении соответствующая секция остаётся отключённой, а неповреждённые участки линии продолжают работу, при необходимости разъединители используются для дополнительного разделения сети;</w:t>
      </w:r>
    </w:p>
    <w:p w14:paraId="78C28A66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сценарий автоматического секционирования: в кольцевых или радиальных схемах с несколькими реклоузерами и «умными» разъединителями при аварии отключается только минимальный по протяжённости участок, ограниченный ближайшими к месту повреждения аппаратами, при этом по командам АСДУ возможен ввод резервного питания с другой стороны кольца;</w:t>
      </w:r>
    </w:p>
    <w:p w14:paraId="5A447286">
      <w:pPr>
        <w:keepLines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сценарий реконфигурации сети и вывода в ремонт: разъединители используются для пофидерного и посекционного отключения участков, переводов нагрузки и формирования временных схем, в то время как реклоузеры обеспечивают отключение токов нагрузки и создание бестоковой паузы для безопасной работы разъединителей.</w:t>
      </w:r>
    </w:p>
    <w:p w14:paraId="0EEA681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Такая логика взаимодействия соответствует требованиям ПУЭ к коммутационной аппаратуре и устройствам автоматического включения и отключения, а также принципам, заложенным в отраслевые стандарты по применению реклоузеров и секционирующих пунктов в сетях 6-10 кВ.</w:t>
      </w:r>
    </w:p>
    <w:p w14:paraId="51A89D16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</w:pPr>
      <w:bookmarkStart w:id="16" w:name="_Toc76761159"/>
      <w:r>
        <w:rPr>
          <w:rFonts w:ascii="Times New Roman" w:hAnsi="Times New Roman" w:eastAsia="Times New Roman" w:cs="Times New Roman"/>
          <w:b/>
          <w:sz w:val="28"/>
        </w:rPr>
        <w:t>1.9 Структурные схемы дистанционного управления реклоузерами и разъединителями</w:t>
      </w:r>
      <w:bookmarkEnd w:id="16"/>
    </w:p>
    <w:p w14:paraId="15890860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Структурные схемы дистанционного управления реклоузерами и разъединителями в автоматизированных ВЛ 6-10 кВ строятся на основе типовых решений ПАО «Россети» и технической документации производителей оборудования, таких как АО «РИМ» (решения «РиМ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>Цифра»). В общем виде схема включает: реклоузеры с встроенными терминалами РЗА, шкафы управления разъединителями, устройства связи, контроллеры верхнего уровня и АСДУ, что обеспечивает полный цикл управления от местного до диспетчерского уровня.</w:t>
      </w:r>
    </w:p>
    <w:p w14:paraId="4513130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Пример структурной схемы, разработанной на основе типовых решений по автоматике распределительных сетей 6-10 кВ представлен на рисунке 1 [7].</w:t>
      </w:r>
    </w:p>
    <w:p w14:paraId="07CDF0A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/>
          <w:sz w:val="28"/>
        </w:rPr>
        <w:drawing>
          <wp:inline distT="0" distB="0" distL="0" distR="0">
            <wp:extent cx="5930900" cy="2386965"/>
            <wp:effectExtent l="0" t="0" r="1270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56458" cy="23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6DD5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  <w:rPr>
          <w:rFonts w:ascii="Arial" w:hAnsi="Arial" w:cs="Arial"/>
          <w:sz w:val="28"/>
          <w:szCs w:val="28"/>
        </w:rPr>
      </w:pPr>
      <w:r>
        <w:rPr>
          <w:rFonts w:ascii="Times New Roman" w:hAnsi="Times New Roman" w:eastAsia="Times New Roman" w:cs="Arial"/>
          <w:b w:val="0"/>
          <w:sz w:val="28"/>
          <w:szCs w:val="28"/>
        </w:rPr>
        <w:t xml:space="preserve">Рисунок 1 - Структурная схема автоматизированного радиального фидера </w:t>
      </w:r>
    </w:p>
    <w:p w14:paraId="70B6FB5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 xml:space="preserve">На структурной схеме показана архитектура работы системы автоматики автоматизированного участка ВЛ 6-10 кВ. </w:t>
      </w:r>
    </w:p>
    <w:p w14:paraId="36D45E05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 xml:space="preserve">ИКЗ фиксируют направление и факт протекания тока короткого замыкания и позволяют автоматически сузить зону поиска места повреждения. </w:t>
      </w:r>
    </w:p>
    <w:p w14:paraId="0C27BF8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 xml:space="preserve">Реклоузер выполняет функции отключения, автоматического повторного включения и ограничения масштаба аварии за счёт сохранения питания на неповреждённой части линии. </w:t>
      </w:r>
    </w:p>
    <w:p w14:paraId="6BEAA1F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 xml:space="preserve">Разъединители с дистанционным управлением обеспечивают секционирование ВЛ и изоляцию повреждённого участка, в том числе по командам системы верхнего уровня. </w:t>
      </w:r>
    </w:p>
    <w:p w14:paraId="23543C00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SCADA</w:t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noBreakHyphen/>
      </w:r>
      <w:r>
        <w:rPr>
          <w:rFonts w:ascii="Times New Roman" w:hAnsi="Times New Roman" w:eastAsia="Times New Roman" w:cs="Times New Roman"/>
          <w:b w:val="0"/>
          <w:sz w:val="28"/>
          <w:szCs w:val="28"/>
        </w:rPr>
        <w:t xml:space="preserve">платформа (АСДУ) объединяет все элементы, обеспечивает мониторинг состояния линии, координацию действий автоматики и дистанционное управление коммутационной аппаратурой. </w:t>
      </w:r>
    </w:p>
    <w:p w14:paraId="718E998C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sz w:val="28"/>
          <w:szCs w:val="28"/>
        </w:rPr>
        <w:t>Таким образом, система обеспечивает полный цикл противоаварийной автоматики – от обнаружения аварийного режима до восстановления электроснабжения по резервной или неповреждённой части сети.</w:t>
      </w:r>
    </w:p>
    <w:p w14:paraId="06A58FF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textAlignment w:val="auto"/>
        <w:rPr>
          <w:rFonts w:cs="Times New Roman"/>
          <w:sz w:val="28"/>
          <w:szCs w:val="28"/>
        </w:rPr>
      </w:pPr>
    </w:p>
    <w:p w14:paraId="79F9EB8F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hint="default" w:ascii="Times New Roman Bold" w:hAnsi="Times New Roman Bold" w:cs="Times New Roman Bold"/>
          <w:b/>
          <w:bCs/>
        </w:rPr>
      </w:pPr>
    </w:p>
    <w:p w14:paraId="610498C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hint="default" w:ascii="Times New Roman Bold" w:hAnsi="Times New Roman Bold" w:cs="Times New Roman Bold"/>
          <w:b/>
          <w:bCs/>
        </w:rPr>
      </w:pPr>
    </w:p>
    <w:p w14:paraId="5627530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hint="default" w:ascii="Times New Roman Bold" w:hAnsi="Times New Roman Bold" w:cs="Times New Roman Bold"/>
          <w:b/>
          <w:bCs/>
        </w:rPr>
      </w:pPr>
    </w:p>
    <w:p w14:paraId="788D23AF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hint="default" w:ascii="Times New Roman Bold" w:hAnsi="Times New Roman Bold" w:cs="Times New Roman Bold"/>
          <w:b/>
          <w:bCs/>
        </w:rPr>
      </w:pPr>
    </w:p>
    <w:p w14:paraId="2434C15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hint="default" w:ascii="Times New Roman Bold" w:hAnsi="Times New Roman Bold" w:cs="Times New Roman Bold"/>
          <w:b/>
          <w:bCs/>
        </w:rPr>
      </w:pPr>
    </w:p>
    <w:p w14:paraId="0E866D23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hint="default" w:ascii="Times New Roman Bold" w:hAnsi="Times New Roman Bold" w:cs="Times New Roman Bold"/>
          <w:b/>
          <w:bCs/>
        </w:rPr>
      </w:pPr>
    </w:p>
    <w:p w14:paraId="5EC60855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hint="default" w:ascii="Times New Roman Bold" w:hAnsi="Times New Roman Bold" w:cs="Times New Roman Bold"/>
          <w:b/>
          <w:bCs/>
        </w:rPr>
      </w:pPr>
    </w:p>
    <w:p w14:paraId="69C27E1C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0" w:firstLineChars="0"/>
        <w:jc w:val="both"/>
        <w:textAlignment w:val="auto"/>
        <w:rPr>
          <w:rFonts w:hint="default" w:ascii="Times New Roman Bold" w:hAnsi="Times New Roman Bold" w:cs="Times New Roman Bold"/>
          <w:b/>
          <w:bCs/>
        </w:rPr>
      </w:pPr>
    </w:p>
    <w:p w14:paraId="6C38E3EF">
      <w:pPr>
        <w:keepNext/>
        <w:keepLines w:val="0"/>
        <w:pageBreakBefore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  <w:outlineLvl w:val="0"/>
        <w:rPr>
          <w:rFonts w:hint="default" w:ascii="Times New Roman Bold" w:hAnsi="Times New Roman Bold" w:cs="Times New Roman Bold"/>
          <w:b/>
          <w:bCs/>
        </w:rPr>
      </w:pPr>
      <w:bookmarkStart w:id="17" w:name="_Toc1634611113"/>
      <w:r>
        <w:rPr>
          <w:rFonts w:ascii="Times New Roman" w:hAnsi="Times New Roman" w:eastAsia="Times New Roman" w:cs="Times New Roman"/>
          <w:b/>
          <w:sz w:val="28"/>
        </w:rPr>
        <w:t>2 Разработка алгоритмов автоматики и дистанционного управления автоматизированным участком ВЛ</w:t>
      </w:r>
      <w:bookmarkEnd w:id="17"/>
    </w:p>
    <w:p w14:paraId="4353D13F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  <w:rPr>
          <w:rFonts w:hint="default" w:ascii="Times New Roman Bold" w:hAnsi="Times New Roman Bold" w:cs="Times New Roman Bold"/>
          <w:b/>
          <w:bCs/>
        </w:rPr>
      </w:pPr>
      <w:bookmarkStart w:id="18" w:name="_Toc150680120"/>
      <w:bookmarkStart w:id="19" w:name="_Toc372918653"/>
      <w:r>
        <w:rPr>
          <w:rFonts w:hint="default" w:ascii="Times New Roman" w:hAnsi="Times New Roman" w:eastAsia="Times New Roman" w:cs="Times New Roman"/>
          <w:b/>
          <w:bCs/>
          <w:sz w:val="28"/>
        </w:rPr>
        <w:t>2.1 Алгоритмы обнаружения аварийных режимов на воздушной линии</w:t>
      </w:r>
      <w:bookmarkEnd w:id="18"/>
      <w:bookmarkEnd w:id="19"/>
    </w:p>
    <w:p w14:paraId="5FB85B0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Короткие замыкания в распределительных сетях 6–10 кВ подразделяются на четыре типа: трёхфазное (К3), двухфазное (К2), двухфазное на землю (К1,1) и однофазное замыкание на землю (К1). Трёхфазное КЗ характеризуется максимальными токами и используется при расчёте уставок токовой отсечки. Двухфазное КЗ даёт ток, составляющий 0,87 от тока трёхфазного КЗ, и используется для проверки чувствительности защит. Однофазное замыкание на землю в сетях с изолированной нейтралью характеризуется малыми токами (единицы — десятки ампер) и, согласно ПУЭ [1], допускает продолжение работы сети в течение не более 2 часов [14].</w:t>
      </w:r>
    </w:p>
    <w:p w14:paraId="1E534C8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Методы расчёта токов КЗ регламентированы ГОСТ Р 52735-2007 [14]. Ток трёхфазного КЗ в произвольной точке сети определяется выражением </w:t>
      </w:r>
      <m:oMath>
        <m:r>
          <m:rPr>
            <m:sty m:val="p"/>
          </m:rPr>
          <w:rPr>
            <w:rFonts w:ascii="DejaVu Math TeX Gyre" w:hAnsi="DejaVu Math TeX Gyre" w:eastAsia="Times New Roman" w:cs="Times New Roman"/>
            <w:color w:val="000000"/>
            <w:sz w:val="28"/>
            <w:szCs w:val="22"/>
            <w:lang w:val="en-US" w:bidi="ar-SA"/>
          </w:rPr>
          <m:t>Iк3 = Uф / Zк</m:t>
        </m:r>
      </m:oMath>
      <w:r>
        <w:rPr>
          <w:rFonts w:ascii="Times New Roman" w:hAnsi="Times New Roman" w:eastAsia="Times New Roman" w:cs="Times New Roman"/>
          <w:b w:val="0"/>
          <w:sz w:val="28"/>
        </w:rPr>
        <w:t xml:space="preserve">, где Uф — фазное напряжение сети, Zк — полное сопротивление цепи КЗ от источника до точки повреждения. Для линии с погонным сопротивлением z0 и длиной l полное сопротивление составляет </w:t>
      </w:r>
      <m:oMath>
        <m:r>
          <m:rPr>
            <m:sty m:val="p"/>
          </m:rPr>
          <w:rPr>
            <w:rFonts w:ascii="DejaVu Math TeX Gyre" w:hAnsi="DejaVu Math TeX Gyre" w:eastAsia="Times New Roman" w:cs="Times New Roman"/>
            <w:color w:val="000000"/>
            <w:sz w:val="28"/>
            <w:szCs w:val="22"/>
            <w:lang w:val="en-US" w:bidi="ar-SA"/>
          </w:rPr>
          <m:t>Zк = Zс + z0 × l</m:t>
        </m:r>
      </m:oMath>
      <w:r>
        <w:rPr>
          <w:rFonts w:ascii="Times New Roman" w:hAnsi="Times New Roman" w:eastAsia="Times New Roman" w:cs="Times New Roman"/>
          <w:b w:val="0"/>
          <w:sz w:val="28"/>
        </w:rPr>
        <w:t>, где Zс — сопротивление системы (определяется мощностью КЗ на шинах подстанции).</w:t>
      </w:r>
    </w:p>
    <w:p w14:paraId="57367AD3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По характеру повреждения КЗ разделяются на устойчивые и неустойчивые. Для воздушных линий 6–10 кВ доля неустойчивых повреждений составляет 50–80 % всех КЗ [15]. Неустойчивые повреждения вызываются схлёстыванием проводов при ветре, перекрытием изоляции при грозах, касанием ветвей деревьев. После снятия напряжения и бестоковой паузы изоляционные свойства промежутка восстанавливаются, и линия может быть включена повторно. Высокая доля неустойчивых повреждений обуславливает обязательность применения АПВ [10].</w:t>
      </w:r>
    </w:p>
    <w:p w14:paraId="73761E9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Статистика аварийности ВЛ 6–10 кВ по данным ПАО «Россети» показывает следующее распределение причин КЗ: грозовые перенапряжения — 30–35 %, падение деревьев и касание ветвей — 25–30 %, гололёдно-ветровые нагрузки — 15–20 %, старение изоляции — 10–15 %, прочие — 5–10 %. Данное распределение определяет приоритеты при настройке алгоритмов защиты: быстродействие ТО для межфазных КЗ при грозах и чувствительность защиты от ОЗЗ для повреждений, вызванных падением деревьев [12].</w:t>
      </w:r>
    </w:p>
    <w:p w14:paraId="674B6AAC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2"/>
        <w:rPr>
          <w:rFonts w:hint="default" w:ascii="Times New Roman Bold" w:hAnsi="Times New Roman Bold" w:cs="Times New Roman Bold"/>
          <w:b/>
          <w:bCs/>
        </w:rPr>
      </w:pPr>
      <w:bookmarkStart w:id="20" w:name="_Toc597557027"/>
      <w:r>
        <w:rPr>
          <w:rFonts w:hint="default" w:ascii="Times New Roman" w:hAnsi="Times New Roman" w:eastAsia="Times New Roman" w:cs="Times New Roman"/>
          <w:b/>
          <w:bCs/>
          <w:sz w:val="28"/>
        </w:rPr>
        <w:t>2.1.1 Расчёт уставок релейной защиты реклоузера автоматизированного участка ВЛ 6–10 кВ</w:t>
      </w:r>
      <w:bookmarkEnd w:id="20"/>
    </w:p>
    <w:p w14:paraId="1F30771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Как описано в разделе 1.6, блок управления реклоузера непрерывно измеряет токи в фазах линии и сравнивает их с уставками двух ступеней защиты: токовой отсечки (ТО) и максимальной токовой защиты (МТЗ). Расчёт уставок выполняется на этапе проектирования по методикам, изложенным в [9] и [10].</w:t>
      </w:r>
    </w:p>
    <w:p w14:paraId="190C0B2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Уставка токовой отсечки определяется из условия отстройки от максимального тока КЗ в конце защищаемой зоны:</w:t>
      </w:r>
    </w:p>
    <w:p w14:paraId="06627AA9">
      <w:pPr>
        <w:keepLines w:val="0"/>
        <w:widowControl/>
        <w:tabs>
          <w:tab w:val="center" w:pos="4677"/>
          <w:tab w:val="right" w:pos="935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</w:pPr>
      <w:r>
        <w:tab/>
      </w:r>
      <m:oMath>
        <m:r>
          <m:rPr/>
          <w:rPr>
            <w:rFonts w:ascii="Cambria Math" w:hAnsi="Cambria Math" w:eastAsia="Cambria Math"/>
            <w:sz w:val="28"/>
            <w:szCs w:val="28"/>
          </w:rPr>
          <m:t>Iто = Kн × Iкз.макс.конец,</m:t>
        </m:r>
      </m:oMath>
      <w:r>
        <w:tab/>
      </w:r>
      <w:r>
        <w:rPr>
          <w:rFonts w:ascii="Times New Roman" w:hAnsi="Times New Roman" w:eastAsia="Times New Roman"/>
          <w:sz w:val="28"/>
        </w:rPr>
        <w:t>(2.1)</w:t>
      </w:r>
    </w:p>
    <w:p w14:paraId="52C9FC9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где Kн — коэффициент надёжности (1,2–1,3); Iкз.макс.конец — максимальный ток трёхфазного КЗ в конце защищаемой зоны. ТО действует без выдержки времени (мгновенно) и защищает только часть линии — от точки установки реклоузера до границы зоны, где ток КЗ достаточен для срабатывания [9].</w:t>
      </w:r>
    </w:p>
    <w:p w14:paraId="45AD3C3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sz w:val="28"/>
        </w:rPr>
        <w:t>Чувствительность ТО проверяется по коэффициенту чувствительности:</w:t>
      </w:r>
    </w:p>
    <w:p w14:paraId="15E9AA65">
      <w:pPr>
        <w:tabs>
          <w:tab w:val="center" w:pos="4677"/>
          <w:tab w:val="right" w:pos="9355"/>
        </w:tabs>
        <w:spacing w:before="0" w:after="0" w:line="360" w:lineRule="auto"/>
        <w:ind w:firstLine="0"/>
        <w:jc w:val="left"/>
      </w:pPr>
      <w:r>
        <w:tab/>
      </w:r>
      <m:oMath>
        <m:r>
          <m:rPr/>
          <w:rPr>
            <w:rFonts w:ascii="Cambria Math" w:hAnsi="Cambria Math" w:eastAsia="Cambria Math"/>
            <w:sz w:val="28"/>
            <w:szCs w:val="28"/>
          </w:rPr>
          <m:t>Кч = Iкз.мин / Iто,</m:t>
        </m:r>
      </m:oMath>
      <w:r>
        <w:tab/>
      </w:r>
      <w:r>
        <w:rPr>
          <w:rFonts w:ascii="Times New Roman" w:hAnsi="Times New Roman" w:eastAsia="Times New Roman"/>
          <w:sz w:val="28"/>
        </w:rPr>
        <w:t>(2.2)</w:t>
      </w:r>
    </w:p>
    <w:p w14:paraId="365B379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где Iкз.мин — минимальный ток КЗ (двухфазное) в начале защищаемой зоны. Требование ПУЭ: Кч ≥ 1,2 [1].</w:t>
      </w:r>
    </w:p>
    <w:p w14:paraId="106EB47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Уставка максимальной токовой защиты определяется по выражению:</w:t>
      </w:r>
    </w:p>
    <w:p w14:paraId="60EC388F">
      <w:pPr>
        <w:keepLines w:val="0"/>
        <w:widowControl/>
        <w:tabs>
          <w:tab w:val="center" w:pos="4677"/>
          <w:tab w:val="right" w:pos="935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</w:pPr>
      <w:r>
        <w:tab/>
      </w:r>
      <m:oMath>
        <m:r>
          <m:rPr/>
          <w:rPr>
            <w:rFonts w:ascii="Cambria Math" w:hAnsi="Cambria Math" w:eastAsia="Cambria Math"/>
            <w:sz w:val="28"/>
            <w:szCs w:val="28"/>
          </w:rPr>
          <m:t>Iмтз = (Kн × Kсз × Iраб.макс) / Kв,</m:t>
        </m:r>
      </m:oMath>
      <w:r>
        <w:tab/>
      </w:r>
      <w:r>
        <w:rPr>
          <w:rFonts w:ascii="Times New Roman" w:hAnsi="Times New Roman" w:eastAsia="Times New Roman"/>
          <w:sz w:val="28"/>
        </w:rPr>
        <w:t>(2.3)</w:t>
      </w:r>
    </w:p>
    <w:p w14:paraId="3DABB430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где Kн = 1,1–1,2 — коэффициент надёжности; Kсз = 1,1–1,3 — коэффициент самозапуска нагрузки после кратковременного перерыва питания; Iраб.макс — максимальный рабочий ток линии; Kв = 0,85–0,95 — коэффициент возврата токового реле. МТЗ защищает всю длину линии и действует с выдержкой времени, обеспечивающей селективность с нижестоящими защитами [10].</w:t>
      </w:r>
    </w:p>
    <w:p w14:paraId="34FA09A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Выдержка времени МТЗ строится по ступенчатому принципу: каждая последующая защита по направлению к источнику питания имеет выдержку времени на ступень селективности Δt = 0,3–0,5 с больше, чем предыдущая. Для головного реклоузера фидера выдержка времени МТЗ составляет 0,5 с при условии, что выдержка защит головного выключателя подстанции равна 0,8–1,0 с [9].</w:t>
      </w:r>
    </w:p>
    <w:p w14:paraId="3D053AE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Автоматическое повторное включение рассматривается как составная часть алгоритма реагирования на аварийные режимы.</w:t>
      </w:r>
    </w:p>
    <w:p w14:paraId="521E6EE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АПВ является обязательным элементом автоматики ВЛ 6–10 кВ и предназначено для восстановления электроснабжения при неустойчивых повреждениях без вмешательства персонала. Алгоритм АПВ реклоузера реализует программируемую последовательность циклов «отключение — пауза — включение» [15].</w:t>
      </w:r>
    </w:p>
    <w:p w14:paraId="62E2DC8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Цикл 1 — быстрое АПВ. После срабатывания защиты и отключения реклоузера выдерживается пауза t1 = 1–3 с, достаточная для деионизации воздушного промежутка в месте повреждения. Реклоузер включается автоматически. Если ток КЗ отсутствует, линия остаётся в работе. Если ток КЗ сохраняется, защита повторно отключает реклоузер. Успешность первого цикла АПВ для ВЛ 6–10 кВ составляет 60–75 % [15].</w:t>
      </w:r>
    </w:p>
    <w:p w14:paraId="2FED9565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Координация уставок защит выполняется на этапе настройки алгоритма аварийного реагирования.</w:t>
      </w:r>
    </w:p>
    <w:p w14:paraId="111A971F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При неуспешном втором цикле АПВ реклоузер переходит в состояние окончательного отключения (lockout). Блок управления формирует сигнал аварии в систему SCADA с указанием типа сработавшей защиты, значений токов в момент КЗ и количества выполненных циклов АПВ. Дальнейшая ликвидация аварии выполняется алгоритмами автоматического секционирования и восстановления электроснабжения, рассмотренными далее в настоящей главе [15].</w:t>
      </w:r>
    </w:p>
    <w:p w14:paraId="3A10702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Число циклов АПВ и длительность пауз являются настраиваемыми параметрами блока управления реклоузера. Для ВЛ 6–10 кВ рекомендуется применение двух циклов: быстрого (1–3 с) и замедленного (10–30 с). Увеличение числа циклов до трёх-четырёх допускается для линий с высокой долей неустойчивых повреждений (лесные просеки, открытая местность с грозовой активностью) [9].</w:t>
      </w:r>
    </w:p>
    <w:p w14:paraId="427748C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Координация уставок обеспечивает селективность — при КЗ на любом участке линии отключается только ближайший к месту повреждения защитный аппарат, не затрагивая вышестоящие защиты. Для схемы с одним реклоузером Р1 в начале фидера координация выполняется между уставками реклоузера и защитами головного выключателя питающей подстанции [9], [24].</w:t>
      </w:r>
    </w:p>
    <w:p w14:paraId="7EA61200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Принцип координации: выдержка времени МТЗ реклоузера Р1 должна быть на ступень селективности Δt меньше выдержки времени защит головного выключателя подстанции. При Δt = 0,3 с и выдержке защит подстанции 0,8 с выдержка МТЗ реклоузера составляет 0,5 с. Токовая отсечка реклоузера действует мгновенно (0,02 с), поэтому селективность с защитами подстанции обеспечивается по зоне действия: ТО реклоузера отстроена от токов КЗ на шинах подстанции [10].</w:t>
      </w:r>
    </w:p>
    <w:p w14:paraId="39788FF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sz w:val="28"/>
        </w:rPr>
        <w:t>Для типового фидера 10 кВ с максимальным рабочим током 250 А и максимальным током трёхфазного КЗ в конце защищаемой зоны 2000 А рассчитываются следующие уставки.</w:t>
      </w:r>
    </w:p>
    <w:p w14:paraId="6B487D2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Уставка ТО:</w:t>
      </w:r>
    </w:p>
    <w:p w14:paraId="3788A6B2">
      <w:pPr>
        <w:tabs>
          <w:tab w:val="center" w:pos="4677"/>
          <w:tab w:val="right" w:pos="9355"/>
        </w:tabs>
        <w:spacing w:before="0" w:after="0" w:line="360" w:lineRule="auto"/>
        <w:ind w:firstLine="0"/>
        <w:jc w:val="left"/>
      </w:pPr>
      <w:r>
        <w:tab/>
      </w:r>
      <m:oMath>
        <m:r>
          <m:rPr/>
          <w:rPr>
            <w:rFonts w:ascii="Cambria Math" w:hAnsi="Cambria Math" w:eastAsia="Cambria Math"/>
            <w:sz w:val="28"/>
            <w:szCs w:val="28"/>
          </w:rPr>
          <m:t>Iто = 1,2 × 2000 = 2400 А, принимается 2500 А.</m:t>
        </m:r>
      </m:oMath>
      <w:r>
        <w:tab/>
      </w:r>
      <w:r>
        <w:rPr>
          <w:rFonts w:ascii="Times New Roman" w:hAnsi="Times New Roman" w:eastAsia="Times New Roman"/>
          <w:sz w:val="28"/>
        </w:rPr>
        <w:t>(2.4)</w:t>
      </w:r>
    </w:p>
    <w:p w14:paraId="45959FE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Уставка МТЗ:</w:t>
      </w:r>
    </w:p>
    <w:p w14:paraId="3D765246">
      <w:pPr>
        <w:tabs>
          <w:tab w:val="center" w:pos="4677"/>
          <w:tab w:val="right" w:pos="9355"/>
        </w:tabs>
        <w:spacing w:before="0" w:after="0" w:line="360" w:lineRule="auto"/>
        <w:ind w:firstLine="0"/>
        <w:jc w:val="left"/>
      </w:pPr>
      <w:r>
        <w:tab/>
      </w:r>
      <m:oMath>
        <m:r>
          <m:rPr/>
          <w:rPr>
            <w:rFonts w:ascii="Cambria Math" w:hAnsi="Cambria Math" w:eastAsia="Cambria Math"/>
            <w:sz w:val="28"/>
            <w:szCs w:val="28"/>
          </w:rPr>
          <m:t>Iмтз = (1,1 × 1,2 × 250) / 0,9 = 367 А, принимается 400 А.</m:t>
        </m:r>
      </m:oMath>
      <w:r>
        <w:tab/>
      </w:r>
      <w:r>
        <w:rPr>
          <w:rFonts w:ascii="Times New Roman" w:hAnsi="Times New Roman" w:eastAsia="Times New Roman"/>
          <w:sz w:val="28"/>
        </w:rPr>
        <w:t>(2.5)</w:t>
      </w:r>
    </w:p>
    <w:p w14:paraId="3971790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Уставка защиты от ОЗЗ:</w:t>
      </w:r>
    </w:p>
    <w:p w14:paraId="3DCDEFA5">
      <w:pPr>
        <w:tabs>
          <w:tab w:val="center" w:pos="4677"/>
          <w:tab w:val="right" w:pos="9355"/>
        </w:tabs>
        <w:spacing w:before="0" w:after="0" w:line="360" w:lineRule="auto"/>
        <w:ind w:firstLine="0"/>
        <w:jc w:val="left"/>
      </w:pPr>
      <w:r>
        <w:tab/>
      </w:r>
      <m:oMath>
        <m:r>
          <m:rPr/>
          <w:rPr>
            <w:rFonts w:ascii="Cambria Math" w:hAnsi="Cambria Math" w:eastAsia="Cambria Math"/>
            <w:sz w:val="28"/>
            <w:szCs w:val="28"/>
          </w:rPr>
          <m:t>Iозз = 10 А (по току нулевой последовательности 3I0) [9], [24].</m:t>
        </m:r>
      </m:oMath>
      <w:r>
        <w:tab/>
      </w:r>
      <w:r>
        <w:rPr>
          <w:rFonts w:ascii="Times New Roman" w:hAnsi="Times New Roman" w:eastAsia="Times New Roman"/>
          <w:sz w:val="28"/>
        </w:rPr>
        <w:t>(2.6)</w:t>
      </w:r>
    </w:p>
    <w:p w14:paraId="1F1E4DE5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Типовые уставки защит реклоузера Р1 для рассматриваемого фидера приведены в таблице 2.1.</w:t>
      </w:r>
    </w:p>
    <w:p w14:paraId="1D7C0BB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Таблица 2.1 – Уставки защит реклоузера Р1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3118"/>
        <w:gridCol w:w="3118"/>
      </w:tblGrid>
      <w:tr w14:paraId="1780071C">
        <w:tc>
          <w:tcPr>
            <w:tcW w:w="3118" w:type="dxa"/>
          </w:tcPr>
          <w:p w14:paraId="6E97198E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Параметр</w:t>
            </w:r>
          </w:p>
        </w:tc>
        <w:tc>
          <w:tcPr>
            <w:tcW w:w="3118" w:type="dxa"/>
          </w:tcPr>
          <w:p w14:paraId="7187EF3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Значение</w:t>
            </w:r>
          </w:p>
        </w:tc>
        <w:tc>
          <w:tcPr>
            <w:tcW w:w="3118" w:type="dxa"/>
          </w:tcPr>
          <w:p w14:paraId="305F4A2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Примечание</w:t>
            </w:r>
          </w:p>
        </w:tc>
      </w:tr>
      <w:tr w14:paraId="36F0D30B">
        <w:tc>
          <w:tcPr>
            <w:tcW w:w="3118" w:type="dxa"/>
          </w:tcPr>
          <w:p w14:paraId="451D012E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Уставка ТО (Iто)</w:t>
            </w:r>
          </w:p>
        </w:tc>
        <w:tc>
          <w:tcPr>
            <w:tcW w:w="3118" w:type="dxa"/>
          </w:tcPr>
          <w:p w14:paraId="4A6526E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2500 А</w:t>
            </w:r>
          </w:p>
        </w:tc>
        <w:tc>
          <w:tcPr>
            <w:tcW w:w="3118" w:type="dxa"/>
          </w:tcPr>
          <w:p w14:paraId="6D7A301C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m:oMathPara>
              <m:oMath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Kн = 1,2; Iкз.конец = 2000 А</m:t>
                </m:r>
              </m:oMath>
            </m:oMathPara>
          </w:p>
        </w:tc>
      </w:tr>
      <w:tr w14:paraId="4B8CF803">
        <w:tc>
          <w:tcPr>
            <w:tcW w:w="3118" w:type="dxa"/>
          </w:tcPr>
          <w:p w14:paraId="01F5A12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Время ТО (tто)</w:t>
            </w:r>
          </w:p>
        </w:tc>
        <w:tc>
          <w:tcPr>
            <w:tcW w:w="3118" w:type="dxa"/>
          </w:tcPr>
          <w:p w14:paraId="1F8B740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0,02 с</w:t>
            </w:r>
          </w:p>
        </w:tc>
        <w:tc>
          <w:tcPr>
            <w:tcW w:w="3118" w:type="dxa"/>
          </w:tcPr>
          <w:p w14:paraId="6D83C7B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Мгновенное действие</w:t>
            </w:r>
          </w:p>
        </w:tc>
      </w:tr>
      <w:tr w14:paraId="2D023EE4">
        <w:tc>
          <w:tcPr>
            <w:tcW w:w="3118" w:type="dxa"/>
          </w:tcPr>
          <w:p w14:paraId="36B6F60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Уставка МТЗ (Iмтз)</w:t>
            </w:r>
          </w:p>
        </w:tc>
        <w:tc>
          <w:tcPr>
            <w:tcW w:w="3118" w:type="dxa"/>
          </w:tcPr>
          <w:p w14:paraId="19A8080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400 А</w:t>
            </w:r>
          </w:p>
        </w:tc>
        <w:tc>
          <w:tcPr>
            <w:tcW w:w="3118" w:type="dxa"/>
          </w:tcPr>
          <w:p w14:paraId="733A575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m:oMathPara>
              <m:oMath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Kн = 1,1; Kсз = 1,2; Kв = 0,9</m:t>
                </m:r>
              </m:oMath>
            </m:oMathPara>
          </w:p>
        </w:tc>
      </w:tr>
      <w:tr w14:paraId="50619109">
        <w:tc>
          <w:tcPr>
            <w:tcW w:w="3118" w:type="dxa"/>
          </w:tcPr>
          <w:p w14:paraId="38A53B5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Время МТЗ (tмтз)</w:t>
            </w:r>
          </w:p>
        </w:tc>
        <w:tc>
          <w:tcPr>
            <w:tcW w:w="3118" w:type="dxa"/>
          </w:tcPr>
          <w:p w14:paraId="0D96AF5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0,5 с</w:t>
            </w:r>
          </w:p>
        </w:tc>
        <w:tc>
          <w:tcPr>
            <w:tcW w:w="3118" w:type="dxa"/>
          </w:tcPr>
          <w:p w14:paraId="2B109B2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m:oMathPara>
              <m:oMath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Ступень селективности Δt = 0,3 с</m:t>
                </m:r>
              </m:oMath>
            </m:oMathPara>
          </w:p>
        </w:tc>
      </w:tr>
      <w:tr w14:paraId="191F9A1D">
        <w:tc>
          <w:tcPr>
            <w:tcW w:w="3118" w:type="dxa"/>
          </w:tcPr>
          <w:p w14:paraId="38920DC4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Уставка ОЗЗ (3I0)</w:t>
            </w:r>
          </w:p>
        </w:tc>
        <w:tc>
          <w:tcPr>
            <w:tcW w:w="3118" w:type="dxa"/>
          </w:tcPr>
          <w:p w14:paraId="5662023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10 А</w:t>
            </w:r>
          </w:p>
        </w:tc>
        <w:tc>
          <w:tcPr>
            <w:tcW w:w="3118" w:type="dxa"/>
          </w:tcPr>
          <w:p w14:paraId="7CA5AE4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 току нулевой последовательности</w:t>
            </w:r>
          </w:p>
        </w:tc>
      </w:tr>
      <w:tr w14:paraId="6F79C150">
        <w:tc>
          <w:tcPr>
            <w:tcW w:w="3118" w:type="dxa"/>
          </w:tcPr>
          <w:p w14:paraId="3F79BE3C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Время ОЗЗ (tозз)</w:t>
            </w:r>
          </w:p>
        </w:tc>
        <w:tc>
          <w:tcPr>
            <w:tcW w:w="3118" w:type="dxa"/>
          </w:tcPr>
          <w:p w14:paraId="3500D4B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0,5 с</w:t>
            </w:r>
          </w:p>
        </w:tc>
        <w:tc>
          <w:tcPr>
            <w:tcW w:w="3118" w:type="dxa"/>
          </w:tcPr>
          <w:p w14:paraId="40933334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 выдержкой времени</w:t>
            </w:r>
          </w:p>
        </w:tc>
      </w:tr>
      <w:tr w14:paraId="5F5AA109">
        <w:tc>
          <w:tcPr>
            <w:tcW w:w="3118" w:type="dxa"/>
          </w:tcPr>
          <w:p w14:paraId="40DFC65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Циклов АПВ</w:t>
            </w:r>
          </w:p>
        </w:tc>
        <w:tc>
          <w:tcPr>
            <w:tcW w:w="3118" w:type="dxa"/>
          </w:tcPr>
          <w:p w14:paraId="3CA15DE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3118" w:type="dxa"/>
          </w:tcPr>
          <w:p w14:paraId="5FC0CC2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Быстрое + замедленное</w:t>
            </w:r>
          </w:p>
        </w:tc>
      </w:tr>
      <w:tr w14:paraId="16073C30">
        <w:tc>
          <w:tcPr>
            <w:tcW w:w="3118" w:type="dxa"/>
          </w:tcPr>
          <w:p w14:paraId="5F7E40B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Пауза АПВ-1 (t1)</w:t>
            </w:r>
          </w:p>
        </w:tc>
        <w:tc>
          <w:tcPr>
            <w:tcW w:w="3118" w:type="dxa"/>
          </w:tcPr>
          <w:p w14:paraId="535EAC24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 с</w:t>
            </w:r>
          </w:p>
        </w:tc>
        <w:tc>
          <w:tcPr>
            <w:tcW w:w="3118" w:type="dxa"/>
          </w:tcPr>
          <w:p w14:paraId="476A839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Быстрый цикл</w:t>
            </w:r>
          </w:p>
        </w:tc>
      </w:tr>
      <w:tr w14:paraId="63CA982D">
        <w:tc>
          <w:tcPr>
            <w:tcW w:w="3118" w:type="dxa"/>
          </w:tcPr>
          <w:p w14:paraId="69EB5EE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Пауза АПВ-2 (t2)</w:t>
            </w:r>
          </w:p>
        </w:tc>
        <w:tc>
          <w:tcPr>
            <w:tcW w:w="3118" w:type="dxa"/>
          </w:tcPr>
          <w:p w14:paraId="0B0A89E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15 с</w:t>
            </w:r>
          </w:p>
        </w:tc>
        <w:tc>
          <w:tcPr>
            <w:tcW w:w="3118" w:type="dxa"/>
          </w:tcPr>
          <w:p w14:paraId="0207B5D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Замедленный цикл</w:t>
            </w:r>
          </w:p>
        </w:tc>
      </w:tr>
      <w:tr w14:paraId="6AB3C140">
        <w:tc>
          <w:tcPr>
            <w:tcW w:w="3118" w:type="dxa"/>
          </w:tcPr>
          <w:p w14:paraId="6DE064E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Коэфф. возврата (Kв)</w:t>
            </w:r>
          </w:p>
        </w:tc>
        <w:tc>
          <w:tcPr>
            <w:tcW w:w="3118" w:type="dxa"/>
          </w:tcPr>
          <w:p w14:paraId="1C29B78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0,9</w:t>
            </w:r>
          </w:p>
        </w:tc>
        <w:tc>
          <w:tcPr>
            <w:tcW w:w="3118" w:type="dxa"/>
          </w:tcPr>
          <w:p w14:paraId="37774B3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токового органа МТЗ</w:t>
            </w:r>
          </w:p>
        </w:tc>
      </w:tr>
    </w:tbl>
    <w:p w14:paraId="0773342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textAlignment w:val="auto"/>
      </w:pPr>
    </w:p>
    <w:p w14:paraId="53F25F4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sz w:val="28"/>
        </w:rPr>
        <w:t>Проверка чувствительности МТЗ выполняется по выражению:</w:t>
      </w:r>
    </w:p>
    <w:p w14:paraId="3F4729AE">
      <w:pPr>
        <w:tabs>
          <w:tab w:val="center" w:pos="4677"/>
          <w:tab w:val="right" w:pos="9355"/>
        </w:tabs>
        <w:spacing w:before="0" w:after="0" w:line="360" w:lineRule="auto"/>
        <w:ind w:firstLine="0"/>
        <w:jc w:val="left"/>
      </w:pPr>
      <w:r>
        <w:tab/>
      </w:r>
      <m:oMath>
        <m:r>
          <m:rPr/>
          <w:rPr>
            <w:rFonts w:ascii="Cambria Math" w:hAnsi="Cambria Math" w:eastAsia="Cambria Math"/>
            <w:sz w:val="28"/>
            <w:szCs w:val="28"/>
          </w:rPr>
          <m:t>Кч = Iкз.мин.конец / Iмтз,</m:t>
        </m:r>
      </m:oMath>
      <w:r>
        <w:tab/>
      </w:r>
      <w:r>
        <w:rPr>
          <w:rFonts w:ascii="Times New Roman" w:hAnsi="Times New Roman" w:eastAsia="Times New Roman"/>
          <w:sz w:val="28"/>
        </w:rPr>
        <w:t>(2.7)</w:t>
      </w:r>
    </w:p>
    <w:p w14:paraId="1B0D4E0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где Iкз.мин.конец — минимальный ток двухфазного КЗ в конце защищаемой зоны. Для рассматриваемого фидера принимаем:</w:t>
      </w:r>
    </w:p>
    <w:p w14:paraId="134F1FC8">
      <w:pPr>
        <w:tabs>
          <w:tab w:val="center" w:pos="4677"/>
          <w:tab w:val="right" w:pos="9355"/>
        </w:tabs>
        <w:spacing w:before="0" w:after="0" w:line="360" w:lineRule="auto"/>
        <w:ind w:firstLine="0"/>
        <w:jc w:val="left"/>
      </w:pPr>
      <w:r>
        <w:tab/>
      </w:r>
      <m:oMath>
        <m:r>
          <m:rPr/>
          <w:rPr>
            <w:rFonts w:ascii="Cambria Math" w:hAnsi="Cambria Math" w:eastAsia="Cambria Math"/>
            <w:sz w:val="28"/>
            <w:szCs w:val="28"/>
          </w:rPr>
          <m:t>Iкз.мин.конец = 0,87 × 2000 × (Zк.начало / Zк.конец) ≈ 800 А.</m:t>
        </m:r>
      </m:oMath>
      <w:r>
        <w:tab/>
      </w:r>
      <w:r>
        <w:rPr>
          <w:rFonts w:ascii="Times New Roman" w:hAnsi="Times New Roman" w:eastAsia="Times New Roman"/>
          <w:sz w:val="28"/>
        </w:rPr>
        <w:t>(2.8)</w:t>
      </w:r>
    </w:p>
    <w:p w14:paraId="26B3B84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Тогда коэффициент чувствительности составляет:</w:t>
      </w:r>
    </w:p>
    <w:p w14:paraId="65B728A3">
      <w:pPr>
        <w:tabs>
          <w:tab w:val="center" w:pos="4677"/>
          <w:tab w:val="right" w:pos="9355"/>
        </w:tabs>
        <w:spacing w:before="0" w:after="0" w:line="360" w:lineRule="auto"/>
        <w:ind w:firstLine="0"/>
        <w:jc w:val="left"/>
      </w:pPr>
      <w:r>
        <w:tab/>
      </w:r>
      <m:oMath>
        <m:r>
          <m:rPr/>
          <w:rPr>
            <w:rFonts w:ascii="Cambria Math" w:hAnsi="Cambria Math" w:eastAsia="Cambria Math"/>
            <w:sz w:val="28"/>
            <w:szCs w:val="28"/>
          </w:rPr>
          <m:t>Кч = 800 / 400 = 2,0,</m:t>
        </m:r>
      </m:oMath>
      <w:r>
        <w:tab/>
      </w:r>
      <w:r>
        <w:rPr>
          <w:rFonts w:ascii="Times New Roman" w:hAnsi="Times New Roman" w:eastAsia="Times New Roman"/>
          <w:sz w:val="28"/>
        </w:rPr>
        <w:t>(2.9)</w:t>
      </w:r>
    </w:p>
    <w:p w14:paraId="787DEA3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что превышает требование ПУЭ (Кч ≥ 1,5 для МТЗ линий с односторонним питанием) [1].</w:t>
      </w:r>
    </w:p>
    <w:p w14:paraId="7CC48AD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sz w:val="28"/>
        </w:rPr>
        <w:t>Проверка чувствительности ТО при минимальном токе двухфазного КЗ в начале защищаемой зоны Iкз.мин = 5000 А выполняется следующим образом:</w:t>
      </w:r>
    </w:p>
    <w:p w14:paraId="5961F1F0">
      <w:pPr>
        <w:tabs>
          <w:tab w:val="center" w:pos="4677"/>
          <w:tab w:val="right" w:pos="9355"/>
        </w:tabs>
        <w:spacing w:before="0" w:after="0" w:line="360" w:lineRule="auto"/>
        <w:ind w:firstLine="0"/>
        <w:jc w:val="left"/>
      </w:pPr>
      <w:r>
        <w:tab/>
      </w:r>
      <m:oMath>
        <m:r>
          <m:rPr/>
          <w:rPr>
            <w:rFonts w:ascii="Cambria Math" w:hAnsi="Cambria Math" w:eastAsia="Cambria Math"/>
            <w:sz w:val="28"/>
            <w:szCs w:val="28"/>
          </w:rPr>
          <m:t>Кч = 5000 / 2500 = 2,0,</m:t>
        </m:r>
      </m:oMath>
      <w:r>
        <w:tab/>
      </w:r>
      <w:r>
        <w:rPr>
          <w:rFonts w:ascii="Times New Roman" w:hAnsi="Times New Roman" w:eastAsia="Times New Roman"/>
          <w:sz w:val="28"/>
        </w:rPr>
        <w:t>(2.10)</w:t>
      </w:r>
    </w:p>
    <w:p w14:paraId="3C01B5B1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что превышает требование Кч ≥ 1,2. Зона действия ТО при этом составляет примерно 60–70 % длины линии от точки установки реклоузера [9].</w:t>
      </w:r>
    </w:p>
    <w:p w14:paraId="437AA0D5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Приведённые уставки являются типовыми и подлежат корректировке при проектировании конкретного объекта на основании расчётов режимов и токов КЗ рассматриваемой сети. Расчёт выполняется для максимального и минимального режимов работы энергосистемы с учётом перспективного развития сети [14].</w:t>
      </w:r>
    </w:p>
    <w:p w14:paraId="68E15282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  <w:rPr>
          <w:rFonts w:hint="default" w:ascii="Times New Roman Bold" w:hAnsi="Times New Roman Bold" w:cs="Times New Roman Bold"/>
          <w:b/>
          <w:bCs/>
        </w:rPr>
      </w:pPr>
      <w:bookmarkStart w:id="21" w:name="_Toc1507419417"/>
      <w:bookmarkStart w:id="22" w:name="_Toc1286519025"/>
      <w:r>
        <w:rPr>
          <w:rFonts w:hint="default" w:ascii="Times New Roman" w:hAnsi="Times New Roman" w:eastAsia="Times New Roman" w:cs="Times New Roman"/>
          <w:b/>
          <w:bCs/>
          <w:sz w:val="28"/>
        </w:rPr>
        <w:t>2.2 Алгоритмы автоматического секционирования линии</w:t>
      </w:r>
      <w:bookmarkEnd w:id="21"/>
      <w:bookmarkEnd w:id="22"/>
    </w:p>
    <w:p w14:paraId="46124C7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Автоматическое секционирование — процесс отделения повреждённого участка распределительной линии 6–10 кВ от неповреждённой части сети для минимизации зоны отключения потребителей при устойчивых коротких замыканиях. Секционирование является ключевым этапом технологии FLISR.</w:t>
      </w:r>
    </w:p>
    <w:p w14:paraId="3A5B143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Линия делится на секции границами, в которых установлены разъединители с моторным приводом и индикаторы короткого замыкания (ИКЗ). При возникновении устойчивого КЗ реклоузер головного выключателя исчерпывает циклы АПВ и переходит в состояние lockout, после чего SCADA запускает алгоритм определения повреждённой секции по данным ИКЗ и изолирует её дистанционным отключением ограничивающих разъединителей [1].</w:t>
      </w:r>
    </w:p>
    <w:p w14:paraId="3BFE6E6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Для типового фидера воздушной линии 10 кВ протяжённостью 15–30 км оптимальное число секций составляет 3–5. При трёх секциях среднее количество отключённых потребителей при аварии — 33 % от общего числа абонентов фидера, при пяти — 20 %. Дальнейшее дробление экономически нецелесообразно: прирост надёжности не компенсирует стоимость дополнительных секционирующих пунктов [5].</w:t>
      </w:r>
    </w:p>
    <w:p w14:paraId="0EF5D8D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ИКЗ фиксируют факт протекания тока КЗ через контролируемую точку, измеряют амплитуду и, в сетях с двусторонним питанием, направление тока. Информация передаётся в SCADA по протоколу МЭК 60870-5-104 [18]. Точность определения повреждённой секции целиком определяется исправностью ИКЗ и каналов связи, поэтому алгоритм секционирования предусматривает обработку отказа ИКЗ и потери связи с секционирующим пунктом.</w:t>
      </w:r>
    </w:p>
    <w:p w14:paraId="49FC089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Алгоритм определения повреждённой секции по данным ИКЗ запускается после перехода реклоузера Р1 в состояние lockout, что свидетельствует об устойчивом характере повреждения. Входные данные: состояние реклоузера, сигналы срабатывания ИКЗ от каждого секционирующего пункта, наличие телеметрической связи.</w:t>
      </w:r>
    </w:p>
    <w:p w14:paraId="0D72458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1. Фиксация перехода Р1 в lockout. SCADA получает сигнал об окончательном отключении и инициирует процедуру определения места повреждения.</w:t>
      </w:r>
    </w:p>
    <w:p w14:paraId="547CFED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2. Опрос ИКЗ всех секционирующих разъединителей РШ1, РШ2, …, РШn по каналам телемеханики. Время опроса не превышает 5 с при использовании протокола МЭК 60870-5-104 [18].</w:t>
      </w:r>
    </w:p>
    <w:p w14:paraId="673CA14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3. Анализ данных. Логический принцип: если ИКЗ в точке k зафиксировал ток КЗ, а ИКЗ в точке k+1 не зафиксировал — повреждение находится в секции между точками k и k+1. Частный случай: все ИКЗ сработали — повреждение в последней секции; ни один ИКЗ не сработал — повреждение в первой секции (между реклоузером и РШ1).</w:t>
      </w:r>
    </w:p>
    <w:p w14:paraId="2591A90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4. Верификация результата. Корректной считается ситуация, когда сработавшие ИКЗ образуют непрерывную последовательность от реклоузера. Пропуск (ИКЗ-1 сработал, ИКЗ-2 нет, ИКЗ-3 сработал) квалифицируется как неоднозначный результат — возможен отказ ИКЗ-2 или множественное повреждение. SCADA формирует предупреждение оперативному персоналу и расширяет предполагаемую зону повреждения до ближайших исправных ИКЗ [9].</w:t>
      </w:r>
    </w:p>
    <w:p w14:paraId="3BA22DF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При потере связи с секционирующим пунктом алгоритм использует резервный канал (GSM/GPRS). Если связь не восстановлена, зона повреждения расширяется до ближайших доступных ИКЗ, а при полной потере телеметрии выполняется переход к ручному секционированию с вызовом оперативной бригады.</w:t>
      </w:r>
    </w:p>
    <w:p w14:paraId="6CE700E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Алгоритм изоляции повреждённого участка обеспечивает дистанционное отключение разъединителей, ограничивающих повреждённую секцию. Входные данные: номер секции, текущее состояние всех коммутационных аппаратов, доступность каналов связи.</w:t>
      </w:r>
    </w:p>
    <w:p w14:paraId="7DCF2DC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1. Проверка предусловий: реклоузер в lockout (линия обесточена, коммутация разъединителей безопасна в бестоковом режиме [1]), наличие связи с разъединителями, отсутствие блокировок ручного режима.</w:t>
      </w:r>
    </w:p>
    <w:p w14:paraId="0EDCA76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2. Формирование команд. Для секции между РШk и РШk+1 формируются команды на отключение обоих разъединителей. Если повреждена первая секция — отключается только РШ1, если последняя — только последний разъединитель.</w:t>
      </w:r>
    </w:p>
    <w:p w14:paraId="45DFC0F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3. Передача команд по каналу телемеханики (МЭК 60870-5-104 [18]). Каждая команда содержит идентификатор аппарата, тип операции, метку времени и контрольную сумму. При отсутствии подтверждения приёма в течение 5 с — повторная передача, при повторной неудаче — переключение на резервный канал.</w:t>
      </w:r>
    </w:p>
    <w:p w14:paraId="742CD48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4. Выполнение переключений. Шкаф управления разъединителя проверяет отсутствие тока по данным встроенного датчика, подаёт питание на моторный привод и контролирует перемещение подвижного контакта по датчику положения. Время операции — 5–15 с в зависимости от конструкции привода и температуры окружающей среды [5].</w:t>
      </w:r>
    </w:p>
    <w:p w14:paraId="5561F2D3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5. Получение квитанций от шкафов управления: подтверждение отключения, время операции, результат контроля видимого разрыва по датчику положения.</w:t>
      </w:r>
    </w:p>
    <w:p w14:paraId="758FAD7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6. Регистрация в журнале событий: время начала и окончания изоляции, номер секции, перечень переключённых аппаратов, результат (успешно/неуспешно). При успешной изоляции управление передаётся алгоритму восстановления питания (раздел 2.3). Состояния аппаратов на каждом этапе приведены в таблице 3.1 (глава 3).</w:t>
      </w:r>
    </w:p>
    <w:p w14:paraId="65EBD89F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Таймауты по шагам: опрос ИКЗ — 10 с, передача команды и подтверждение — 5 с, переключение — 30–60 с, получение квитанции — 10 с. При превышении таймаута — до двух повторов; при исчерпании попыток — переход к ручному режиму с вызовом оперативной бригады.</w:t>
      </w:r>
    </w:p>
    <w:p w14:paraId="7F128B5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Безопасность коммутации обеспечивается двойным контролем отсутствия тока: на уровне SCADA (проверка lockout реклоузера) и на уровне шкафа управления (проверка датчиком тока перед подачей на привод). Двойной контроль исключает коммутацию разъединителя под нагрузкой, которая ведёт к повреждению контактной системы и дуговому замыканию [1].</w:t>
      </w:r>
    </w:p>
    <w:p w14:paraId="49A2FBB5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Рассмотрим работу алгоритма на типовом радиальном фидере ВЛ 10 кВ с тремя секциями. Оборудование: реклоузер Р1 на выходе с шин 10 кВ питающей подстанции, разъединитель РШ1 с ИКЗ-1 на границе секций 1 и 2, разъединитель РШ2 с ИКЗ-2 на границе секций 2 и 3, нормально разомкнутый резервный выключатель НР на связи с соседним фидером.</w:t>
      </w:r>
    </w:p>
    <w:p w14:paraId="7D84CF1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Сценарий 1: КЗ в секции 1 (между Р1 и РШ1). Ни один ИКЗ не фиксирует тока КЗ, поскольку место повреждения расположено до РШ1. Алгоритм определяет повреждённой секцию 1, отключает РШ1. Секции 2 и 3 восстанавливаются включением НР от резервного источника (раздел 2.3).</w:t>
      </w:r>
    </w:p>
    <w:p w14:paraId="181857C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Сценарий 2: КЗ в секции 2 (между РШ1 и РШ2). ИКЗ-1 сработал, ИКЗ-2 не сработал. Повреждена секция 2. Отключаются РШ1 и РШ2. Секция 1 восстанавливается включением Р1, секция 3 — включением НР.</w:t>
      </w:r>
    </w:p>
    <w:p w14:paraId="3902F73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Сценарий 3: КЗ в секции 3 (за РШ2). Оба ИКЗ сработали. Повреждена секция 3. Отключается РШ2. Секции 1 и 2 восстанавливаются включением Р1. Секция 3 остаётся обесточенной до устранения повреждения; НР не включается, так как повреждение находится между РШ2 и НР.</w:t>
      </w:r>
    </w:p>
    <w:p w14:paraId="0C349AE0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Общее время от возникновения КЗ до завершения изоляции составляет 18–25 с, из которых 15–20 с занимают циклы АПВ реклоузера, а 3–5 с — собственно процедура секционирования (опрос ИКЗ, передача команд, переключение разъединителей). Состояния коммутационных аппаратов для всех трёх сценариев приведены в таблице 4.1.</w:t>
      </w:r>
    </w:p>
    <w:p w14:paraId="74317DD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Таблица 2.2 – Состояния коммутационных аппаратов при секционировании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 w14:paraId="4B21C901">
        <w:tc>
          <w:tcPr>
            <w:tcW w:w="1336" w:type="dxa"/>
          </w:tcPr>
          <w:p w14:paraId="11BB281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Сценарий / Этап</w:t>
            </w:r>
          </w:p>
        </w:tc>
        <w:tc>
          <w:tcPr>
            <w:tcW w:w="1336" w:type="dxa"/>
          </w:tcPr>
          <w:p w14:paraId="3D56406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Р1</w:t>
            </w:r>
          </w:p>
        </w:tc>
        <w:tc>
          <w:tcPr>
            <w:tcW w:w="1336" w:type="dxa"/>
          </w:tcPr>
          <w:p w14:paraId="7EA6FCDC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РШ1</w:t>
            </w:r>
          </w:p>
        </w:tc>
        <w:tc>
          <w:tcPr>
            <w:tcW w:w="1336" w:type="dxa"/>
          </w:tcPr>
          <w:p w14:paraId="63A4121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РШ2</w:t>
            </w:r>
          </w:p>
        </w:tc>
        <w:tc>
          <w:tcPr>
            <w:tcW w:w="1336" w:type="dxa"/>
          </w:tcPr>
          <w:p w14:paraId="3D39EF0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НР</w:t>
            </w:r>
          </w:p>
        </w:tc>
        <w:tc>
          <w:tcPr>
            <w:tcW w:w="1336" w:type="dxa"/>
          </w:tcPr>
          <w:p w14:paraId="358E9B94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ИКЗ-1</w:t>
            </w:r>
          </w:p>
        </w:tc>
        <w:tc>
          <w:tcPr>
            <w:tcW w:w="1336" w:type="dxa"/>
          </w:tcPr>
          <w:p w14:paraId="1F3670D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ИКЗ-2</w:t>
            </w:r>
          </w:p>
        </w:tc>
      </w:tr>
      <w:tr w14:paraId="294CB5AD">
        <w:tc>
          <w:tcPr>
            <w:tcW w:w="1336" w:type="dxa"/>
          </w:tcPr>
          <w:p w14:paraId="182E465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Нормальный режим</w:t>
            </w:r>
          </w:p>
        </w:tc>
        <w:tc>
          <w:tcPr>
            <w:tcW w:w="1336" w:type="dxa"/>
          </w:tcPr>
          <w:p w14:paraId="3476623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381713C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0CCC5474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463FDEC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4EC7836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—</w:t>
            </w:r>
          </w:p>
        </w:tc>
        <w:tc>
          <w:tcPr>
            <w:tcW w:w="1336" w:type="dxa"/>
          </w:tcPr>
          <w:p w14:paraId="00D1C51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—</w:t>
            </w:r>
          </w:p>
        </w:tc>
      </w:tr>
      <w:tr w14:paraId="43537F5C">
        <w:tc>
          <w:tcPr>
            <w:tcW w:w="1336" w:type="dxa"/>
          </w:tcPr>
          <w:p w14:paraId="6D160E2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КЗ в секции 1, lockout</w:t>
            </w:r>
          </w:p>
        </w:tc>
        <w:tc>
          <w:tcPr>
            <w:tcW w:w="1336" w:type="dxa"/>
          </w:tcPr>
          <w:p w14:paraId="37DF11D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Lockout</w:t>
            </w:r>
          </w:p>
        </w:tc>
        <w:tc>
          <w:tcPr>
            <w:tcW w:w="1336" w:type="dxa"/>
          </w:tcPr>
          <w:p w14:paraId="495137E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60B7C3E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3A3BB2A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64EF2CB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Нет</w:t>
            </w:r>
          </w:p>
        </w:tc>
        <w:tc>
          <w:tcPr>
            <w:tcW w:w="1336" w:type="dxa"/>
          </w:tcPr>
          <w:p w14:paraId="00689B5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Нет</w:t>
            </w:r>
          </w:p>
        </w:tc>
      </w:tr>
      <w:tr w14:paraId="477ECC13">
        <w:tc>
          <w:tcPr>
            <w:tcW w:w="1336" w:type="dxa"/>
          </w:tcPr>
          <w:p w14:paraId="4D05919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Изоляция секции 1</w:t>
            </w:r>
          </w:p>
        </w:tc>
        <w:tc>
          <w:tcPr>
            <w:tcW w:w="1336" w:type="dxa"/>
          </w:tcPr>
          <w:p w14:paraId="0F0698F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Lockout</w:t>
            </w:r>
          </w:p>
        </w:tc>
        <w:tc>
          <w:tcPr>
            <w:tcW w:w="1336" w:type="dxa"/>
          </w:tcPr>
          <w:p w14:paraId="067EAD6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0F40867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57F93F0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6D58690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—</w:t>
            </w:r>
          </w:p>
        </w:tc>
        <w:tc>
          <w:tcPr>
            <w:tcW w:w="1336" w:type="dxa"/>
          </w:tcPr>
          <w:p w14:paraId="14528AE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—</w:t>
            </w:r>
          </w:p>
        </w:tc>
      </w:tr>
      <w:tr w14:paraId="2065D897">
        <w:tc>
          <w:tcPr>
            <w:tcW w:w="1336" w:type="dxa"/>
          </w:tcPr>
          <w:p w14:paraId="43016BD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КЗ в секции 2, lockout</w:t>
            </w:r>
          </w:p>
        </w:tc>
        <w:tc>
          <w:tcPr>
            <w:tcW w:w="1336" w:type="dxa"/>
          </w:tcPr>
          <w:p w14:paraId="1352571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Lockout</w:t>
            </w:r>
          </w:p>
        </w:tc>
        <w:tc>
          <w:tcPr>
            <w:tcW w:w="1336" w:type="dxa"/>
          </w:tcPr>
          <w:p w14:paraId="63E4688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57209A7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6F3A1AE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7FCFB5A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Да</w:t>
            </w:r>
          </w:p>
        </w:tc>
        <w:tc>
          <w:tcPr>
            <w:tcW w:w="1336" w:type="dxa"/>
          </w:tcPr>
          <w:p w14:paraId="14047BD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Нет</w:t>
            </w:r>
          </w:p>
        </w:tc>
      </w:tr>
      <w:tr w14:paraId="39AE5C30">
        <w:tc>
          <w:tcPr>
            <w:tcW w:w="1336" w:type="dxa"/>
          </w:tcPr>
          <w:p w14:paraId="6EED8B6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Изоляция секции 2</w:t>
            </w:r>
          </w:p>
        </w:tc>
        <w:tc>
          <w:tcPr>
            <w:tcW w:w="1336" w:type="dxa"/>
          </w:tcPr>
          <w:p w14:paraId="50CA86E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Lockout</w:t>
            </w:r>
          </w:p>
        </w:tc>
        <w:tc>
          <w:tcPr>
            <w:tcW w:w="1336" w:type="dxa"/>
          </w:tcPr>
          <w:p w14:paraId="17E4F3F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4E1DF93E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17F6D87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573C8C5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—</w:t>
            </w:r>
          </w:p>
        </w:tc>
        <w:tc>
          <w:tcPr>
            <w:tcW w:w="1336" w:type="dxa"/>
          </w:tcPr>
          <w:p w14:paraId="5D49636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—</w:t>
            </w:r>
          </w:p>
        </w:tc>
      </w:tr>
      <w:tr w14:paraId="398345E1">
        <w:tc>
          <w:tcPr>
            <w:tcW w:w="1336" w:type="dxa"/>
          </w:tcPr>
          <w:p w14:paraId="1C8833A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КЗ в секции 3, lockout</w:t>
            </w:r>
          </w:p>
        </w:tc>
        <w:tc>
          <w:tcPr>
            <w:tcW w:w="1336" w:type="dxa"/>
          </w:tcPr>
          <w:p w14:paraId="531BEEC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Lockout</w:t>
            </w:r>
          </w:p>
        </w:tc>
        <w:tc>
          <w:tcPr>
            <w:tcW w:w="1336" w:type="dxa"/>
          </w:tcPr>
          <w:p w14:paraId="117A000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439BAAD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67EC2F5E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0CE169F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Да</w:t>
            </w:r>
          </w:p>
        </w:tc>
        <w:tc>
          <w:tcPr>
            <w:tcW w:w="1336" w:type="dxa"/>
          </w:tcPr>
          <w:p w14:paraId="5F1D5A0C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Да</w:t>
            </w:r>
          </w:p>
        </w:tc>
      </w:tr>
      <w:tr w14:paraId="4EFC7CF7">
        <w:tc>
          <w:tcPr>
            <w:tcW w:w="1336" w:type="dxa"/>
          </w:tcPr>
          <w:p w14:paraId="06E47FE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Изоляция секции 3</w:t>
            </w:r>
          </w:p>
        </w:tc>
        <w:tc>
          <w:tcPr>
            <w:tcW w:w="1336" w:type="dxa"/>
          </w:tcPr>
          <w:p w14:paraId="70AC264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Lockout</w:t>
            </w:r>
          </w:p>
        </w:tc>
        <w:tc>
          <w:tcPr>
            <w:tcW w:w="1336" w:type="dxa"/>
          </w:tcPr>
          <w:p w14:paraId="47EA595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6E880FC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5694B48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1C35817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—</w:t>
            </w:r>
          </w:p>
        </w:tc>
        <w:tc>
          <w:tcPr>
            <w:tcW w:w="1336" w:type="dxa"/>
          </w:tcPr>
          <w:p w14:paraId="60572A6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—</w:t>
            </w:r>
          </w:p>
        </w:tc>
      </w:tr>
    </w:tbl>
    <w:p w14:paraId="20F4854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textAlignment w:val="auto"/>
      </w:pPr>
    </w:p>
    <w:p w14:paraId="03BA818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Из таблицы 2.2 видно, что при каждом сценарии отключаются только разъединители, непосредственно ограничивающие повреждённую секцию, а остальные аппараты сохраняют рабочее положение. Это минимизирует количество коммутаций и ускоряет последующее восстановление питания (раздел 2.3).</w:t>
      </w:r>
    </w:p>
    <w:p w14:paraId="59041FFF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  <w:rPr>
          <w:rFonts w:hint="default" w:ascii="Times New Roman Bold" w:hAnsi="Times New Roman Bold" w:cs="Times New Roman Bold"/>
          <w:b/>
          <w:bCs/>
        </w:rPr>
      </w:pPr>
      <w:bookmarkStart w:id="23" w:name="_Toc1333557860"/>
      <w:bookmarkStart w:id="24" w:name="_Toc1659895179"/>
      <w:r>
        <w:rPr>
          <w:rFonts w:hint="default" w:ascii="Times New Roman" w:hAnsi="Times New Roman" w:eastAsia="Times New Roman" w:cs="Times New Roman"/>
          <w:b/>
          <w:bCs/>
          <w:sz w:val="28"/>
        </w:rPr>
        <w:t>2.3 Алгоритмы восстановления электроснабжения после аварии</w:t>
      </w:r>
      <w:bookmarkEnd w:id="23"/>
      <w:bookmarkEnd w:id="24"/>
    </w:p>
    <w:p w14:paraId="6E0F184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Восстановление электроснабжения потребителей неповреждённых секций — завершающий этап технологии FLISR. Цель — минимизировать время перерыва питания путём подачи напряжения на неповреждённые участки от доступных источников.</w:t>
      </w:r>
    </w:p>
    <w:p w14:paraId="226AA080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Секции, расположенные между источником питания и повреждённой секцией (вышележащие), восстанавливаются включением реклоузера Р1 — топология сети при этом не меняется. Секции за повреждённой секцией (нижележащие) требуют подключения резервного источника через нормально разомкнутый разъединитель НР, что изменяет направление питания и требует проверки дополнительных условий [16].</w:t>
      </w:r>
    </w:p>
    <w:p w14:paraId="6C0F7885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Двухэтапный подход: сначала включается Р1 (восстановление вышележащих секций, выполняется немедленно после подтверждения изоляции), затем включается НР (восстановление нижележащих секций, выполняется после проверки допустимости резервного питания). Суммарное время — 20–60 с от момента завершения изоляции, что на два порядка меньше времени ручного восстановления (1–3 ч).</w:t>
      </w:r>
    </w:p>
    <w:p w14:paraId="0A431369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Алгоритм автоматического ввода резерва (АВР) по сети восстанавливает питание нижележащих секций фидера через НР. В отличие от традиционного АВР на шинах подстанции, переключение выполняется на уровне распределительной сети после изоляции повреждённого участка.</w:t>
      </w:r>
    </w:p>
    <w:p w14:paraId="628D9D1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1. Проверка завершения изоляции. SCADA убеждается, что разъединители, ограничивающие повреждённую секцию со стороны НР, отключены и квитанции получены. Условие гарантирует, что включение НР не подаст напряжение на повреждённый участок.</w:t>
      </w:r>
    </w:p>
    <w:p w14:paraId="233BEE33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2. Проверка напряжения на резервном источнике. Запрашивается состояние резервного фидера: наличие напряжения, текущая нагрузка, резерв пропускной способности. Если резервный фидер обесточен или перегружен, АВР не выполняется; SCADA формирует сообщение оперативному персоналу.</w:t>
      </w:r>
    </w:p>
    <w:p w14:paraId="1811E08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3. Проверка пропускной способности. Суммарная нагрузка подключаемых секций сравнивается с допустимым током резервного фидера (коэффициент запаса 0,8–0,9 от номинального). При недостаточной пропускной способности допускается частичное восстановление с отключением некритичных потребителей [14].</w:t>
      </w:r>
    </w:p>
    <w:p w14:paraId="5987F40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4. Передача команды на включение НР по каналу МЭК 60870-5-104 [18]. Шкаф управления проверяет наличие напряжения на стороне резервного фидера, отсутствие блокировок и подаёт питание на моторный привод. Время включения разъединителя — 5–15 с.</w:t>
      </w:r>
    </w:p>
    <w:p w14:paraId="224C8D9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5. Подтверждение включения НР. Шкаф управления передаёт квитанцию с данными датчика положения контактов. SCADA фиксирует изменение топологии: нижележащие секции питаются от резервного источника.</w:t>
      </w:r>
    </w:p>
    <w:p w14:paraId="5B94C5C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6. Контроль параметров режима в течение 30–60 с: отсутствие аварийных токов, допустимый уровень напряжения, отсутствие перегрузки резервного фидера. При обнаружении аварийного режима НР немедленно отключается. Нормы качества напряжения — по ГОСТ 32144 [16].</w:t>
      </w:r>
    </w:p>
    <w:p w14:paraId="02823A2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Включение НР допускается только при подтверждённой изоляции повреждённой секции. Условие исключает параллельную работу двух фидеров, которая ведёт к недопустимым уравнительным токам и нарушению селективности релейной защиты (алгоритмы защит — раздел 2.1).</w:t>
      </w:r>
    </w:p>
    <w:p w14:paraId="5D8734C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Алгоритм автоматического возврата к нормальному режиму (АВНР) восстанавливает штатную топологию сети после устранения повреждения. АВНР — обратная последовательность операций по отношению к секционированию и АВР.</w:t>
      </w:r>
    </w:p>
    <w:p w14:paraId="1D28068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АВНР инициируется оперативным персоналом через интерфейс SCADA после получения подтверждения от ремонтной бригады об устранении повреждения и отсутствии людей на отремонтированном участке. Автоматический запуск АВНР не рекомендуется из соображений безопасности [1].</w:t>
      </w:r>
    </w:p>
    <w:p w14:paraId="04FCAB6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1. Отключение НР. Прекращается подача резервного питания на нижележащие секции. Время кратковременного обесточения — 15–30 с.</w:t>
      </w:r>
    </w:p>
    <w:p w14:paraId="5544EB3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2. Включение секционирующих разъединителей последовательно от ближайшего к реклоузеру. Для сценария КЗ в секции 2 (раздел 4.4): сначала РШ1, затем РШ2. Между включениями — пауза 5–10 с для контроля параметров режима.</w:t>
      </w:r>
    </w:p>
    <w:p w14:paraId="4AA754C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3. Снятие блокировки lockout и включение Р1 (если реклоузер находился в lockout). Выполняется контроль отсутствия тока КЗ: если повреждение не устранено, реклоузер повторно зафиксирует КЗ и отключится, АВНР прекратится с возвратом в послеаварийный режим.</w:t>
      </w:r>
    </w:p>
    <w:p w14:paraId="33E8B1B9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4. Верификация нормального режима в течение 60–120 с: токи в фазах в пределах номинальных значений, напряжения соответствуют ГОСТ 32144 [16], НР отключён (радиальная схема восстановлена).</w:t>
      </w:r>
    </w:p>
    <w:p w14:paraId="186D16F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Шаг 5. Уведомление оперативного персонала: время каждого шага, итоговое состояние аппаратов, параметры послеаварийного режима. Информация регистрируется в журнале событий SCADA.</w:t>
      </w:r>
    </w:p>
    <w:p w14:paraId="40C37FF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При нештатных ситуациях (повторное КЗ при включении Р1, неисправность привода разъединителя, потеря связи) алгоритм возвращает систему в предшествующее устойчивое состояние: повреждённая секция изолирована, нижележащие секции питаются через НР. Приоритет — сохранение электроснабжения максимального числа потребителей.</w:t>
      </w:r>
    </w:p>
    <w:p w14:paraId="13913085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SCADA выполняет функцию центрального координатора алгоритмов секционирования и восстановления. На уровне SCADA реализуется логика принятия решений, координация последовательности переключений, контроль выполнения команд и журналирование событий.</w:t>
      </w:r>
    </w:p>
    <w:p w14:paraId="170A6F33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Телеметрические данные от коммутационных аппаратов поступают в реальном времени: состояния аппаратов (включён/отключён/lockout), показания ИКЗ, токи и напряжения, состояние каналов связи. Периодичность опроса в нормальном режиме — 1–5 с, в аварийном — 0,5–1 с.</w:t>
      </w:r>
    </w:p>
    <w:p w14:paraId="0F4797D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Координация алгоритмов реализована через конечный автомат состояний фидера [21]: «нормальный режим» → «КЗ обнаружено» → «АПВ» → «lockout» → «определение секции» → «изоляция» → «восстановление вышележащих» → «АВР нижележащих» → «послеаварийный режим». Обратные переходы (АВНР) выполняются по команде оперативного персонала. Полная таблица состояний конечного автомата приведена в главе 3.</w:t>
      </w:r>
    </w:p>
    <w:p w14:paraId="05AD89E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Регистрация событий ведётся с точностью до миллисекунд: метка времени, идентификатор источника (реклоузер, разъединитель, ИКЗ), тип события (срабатывание защиты, изменение состояния, выполнение команды, ошибка), параметры (значение тока, направление, длительность). Журнал используется для ретроспективного анализа и оценки эффективности автоматики.</w:t>
      </w:r>
    </w:p>
    <w:p w14:paraId="65F93BFF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Уведомление персонала — многоуровневое: информационные сообщения (успешное АПВ, успешное секционирование) отображаются на мнемосхеме; предупреждения (частичный отказ, работа по резервному каналу) сопровождаются звуковой сигнализацией; аварийные сообщения (полный отказ алгоритма) дублируются SMS дежурному персоналу.</w:t>
      </w:r>
    </w:p>
    <w:p w14:paraId="17B60CA3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Надёжность взаимодействия обеспечивается резервированием каналов связи (основной — Ethernet/ВОЛС, резервный — GSM/GPRS), контролем целостности данных (контрольные суммы, нумерация пакетов), heartbeat-опросом каждые 10–30 с и автоматическим переключением на резервный канал при потере основного (время переключения — не более 5 с).</w:t>
      </w:r>
    </w:p>
    <w:p w14:paraId="7DCDAD3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Сигналы и команды, передаваемые между SCADA и периферийными устройствами на каждом этапе восстановления, приведены в таблице 5.1.</w:t>
      </w:r>
    </w:p>
    <w:p w14:paraId="75AA1C35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Таблица 2.3 – Сигналы и команды SCADA при восстановлении питания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8"/>
        <w:gridCol w:w="2248"/>
        <w:gridCol w:w="2742"/>
        <w:gridCol w:w="2303"/>
      </w:tblGrid>
      <w:tr w14:paraId="4C991CE6">
        <w:tc>
          <w:tcPr>
            <w:tcW w:w="2339" w:type="dxa"/>
          </w:tcPr>
          <w:p w14:paraId="2B1B42AE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Этап</w:t>
            </w:r>
          </w:p>
        </w:tc>
        <w:tc>
          <w:tcPr>
            <w:tcW w:w="2339" w:type="dxa"/>
          </w:tcPr>
          <w:p w14:paraId="3736958C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Направление</w:t>
            </w:r>
          </w:p>
        </w:tc>
        <w:tc>
          <w:tcPr>
            <w:tcW w:w="2339" w:type="dxa"/>
          </w:tcPr>
          <w:p w14:paraId="1B674214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Сигнал / команда</w:t>
            </w:r>
          </w:p>
        </w:tc>
        <w:tc>
          <w:tcPr>
            <w:tcW w:w="2339" w:type="dxa"/>
          </w:tcPr>
          <w:p w14:paraId="414BEC8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Источник / приёмник</w:t>
            </w:r>
          </w:p>
        </w:tc>
      </w:tr>
      <w:tr w14:paraId="48846FC8">
        <w:tc>
          <w:tcPr>
            <w:tcW w:w="2339" w:type="dxa"/>
          </w:tcPr>
          <w:p w14:paraId="6B21EF8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Lockout Р1</w:t>
            </w:r>
          </w:p>
        </w:tc>
        <w:tc>
          <w:tcPr>
            <w:tcW w:w="2339" w:type="dxa"/>
          </w:tcPr>
          <w:p w14:paraId="25817FC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Устройство → SCADA</w:t>
            </w:r>
          </w:p>
        </w:tc>
        <w:tc>
          <w:tcPr>
            <w:tcW w:w="2339" w:type="dxa"/>
          </w:tcPr>
          <w:p w14:paraId="11220AC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Сигнал lockout, ток КЗ, число циклов АПВ</w:t>
            </w:r>
          </w:p>
        </w:tc>
        <w:tc>
          <w:tcPr>
            <w:tcW w:w="2339" w:type="dxa"/>
          </w:tcPr>
          <w:p w14:paraId="63F92BA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Реклоузер Р1</w:t>
            </w:r>
          </w:p>
        </w:tc>
      </w:tr>
      <w:tr w14:paraId="01A4384D">
        <w:tc>
          <w:tcPr>
            <w:tcW w:w="2339" w:type="dxa"/>
          </w:tcPr>
          <w:p w14:paraId="2C26B12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Определение секции</w:t>
            </w:r>
          </w:p>
        </w:tc>
        <w:tc>
          <w:tcPr>
            <w:tcW w:w="2339" w:type="dxa"/>
          </w:tcPr>
          <w:p w14:paraId="3EDDFAF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SCADA → устройство</w:t>
            </w:r>
          </w:p>
        </w:tc>
        <w:tc>
          <w:tcPr>
            <w:tcW w:w="2339" w:type="dxa"/>
          </w:tcPr>
          <w:p w14:paraId="2D88763C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Запрос состояния ИКЗ</w:t>
            </w:r>
          </w:p>
        </w:tc>
        <w:tc>
          <w:tcPr>
            <w:tcW w:w="2339" w:type="dxa"/>
          </w:tcPr>
          <w:p w14:paraId="479B874E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ШУ РШ1…РШn</w:t>
            </w:r>
          </w:p>
        </w:tc>
      </w:tr>
      <w:tr w14:paraId="0C8CA885">
        <w:tc>
          <w:tcPr>
            <w:tcW w:w="2339" w:type="dxa"/>
          </w:tcPr>
          <w:p w14:paraId="69D9E31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Определение секции</w:t>
            </w:r>
          </w:p>
        </w:tc>
        <w:tc>
          <w:tcPr>
            <w:tcW w:w="2339" w:type="dxa"/>
          </w:tcPr>
          <w:p w14:paraId="7E7B996C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Устройство → SCADA</w:t>
            </w:r>
          </w:p>
        </w:tc>
        <w:tc>
          <w:tcPr>
            <w:tcW w:w="2339" w:type="dxa"/>
          </w:tcPr>
          <w:p w14:paraId="181D14B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Ответ ИКЗ: сработал / не сработал</w:t>
            </w:r>
          </w:p>
        </w:tc>
        <w:tc>
          <w:tcPr>
            <w:tcW w:w="2339" w:type="dxa"/>
          </w:tcPr>
          <w:p w14:paraId="72A2DF5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ШУ РШ1…РШn</w:t>
            </w:r>
          </w:p>
        </w:tc>
      </w:tr>
      <w:tr w14:paraId="77E7B445">
        <w:tc>
          <w:tcPr>
            <w:tcW w:w="2339" w:type="dxa"/>
          </w:tcPr>
          <w:p w14:paraId="159C378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Изоляция</w:t>
            </w:r>
          </w:p>
        </w:tc>
        <w:tc>
          <w:tcPr>
            <w:tcW w:w="2339" w:type="dxa"/>
          </w:tcPr>
          <w:p w14:paraId="0DB1D6A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SCADA → устройство</w:t>
            </w:r>
          </w:p>
        </w:tc>
        <w:tc>
          <w:tcPr>
            <w:tcW w:w="2339" w:type="dxa"/>
          </w:tcPr>
          <w:p w14:paraId="7D54E17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Команда «Отключить»</w:t>
            </w:r>
          </w:p>
        </w:tc>
        <w:tc>
          <w:tcPr>
            <w:tcW w:w="2339" w:type="dxa"/>
          </w:tcPr>
          <w:p w14:paraId="3F2DA834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ШУ разъединителей</w:t>
            </w:r>
          </w:p>
        </w:tc>
      </w:tr>
      <w:tr w14:paraId="0C644923">
        <w:tc>
          <w:tcPr>
            <w:tcW w:w="2339" w:type="dxa"/>
          </w:tcPr>
          <w:p w14:paraId="3DF1B49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Изоляция</w:t>
            </w:r>
          </w:p>
        </w:tc>
        <w:tc>
          <w:tcPr>
            <w:tcW w:w="2339" w:type="dxa"/>
          </w:tcPr>
          <w:p w14:paraId="6F6ED67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Устройство → SCADA</w:t>
            </w:r>
          </w:p>
        </w:tc>
        <w:tc>
          <w:tcPr>
            <w:tcW w:w="2339" w:type="dxa"/>
          </w:tcPr>
          <w:p w14:paraId="56A5D57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Квитанция: отключён, время, положение</w:t>
            </w:r>
          </w:p>
        </w:tc>
        <w:tc>
          <w:tcPr>
            <w:tcW w:w="2339" w:type="dxa"/>
          </w:tcPr>
          <w:p w14:paraId="0C5923B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ШУ разъединителей</w:t>
            </w:r>
          </w:p>
        </w:tc>
      </w:tr>
      <w:tr w14:paraId="1509985C">
        <w:tc>
          <w:tcPr>
            <w:tcW w:w="2339" w:type="dxa"/>
          </w:tcPr>
          <w:p w14:paraId="532B3D6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Восст. вышележащих</w:t>
            </w:r>
          </w:p>
        </w:tc>
        <w:tc>
          <w:tcPr>
            <w:tcW w:w="2339" w:type="dxa"/>
          </w:tcPr>
          <w:p w14:paraId="73EB02F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SCADA → устройство</w:t>
            </w:r>
          </w:p>
        </w:tc>
        <w:tc>
          <w:tcPr>
            <w:tcW w:w="2339" w:type="dxa"/>
          </w:tcPr>
          <w:p w14:paraId="200B8BD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Команда «Включить»</w:t>
            </w:r>
          </w:p>
        </w:tc>
        <w:tc>
          <w:tcPr>
            <w:tcW w:w="2339" w:type="dxa"/>
          </w:tcPr>
          <w:p w14:paraId="5316EE9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Реклоузер Р1</w:t>
            </w:r>
          </w:p>
        </w:tc>
      </w:tr>
      <w:tr w14:paraId="60615F59">
        <w:tc>
          <w:tcPr>
            <w:tcW w:w="2339" w:type="dxa"/>
          </w:tcPr>
          <w:p w14:paraId="3D1C079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Восст. вышележащих</w:t>
            </w:r>
          </w:p>
        </w:tc>
        <w:tc>
          <w:tcPr>
            <w:tcW w:w="2339" w:type="dxa"/>
          </w:tcPr>
          <w:p w14:paraId="7F91F0FC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Устройство → SCADA</w:t>
            </w:r>
          </w:p>
        </w:tc>
        <w:tc>
          <w:tcPr>
            <w:tcW w:w="2339" w:type="dxa"/>
          </w:tcPr>
          <w:p w14:paraId="2E7682F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Подтверждение включения, ток нагрузки</w:t>
            </w:r>
          </w:p>
        </w:tc>
        <w:tc>
          <w:tcPr>
            <w:tcW w:w="2339" w:type="dxa"/>
          </w:tcPr>
          <w:p w14:paraId="55A67CE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Реклоузер Р1</w:t>
            </w:r>
          </w:p>
        </w:tc>
      </w:tr>
      <w:tr w14:paraId="6A9EE1D5">
        <w:tc>
          <w:tcPr>
            <w:tcW w:w="2339" w:type="dxa"/>
          </w:tcPr>
          <w:p w14:paraId="265592D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АВР нижележащих</w:t>
            </w:r>
          </w:p>
        </w:tc>
        <w:tc>
          <w:tcPr>
            <w:tcW w:w="2339" w:type="dxa"/>
          </w:tcPr>
          <w:p w14:paraId="7C72719E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SCADA → устройство</w:t>
            </w:r>
          </w:p>
        </w:tc>
        <w:tc>
          <w:tcPr>
            <w:tcW w:w="2339" w:type="dxa"/>
          </w:tcPr>
          <w:p w14:paraId="57D01FA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Команда «Включить НР»</w:t>
            </w:r>
          </w:p>
        </w:tc>
        <w:tc>
          <w:tcPr>
            <w:tcW w:w="2339" w:type="dxa"/>
          </w:tcPr>
          <w:p w14:paraId="76639F2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ШУ НР</w:t>
            </w:r>
          </w:p>
        </w:tc>
      </w:tr>
      <w:tr w14:paraId="71F22D24">
        <w:tc>
          <w:tcPr>
            <w:tcW w:w="2339" w:type="dxa"/>
          </w:tcPr>
          <w:p w14:paraId="668F304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АВР нижележащих</w:t>
            </w:r>
          </w:p>
        </w:tc>
        <w:tc>
          <w:tcPr>
            <w:tcW w:w="2339" w:type="dxa"/>
          </w:tcPr>
          <w:p w14:paraId="660CF8E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Устройство → SCADA</w:t>
            </w:r>
          </w:p>
        </w:tc>
        <w:tc>
          <w:tcPr>
            <w:tcW w:w="2339" w:type="dxa"/>
          </w:tcPr>
          <w:p w14:paraId="5217CA5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Квитанция: включён, напряжение, ток</w:t>
            </w:r>
          </w:p>
        </w:tc>
        <w:tc>
          <w:tcPr>
            <w:tcW w:w="2339" w:type="dxa"/>
          </w:tcPr>
          <w:p w14:paraId="7AC73A6E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ШУ НР</w:t>
            </w:r>
          </w:p>
        </w:tc>
      </w:tr>
      <w:tr w14:paraId="5BC0F661">
        <w:tc>
          <w:tcPr>
            <w:tcW w:w="2339" w:type="dxa"/>
          </w:tcPr>
          <w:p w14:paraId="4BB3A1C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Контроль режима</w:t>
            </w:r>
          </w:p>
        </w:tc>
        <w:tc>
          <w:tcPr>
            <w:tcW w:w="2339" w:type="dxa"/>
          </w:tcPr>
          <w:p w14:paraId="6F85E82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Устройство → SCADA</w:t>
            </w:r>
          </w:p>
        </w:tc>
        <w:tc>
          <w:tcPr>
            <w:tcW w:w="2339" w:type="dxa"/>
          </w:tcPr>
          <w:p w14:paraId="29B9D81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Телеметрия: U, I, cos φ</w:t>
            </w:r>
          </w:p>
        </w:tc>
        <w:tc>
          <w:tcPr>
            <w:tcW w:w="2339" w:type="dxa"/>
          </w:tcPr>
          <w:p w14:paraId="29141B7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 устройства фидера</w:t>
            </w:r>
          </w:p>
        </w:tc>
      </w:tr>
      <w:tr w14:paraId="522C8094">
        <w:tc>
          <w:tcPr>
            <w:tcW w:w="2339" w:type="dxa"/>
          </w:tcPr>
          <w:p w14:paraId="5035B5A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АВНР</w:t>
            </w:r>
          </w:p>
        </w:tc>
        <w:tc>
          <w:tcPr>
            <w:tcW w:w="2339" w:type="dxa"/>
          </w:tcPr>
          <w:p w14:paraId="00CFADA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SCADA → устройство</w:t>
            </w:r>
          </w:p>
        </w:tc>
        <w:tc>
          <w:tcPr>
            <w:tcW w:w="2339" w:type="dxa"/>
          </w:tcPr>
          <w:p w14:paraId="2B05F91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Последовательность: откл. НР, вкл. РШ, вкл. Р1</w:t>
            </w:r>
          </w:p>
        </w:tc>
        <w:tc>
          <w:tcPr>
            <w:tcW w:w="2339" w:type="dxa"/>
          </w:tcPr>
          <w:p w14:paraId="4031C11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ШУ НР, ШУ РШ, Р1</w:t>
            </w:r>
          </w:p>
        </w:tc>
      </w:tr>
    </w:tbl>
    <w:p w14:paraId="745D9DC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textAlignment w:val="auto"/>
      </w:pPr>
    </w:p>
    <w:p w14:paraId="6E2BB1A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Из таблицы 5.1 видно, что каждый этап восстановления сопровождается двусторонним обменом: SCADA передаёт команду и получает подтверждение выполнения. Переход к следующему этапу возможен только после получения положительной квитанции, что обеспечивает детерминированность и предсказуемость алгоритма.</w:t>
      </w:r>
    </w:p>
    <w:p w14:paraId="30F9C89C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Совокупность алгоритмов секционирования (раздел 2.2) и восстановления (раздел 2.3) образует замкнутый цикл обработки аварийных ситуаций в распределительной сети 6–10 кВ: обнаружение и локализация повреждения, изоляция повреждённого участка, восстановление питания неповреждённых секций, возврат к нормальному режиму после ремонта. Автоматическое выполнение цикла сокращает время перерыва электроснабжения с нескольких часов до 20–60 с, что повышает показатели надёжности SAIDI и SAIFI на 40–60 % по сравнению с ручным секционированием.</w:t>
      </w:r>
    </w:p>
    <w:p w14:paraId="38407BD1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  <w:rPr>
          <w:rFonts w:hint="default" w:ascii="Times New Roman Bold" w:hAnsi="Times New Roman Bold" w:cs="Times New Roman Bold"/>
          <w:b/>
          <w:bCs/>
        </w:rPr>
      </w:pPr>
      <w:bookmarkStart w:id="25" w:name="_Toc2045698923"/>
      <w:bookmarkStart w:id="26" w:name="_Toc1967612928"/>
      <w:r>
        <w:rPr>
          <w:rFonts w:hint="default" w:ascii="Times New Roman" w:hAnsi="Times New Roman" w:eastAsia="Times New Roman" w:cs="Times New Roman"/>
          <w:b/>
          <w:bCs/>
          <w:sz w:val="28"/>
        </w:rPr>
        <w:t>2.4 Структурные схемы дистанционного управления реклоузерами и разъединителями</w:t>
      </w:r>
      <w:bookmarkEnd w:id="25"/>
      <w:bookmarkEnd w:id="26"/>
    </w:p>
    <w:p w14:paraId="7ACD1BA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Дистанционное управление коммутационными аппаратами автоматизированного участка распределительной сети 6–10 кВ реализуется через многоуровневую систему телемеханики, передающую команды управления от оператора к исполнительным устройствам и телеметрию в обратном направлении.</w:t>
      </w:r>
    </w:p>
    <w:p w14:paraId="7FA2856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Контроллер RTU устанавливается в шкафу управления каждого реклоузера или разъединителя и выполняет аналого-цифровое преобразование сигналов от трансформаторов тока и напряжения, обработку дискретных входов от датчиков положения контактов и индикаторов короткого замыкания, формирование команд управления моторными приводами и обмен данными с вышестоящим уровнем по цифровым протоколам связи. Принципиальная особенность контроллеров RTU заключается в их способности автономно выполнять локальные алгоритмы защит (МТЗ, ТО, ОЗЗ, АПВ) при потере связи с сервером SCADA, что гарантирует работоспособность защит при отказе каналов связи [19].</w:t>
      </w:r>
    </w:p>
    <w:p w14:paraId="0A85F3C9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Структурная схема системы мониторинга и управления автоматизированным участком ВЛ 6–10 кВ представлена на рисунке 2.1.</w:t>
      </w:r>
    </w:p>
    <w:p w14:paraId="54BDA91C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drawing>
          <wp:inline distT="0" distB="0" distL="114300" distR="114300">
            <wp:extent cx="5939790" cy="5015865"/>
            <wp:effectExtent l="0" t="0" r="10795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1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AA37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Рисунок 2.1 – Архитектура системы мониторинга ВЛ 6–10 кВ</w:t>
      </w:r>
    </w:p>
    <w:p w14:paraId="119D75AC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Надёжность и быстродействие дистанционного управления определяются характеристиками каналов связи и протоколов телемеханики. Для автоматизированных участков распределительных сетей 6–10 кВ основным каналом связи служит Ethernet по волоконно-оптическим линиям связи (ВОЛС) или радиоканал, резервным — GSM/GPRS, LTE или спутниковый канал [29].</w:t>
      </w:r>
    </w:p>
    <w:p w14:paraId="6D6AE2A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Каналы GSM/GPRS обеспечивают пропускную способность до 171,2 кбит/с и покрытие практически на всей территории Российской Федерации [29]. Задержка передачи по GPRS составляет 500–1500 мс — допустимо для телеизмерений и телесигнализации, но критично для команд телеуправления, требующих гарантированного времени доставки [17]. Для повышения надёжности рекомендуется использование SIM-карт двух операторов с автоматическим переключением при потере связи с основным оператором [23].</w:t>
      </w:r>
    </w:p>
    <w:p w14:paraId="380146A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Выбор протокола телемеханики определяется функциональными требованиями к системе. Протокол Modbus TCP [20] реализует модель «клиент–сервер» и является наиболее распространённым решением благодаря простоте реализации, широкой поддержке производителями оборудования и открытости спецификации; его недостатки — ограниченные средства диагностики канала и отсутствие механизмов временной синхронизации. Протокол МЭК 60870-5-104 [18] поддерживает спонтанную передачу данных по изменению, временные метки событий с точностью до 1 мс и механизмы контроля целостности канала; рекомендуется в качестве основного протокола обмена между SCADA и RTU. Протокол МЭК 61850 [19] обеспечивает горизонтальную коммуникацию между IED посредством GOOSE-сообщений и позволяет реализовать распределённые алгоритмы автоматики без участия центрального сервера; его внедрение требует значительных инвестиций в инфраструктуру и квалификацию персонала, поэтому применяется преимущественно на вновь проектируемых цифровых подстанциях.</w:t>
      </w:r>
    </w:p>
    <w:p w14:paraId="571C623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Таблица 2.4 – Параметры каналов связи для систем телемеханики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1"/>
        <w:gridCol w:w="2008"/>
        <w:gridCol w:w="1864"/>
        <w:gridCol w:w="1864"/>
        <w:gridCol w:w="1864"/>
      </w:tblGrid>
      <w:tr w14:paraId="24A6ED7C">
        <w:tc>
          <w:tcPr>
            <w:tcW w:w="1871" w:type="dxa"/>
          </w:tcPr>
          <w:p w14:paraId="062E7B2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Параметр</w:t>
            </w:r>
          </w:p>
        </w:tc>
        <w:tc>
          <w:tcPr>
            <w:tcW w:w="1871" w:type="dxa"/>
          </w:tcPr>
          <w:p w14:paraId="49086EA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Ethernet/ВОЛС</w:t>
            </w:r>
          </w:p>
        </w:tc>
        <w:tc>
          <w:tcPr>
            <w:tcW w:w="1871" w:type="dxa"/>
          </w:tcPr>
          <w:p w14:paraId="1DDEE65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GSM/GPRS</w:t>
            </w:r>
          </w:p>
        </w:tc>
        <w:tc>
          <w:tcPr>
            <w:tcW w:w="1871" w:type="dxa"/>
          </w:tcPr>
          <w:p w14:paraId="26DC34A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3G/LTE</w:t>
            </w:r>
          </w:p>
        </w:tc>
        <w:tc>
          <w:tcPr>
            <w:tcW w:w="1871" w:type="dxa"/>
          </w:tcPr>
          <w:p w14:paraId="799F03F4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Радиоканал</w:t>
            </w: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UHF</w:t>
            </w:r>
          </w:p>
        </w:tc>
      </w:tr>
      <w:tr w14:paraId="32242F0F">
        <w:tc>
          <w:tcPr>
            <w:tcW w:w="1871" w:type="dxa"/>
          </w:tcPr>
          <w:p w14:paraId="3241CEA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Пропускная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способность</w:t>
            </w:r>
          </w:p>
        </w:tc>
        <w:tc>
          <w:tcPr>
            <w:tcW w:w="1871" w:type="dxa"/>
          </w:tcPr>
          <w:p w14:paraId="1A920E0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100 Мбит/с –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1 Гбит/с</w:t>
            </w:r>
          </w:p>
        </w:tc>
        <w:tc>
          <w:tcPr>
            <w:tcW w:w="1871" w:type="dxa"/>
          </w:tcPr>
          <w:p w14:paraId="4535647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56–171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кбит/с</w:t>
            </w:r>
          </w:p>
        </w:tc>
        <w:tc>
          <w:tcPr>
            <w:tcW w:w="1871" w:type="dxa"/>
          </w:tcPr>
          <w:p w14:paraId="13189AA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2–100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Мбит/с</w:t>
            </w:r>
          </w:p>
        </w:tc>
        <w:tc>
          <w:tcPr>
            <w:tcW w:w="1871" w:type="dxa"/>
          </w:tcPr>
          <w:p w14:paraId="38CDEAB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9,6–19,2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кбит/с</w:t>
            </w:r>
          </w:p>
        </w:tc>
      </w:tr>
      <w:tr w14:paraId="20B734DA">
        <w:tc>
          <w:tcPr>
            <w:tcW w:w="1871" w:type="dxa"/>
          </w:tcPr>
          <w:p w14:paraId="7EF00F8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Задержка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передачи</w:t>
            </w:r>
          </w:p>
        </w:tc>
        <w:tc>
          <w:tcPr>
            <w:tcW w:w="1871" w:type="dxa"/>
          </w:tcPr>
          <w:p w14:paraId="4358A80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&lt; 10 мс</w:t>
            </w:r>
          </w:p>
        </w:tc>
        <w:tc>
          <w:tcPr>
            <w:tcW w:w="1871" w:type="dxa"/>
          </w:tcPr>
          <w:p w14:paraId="1C68B35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500–1500 мс</w:t>
            </w:r>
          </w:p>
        </w:tc>
        <w:tc>
          <w:tcPr>
            <w:tcW w:w="1871" w:type="dxa"/>
          </w:tcPr>
          <w:p w14:paraId="77FBC25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50–200 мс</w:t>
            </w:r>
          </w:p>
        </w:tc>
        <w:tc>
          <w:tcPr>
            <w:tcW w:w="1871" w:type="dxa"/>
          </w:tcPr>
          <w:p w14:paraId="6E2765CE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100–500 мс</w:t>
            </w:r>
          </w:p>
        </w:tc>
      </w:tr>
      <w:tr w14:paraId="134FCB78">
        <w:tc>
          <w:tcPr>
            <w:tcW w:w="1871" w:type="dxa"/>
          </w:tcPr>
          <w:p w14:paraId="3EA06A1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Надёжность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(доступность)</w:t>
            </w:r>
          </w:p>
        </w:tc>
        <w:tc>
          <w:tcPr>
            <w:tcW w:w="1871" w:type="dxa"/>
          </w:tcPr>
          <w:p w14:paraId="678F2F7C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99,99 %</w:t>
            </w:r>
          </w:p>
        </w:tc>
        <w:tc>
          <w:tcPr>
            <w:tcW w:w="1871" w:type="dxa"/>
          </w:tcPr>
          <w:p w14:paraId="413ED4B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99,0–99,5 %</w:t>
            </w:r>
          </w:p>
        </w:tc>
        <w:tc>
          <w:tcPr>
            <w:tcW w:w="1871" w:type="dxa"/>
          </w:tcPr>
          <w:p w14:paraId="3BDEC52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99,5–99,9 %</w:t>
            </w:r>
          </w:p>
        </w:tc>
        <w:tc>
          <w:tcPr>
            <w:tcW w:w="1871" w:type="dxa"/>
          </w:tcPr>
          <w:p w14:paraId="7C510D2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99,5–99,9 %</w:t>
            </w:r>
          </w:p>
        </w:tc>
      </w:tr>
      <w:tr w14:paraId="11A42D40">
        <w:tc>
          <w:tcPr>
            <w:tcW w:w="1871" w:type="dxa"/>
          </w:tcPr>
          <w:p w14:paraId="35B56C6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Дальность без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ретрансляции</w:t>
            </w:r>
          </w:p>
        </w:tc>
        <w:tc>
          <w:tcPr>
            <w:tcW w:w="1871" w:type="dxa"/>
          </w:tcPr>
          <w:p w14:paraId="46A8C61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до 80 км</w:t>
            </w:r>
          </w:p>
        </w:tc>
        <w:tc>
          <w:tcPr>
            <w:tcW w:w="1871" w:type="dxa"/>
          </w:tcPr>
          <w:p w14:paraId="3B2FFE7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зона покрытия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оператора</w:t>
            </w:r>
          </w:p>
        </w:tc>
        <w:tc>
          <w:tcPr>
            <w:tcW w:w="1871" w:type="dxa"/>
          </w:tcPr>
          <w:p w14:paraId="69ADF68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зона покрытия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оператора</w:t>
            </w:r>
          </w:p>
        </w:tc>
        <w:tc>
          <w:tcPr>
            <w:tcW w:w="1871" w:type="dxa"/>
          </w:tcPr>
          <w:p w14:paraId="6D6E524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10–30 км</w:t>
            </w:r>
          </w:p>
        </w:tc>
      </w:tr>
      <w:tr w14:paraId="4595D5AE">
        <w:tc>
          <w:tcPr>
            <w:tcW w:w="1871" w:type="dxa"/>
          </w:tcPr>
          <w:p w14:paraId="03B2A48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Помехо-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защищённость</w:t>
            </w:r>
          </w:p>
        </w:tc>
        <w:tc>
          <w:tcPr>
            <w:tcW w:w="1871" w:type="dxa"/>
          </w:tcPr>
          <w:p w14:paraId="5DC29E6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Высокая</w:t>
            </w:r>
          </w:p>
        </w:tc>
        <w:tc>
          <w:tcPr>
            <w:tcW w:w="1871" w:type="dxa"/>
          </w:tcPr>
          <w:p w14:paraId="18876E4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1871" w:type="dxa"/>
          </w:tcPr>
          <w:p w14:paraId="07AB2D7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1871" w:type="dxa"/>
          </w:tcPr>
          <w:p w14:paraId="1E8253C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Низкая</w:t>
            </w:r>
          </w:p>
        </w:tc>
      </w:tr>
      <w:tr w14:paraId="40A383B6">
        <w:tc>
          <w:tcPr>
            <w:tcW w:w="1871" w:type="dxa"/>
          </w:tcPr>
          <w:p w14:paraId="39C0C5D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Стоимость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внедрения</w:t>
            </w:r>
          </w:p>
        </w:tc>
        <w:tc>
          <w:tcPr>
            <w:tcW w:w="1871" w:type="dxa"/>
          </w:tcPr>
          <w:p w14:paraId="6BD0D37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Высокая</w:t>
            </w:r>
          </w:p>
        </w:tc>
        <w:tc>
          <w:tcPr>
            <w:tcW w:w="1871" w:type="dxa"/>
          </w:tcPr>
          <w:p w14:paraId="4F7437A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Низкая</w:t>
            </w:r>
          </w:p>
        </w:tc>
        <w:tc>
          <w:tcPr>
            <w:tcW w:w="1871" w:type="dxa"/>
          </w:tcPr>
          <w:p w14:paraId="4F1CF46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  <w:tc>
          <w:tcPr>
            <w:tcW w:w="1871" w:type="dxa"/>
          </w:tcPr>
          <w:p w14:paraId="7BB8FA1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Средняя</w:t>
            </w:r>
          </w:p>
        </w:tc>
      </w:tr>
      <w:tr w14:paraId="4A0C543E">
        <w:tc>
          <w:tcPr>
            <w:tcW w:w="1871" w:type="dxa"/>
          </w:tcPr>
          <w:p w14:paraId="717D28F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Эксплуат.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расходы</w:t>
            </w:r>
          </w:p>
        </w:tc>
        <w:tc>
          <w:tcPr>
            <w:tcW w:w="1871" w:type="dxa"/>
          </w:tcPr>
          <w:p w14:paraId="5AF3ACE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Низкие</w:t>
            </w:r>
          </w:p>
        </w:tc>
        <w:tc>
          <w:tcPr>
            <w:tcW w:w="1871" w:type="dxa"/>
          </w:tcPr>
          <w:p w14:paraId="24FFD4F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(SIM-карты)</w:t>
            </w:r>
          </w:p>
        </w:tc>
        <w:tc>
          <w:tcPr>
            <w:tcW w:w="1871" w:type="dxa"/>
          </w:tcPr>
          <w:p w14:paraId="4862250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Средние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(SIM-карты)</w:t>
            </w:r>
          </w:p>
        </w:tc>
        <w:tc>
          <w:tcPr>
            <w:tcW w:w="1871" w:type="dxa"/>
          </w:tcPr>
          <w:p w14:paraId="3020A5D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Низкие</w:t>
            </w:r>
          </w:p>
        </w:tc>
      </w:tr>
    </w:tbl>
    <w:p w14:paraId="795AD99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textAlignment w:val="auto"/>
      </w:pPr>
    </w:p>
    <w:p w14:paraId="6BB7F3A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Оптимальной конфигурацией для автоматизированных участков является комбинация Ethernet по ВОЛС в качестве основного канала и GSM/GPRS или LTE в качестве резервного: первый обеспечивает минимальную задержку и максимальную надёжность, второй — связь при повреждении оптического кабеля [22].</w:t>
      </w:r>
    </w:p>
    <w:p w14:paraId="1F8B9F3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Система управления автоматизированным участком строится по пятиуровневой иерархической модели с чётким разграничением функций и стандартизацией интерфейсов взаимодействия между уровнями [23]. Полевой уровень (уровень 1) включает датчики тока и напряжения, датчики положения контактов, ИКЗ и исполнительные механизмы приводов.</w:t>
      </w:r>
    </w:p>
    <w:p w14:paraId="5CAD4175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Уровень контроллеров RTU (уровень 2) выполняет аналого-цифровое преобразование с частотой дискретизации не менее 1000 Гц, реализацию локальных алгоритмов защит (МТЗ, ТО, ОЗЗ, АПВ), формирование команд управления приводами и буферизацию данных в энергонезависимой памяти при потере связи с вышестоящим уровнем. Коммуникационный уровень (уровень 3) образован сетевым оборудованием — коммутаторами Ethernet, маршрутизаторами, модемами GSM/GPRS — и обеспечивает передачу данных между RTU и сервером SCADA; для ВЛ 6–10 кВ типична линейная топология с ВОЛС по тросу воздушной линии [18].</w:t>
      </w:r>
    </w:p>
    <w:p w14:paraId="3EFF57A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Сервер SCADA (уровень 4) обеспечивает централизованный сбор, обработку, архивирование и визуализацию данных: приём телеизмерений (токов, напряжений, мощностей), телесигнализации (состояние коммутационных аппаратов, срабатывание защит, состояние ИКЗ), передачу команд телеуправления, выполнение централизованных алгоритмов автоматики и ведение архива событий. Уровень оператора HMI (уровень 5) включает рабочие места диспетчеров с мнемосхемой автоматизированного участка, цветовой индикацией состояний (зелёный — включён, красный — аварийное отключение, жёлтый — предупреждение, серый — нет связи), журналом аварийных событий и интерфейсом телеуправления по принципу «выбор — подтверждение — исполнение» [19].</w:t>
      </w:r>
    </w:p>
    <w:p w14:paraId="03C00B9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Потеря связи с коммутационным аппаратом приводит к невозможности телеуправления и телеизмерения, что существенно увеличивает время восстановления электроснабжения при аварийных ситуациях. Требования к надёжности каналов диктуются необходимостью своевременного выполнения переключений.</w:t>
      </w:r>
    </w:p>
    <w:p w14:paraId="55C3641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Требуемый уровень надёжности достигается резервированием каналов с автоматическим переключением на резервный канал за время не более 30 секунд. Контроль доступности основного канала выполняется периодическими heartbeat-сообщениями с периодом 5–10 секунд; при отсутствии ответа на три последовательных сообщения канал признаётся неработоспособным. Контроллеры RTU обеспечивают буферизацию телеметрии в энергонезависимой памяти на период не менее 72 часов с последующей автоматической передачей данных на сервер SCADA при восстановлении связи [20].</w:t>
      </w:r>
    </w:p>
    <w:p w14:paraId="1592297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Таблица 2.5 – Требования к надёжности каналов связи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3"/>
        <w:gridCol w:w="1976"/>
        <w:gridCol w:w="2196"/>
        <w:gridCol w:w="1863"/>
        <w:gridCol w:w="1593"/>
      </w:tblGrid>
      <w:tr w14:paraId="6E466903">
        <w:tc>
          <w:tcPr>
            <w:tcW w:w="1871" w:type="dxa"/>
          </w:tcPr>
          <w:p w14:paraId="463401D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Параметр</w:t>
            </w:r>
          </w:p>
        </w:tc>
        <w:tc>
          <w:tcPr>
            <w:tcW w:w="1871" w:type="dxa"/>
          </w:tcPr>
          <w:p w14:paraId="6012F60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Телеуправление</w:t>
            </w: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(ТУ)</w:t>
            </w:r>
          </w:p>
        </w:tc>
        <w:tc>
          <w:tcPr>
            <w:tcW w:w="1871" w:type="dxa"/>
          </w:tcPr>
          <w:p w14:paraId="4A794D2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Телесигнализация</w:t>
            </w: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(ТС)</w:t>
            </w:r>
          </w:p>
        </w:tc>
        <w:tc>
          <w:tcPr>
            <w:tcW w:w="1871" w:type="dxa"/>
          </w:tcPr>
          <w:p w14:paraId="19A15BAE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Телеизмерение</w:t>
            </w: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(ТИ)</w:t>
            </w:r>
          </w:p>
        </w:tc>
        <w:tc>
          <w:tcPr>
            <w:tcW w:w="1871" w:type="dxa"/>
          </w:tcPr>
          <w:p w14:paraId="3F10DF8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Архивные</w:t>
            </w: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данные</w:t>
            </w:r>
          </w:p>
        </w:tc>
      </w:tr>
      <w:tr w14:paraId="59CED91D">
        <w:tc>
          <w:tcPr>
            <w:tcW w:w="1871" w:type="dxa"/>
          </w:tcPr>
          <w:p w14:paraId="26199BB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Доступность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канала, %</w:t>
            </w:r>
          </w:p>
        </w:tc>
        <w:tc>
          <w:tcPr>
            <w:tcW w:w="1871" w:type="dxa"/>
          </w:tcPr>
          <w:p w14:paraId="77FF8F9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≥ 99,9</w:t>
            </w:r>
          </w:p>
        </w:tc>
        <w:tc>
          <w:tcPr>
            <w:tcW w:w="1871" w:type="dxa"/>
          </w:tcPr>
          <w:p w14:paraId="7E2523D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≥ 99,5</w:t>
            </w:r>
          </w:p>
        </w:tc>
        <w:tc>
          <w:tcPr>
            <w:tcW w:w="1871" w:type="dxa"/>
          </w:tcPr>
          <w:p w14:paraId="13CEEF2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≥ 99,5</w:t>
            </w:r>
          </w:p>
        </w:tc>
        <w:tc>
          <w:tcPr>
            <w:tcW w:w="1871" w:type="dxa"/>
          </w:tcPr>
          <w:p w14:paraId="3A7A2E6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≥ 99,0</w:t>
            </w:r>
          </w:p>
        </w:tc>
      </w:tr>
      <w:tr w14:paraId="0EAAD02B">
        <w:tc>
          <w:tcPr>
            <w:tcW w:w="1871" w:type="dxa"/>
          </w:tcPr>
          <w:p w14:paraId="6D930A7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Макс. задержка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доставки</w:t>
            </w:r>
          </w:p>
        </w:tc>
        <w:tc>
          <w:tcPr>
            <w:tcW w:w="1871" w:type="dxa"/>
          </w:tcPr>
          <w:p w14:paraId="381A374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500 мс</w:t>
            </w:r>
          </w:p>
        </w:tc>
        <w:tc>
          <w:tcPr>
            <w:tcW w:w="1871" w:type="dxa"/>
          </w:tcPr>
          <w:p w14:paraId="643669A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 с</w:t>
            </w:r>
          </w:p>
        </w:tc>
        <w:tc>
          <w:tcPr>
            <w:tcW w:w="1871" w:type="dxa"/>
          </w:tcPr>
          <w:p w14:paraId="315F4F3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 с</w:t>
            </w:r>
          </w:p>
        </w:tc>
        <w:tc>
          <w:tcPr>
            <w:tcW w:w="1871" w:type="dxa"/>
          </w:tcPr>
          <w:p w14:paraId="45AA852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 критична</w:t>
            </w:r>
          </w:p>
        </w:tc>
      </w:tr>
      <w:tr w14:paraId="0535FE5E">
        <w:tc>
          <w:tcPr>
            <w:tcW w:w="1871" w:type="dxa"/>
          </w:tcPr>
          <w:p w14:paraId="3F1D6DC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Вероятность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искажения</w:t>
            </w:r>
          </w:p>
        </w:tc>
        <w:tc>
          <w:tcPr>
            <w:tcW w:w="1871" w:type="dxa"/>
          </w:tcPr>
          <w:p w14:paraId="3F703FD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≤ 10⁻⁶</w:t>
            </w:r>
          </w:p>
        </w:tc>
        <w:tc>
          <w:tcPr>
            <w:tcW w:w="1871" w:type="dxa"/>
          </w:tcPr>
          <w:p w14:paraId="7E085D4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≤ 10⁻⁵</w:t>
            </w:r>
          </w:p>
        </w:tc>
        <w:tc>
          <w:tcPr>
            <w:tcW w:w="1871" w:type="dxa"/>
          </w:tcPr>
          <w:p w14:paraId="6CC7227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≤ 10⁻⁴</w:t>
            </w:r>
          </w:p>
        </w:tc>
        <w:tc>
          <w:tcPr>
            <w:tcW w:w="1871" w:type="dxa"/>
          </w:tcPr>
          <w:p w14:paraId="67EBC2C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≤ 10⁻⁴</w:t>
            </w:r>
          </w:p>
        </w:tc>
      </w:tr>
      <w:tr w14:paraId="48DEA00C">
        <w:tc>
          <w:tcPr>
            <w:tcW w:w="1871" w:type="dxa"/>
          </w:tcPr>
          <w:p w14:paraId="25B419E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Подтверждение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доставки</w:t>
            </w:r>
          </w:p>
        </w:tc>
        <w:tc>
          <w:tcPr>
            <w:tcW w:w="1871" w:type="dxa"/>
          </w:tcPr>
          <w:p w14:paraId="590F586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Обязательно</w:t>
            </w:r>
          </w:p>
        </w:tc>
        <w:tc>
          <w:tcPr>
            <w:tcW w:w="1871" w:type="dxa"/>
          </w:tcPr>
          <w:p w14:paraId="0BD30C3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Обязательно</w:t>
            </w:r>
          </w:p>
        </w:tc>
        <w:tc>
          <w:tcPr>
            <w:tcW w:w="1871" w:type="dxa"/>
          </w:tcPr>
          <w:p w14:paraId="622FB85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Желательно</w:t>
            </w:r>
          </w:p>
        </w:tc>
        <w:tc>
          <w:tcPr>
            <w:tcW w:w="1871" w:type="dxa"/>
          </w:tcPr>
          <w:p w14:paraId="27691A0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Обязательно</w:t>
            </w:r>
          </w:p>
        </w:tc>
      </w:tr>
      <w:tr w14:paraId="76C7BF17">
        <w:tc>
          <w:tcPr>
            <w:tcW w:w="1871" w:type="dxa"/>
          </w:tcPr>
          <w:p w14:paraId="3D2B0D5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Резервирование</w:t>
            </w:r>
          </w:p>
        </w:tc>
        <w:tc>
          <w:tcPr>
            <w:tcW w:w="1871" w:type="dxa"/>
          </w:tcPr>
          <w:p w14:paraId="3ED3799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Обязательно</w:t>
            </w:r>
          </w:p>
        </w:tc>
        <w:tc>
          <w:tcPr>
            <w:tcW w:w="1871" w:type="dxa"/>
          </w:tcPr>
          <w:p w14:paraId="5C5C04E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Обязательно</w:t>
            </w:r>
          </w:p>
        </w:tc>
        <w:tc>
          <w:tcPr>
            <w:tcW w:w="1871" w:type="dxa"/>
          </w:tcPr>
          <w:p w14:paraId="1003B76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Рекомендуется</w:t>
            </w:r>
          </w:p>
        </w:tc>
        <w:tc>
          <w:tcPr>
            <w:tcW w:w="1871" w:type="dxa"/>
          </w:tcPr>
          <w:p w14:paraId="536AB58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 требуется</w:t>
            </w:r>
          </w:p>
        </w:tc>
      </w:tr>
      <w:tr w14:paraId="6E8DDEAC">
        <w:tc>
          <w:tcPr>
            <w:tcW w:w="1871" w:type="dxa"/>
          </w:tcPr>
          <w:p w14:paraId="03411B7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Буферизация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при потере связи</w:t>
            </w:r>
          </w:p>
        </w:tc>
        <w:tc>
          <w:tcPr>
            <w:tcW w:w="1871" w:type="dxa"/>
          </w:tcPr>
          <w:p w14:paraId="0541C5D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 требуется</w:t>
            </w:r>
          </w:p>
        </w:tc>
        <w:tc>
          <w:tcPr>
            <w:tcW w:w="1871" w:type="dxa"/>
          </w:tcPr>
          <w:p w14:paraId="7B059FAC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Обязательно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(≥ 72 ч)</w:t>
            </w:r>
          </w:p>
        </w:tc>
        <w:tc>
          <w:tcPr>
            <w:tcW w:w="1871" w:type="dxa"/>
          </w:tcPr>
          <w:p w14:paraId="3024149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Обязательно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(≥ 72 ч)</w:t>
            </w:r>
          </w:p>
        </w:tc>
        <w:tc>
          <w:tcPr>
            <w:tcW w:w="1871" w:type="dxa"/>
          </w:tcPr>
          <w:p w14:paraId="6B7255B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 требуется</w:t>
            </w:r>
          </w:p>
        </w:tc>
      </w:tr>
    </w:tbl>
    <w:p w14:paraId="1EEAC2A5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textAlignment w:val="auto"/>
      </w:pPr>
    </w:p>
    <w:p w14:paraId="30F9117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Дополнительным требованием является информационная безопасность: шифрование трафика TLS/SSL, аутентификация устройств, межсетевое экранирование и мониторинг аномальной активности. Искажение или подмена команд телеуправления может привести к аварийным ситуациям в электрической сети, поэтому защите управляющего канала уделяется приоритетное внимание [22].</w:t>
      </w:r>
    </w:p>
    <w:p w14:paraId="2633CDC7">
      <w:pPr>
        <w:keepNext/>
        <w:keepLines w:val="0"/>
        <w:pageBreakBefore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  <w:outlineLvl w:val="0"/>
        <w:rPr>
          <w:rFonts w:hint="default" w:ascii="Times New Roman Bold" w:hAnsi="Times New Roman Bold" w:cs="Times New Roman Bold"/>
          <w:b/>
          <w:bCs/>
        </w:rPr>
      </w:pPr>
      <w:bookmarkStart w:id="27" w:name="_Toc569800743"/>
      <w:r>
        <w:rPr>
          <w:rFonts w:ascii="Times New Roman" w:hAnsi="Times New Roman" w:eastAsia="Times New Roman" w:cs="Times New Roman"/>
          <w:b/>
          <w:sz w:val="28"/>
        </w:rPr>
        <w:t>3 Исследование работы разработанных алгоритмов</w:t>
      </w:r>
      <w:bookmarkEnd w:id="27"/>
    </w:p>
    <w:p w14:paraId="6D049879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Исследование работы алгоритмов выполняется на основе анализа таблиц состояний автоматики и результатов моделирования.</w:t>
      </w:r>
    </w:p>
    <w:p w14:paraId="68F8E82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Таблицы состояний автоматики представляют собой матричное описание состояний всех коммутационных аппаратов и сигналов индикаторов короткого замыкания для каждого режима работы автоматизированного участка. Они решают четыре задачи: формальная верификация корректности алгоритмов, однозначная основа для программной реализации, документация для эксплуатационного персонала, систематический анализ полноты и непротиворечивости логики управления [22].</w:t>
      </w:r>
    </w:p>
    <w:p w14:paraId="72145F6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Методология основана на определении конечного набора дискретных состояний каждого элемента участка. Для коммутационных аппаратов (реклоузер Р1, разъединители РШ1, РШ2, НР) определены состояния: ВКЛ — аппарат включён, цепь замкнута; ОТКЛ — аппарат отключён оператором или алгоритмом в штатном режиме; LOCKOUT — аппарат отключён после исчерпания циклов АПВ (только для реклоузера Р1). Для индикаторов короткого замыкания (ИКЗ) определены состояния: НОРМ — ток КЗ не зафиксирован; СРАБОТАЛ — зафиксировано протекание тока КЗ. В системе SCADA применяется цветовая кодировка: зелёный — нормальное состояние, красный — аварийное, жёлтый — предупреждение, серый — нет связи [23].</w:t>
      </w:r>
    </w:p>
    <w:p w14:paraId="6EA7DD4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Каждая строка таблицы описывает одно состояние системы, включающее положение каждого коммутационного аппарата, состояние каждого ИКЗ, режим работы SCADA и действия автоматики или оператора. Переход между строками происходит при наступлении определённого события: обнаружение тока КЗ, срабатывание защиты, выполнение команды оператора, истечение времени паузы АПВ. Совокупность строк описывает полную последовательность действий для данного режима работы [18].</w:t>
      </w:r>
    </w:p>
    <w:p w14:paraId="5B3534FA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  <w:rPr>
          <w:rFonts w:hint="default" w:ascii="Times New Roman Bold" w:hAnsi="Times New Roman Bold" w:cs="Times New Roman Bold"/>
          <w:b/>
          <w:bCs/>
        </w:rPr>
      </w:pPr>
      <w:bookmarkStart w:id="28" w:name="_Toc1011505628"/>
      <w:bookmarkStart w:id="29" w:name="_Toc848610391"/>
      <w:r>
        <w:rPr>
          <w:rFonts w:hint="default" w:ascii="Times New Roman" w:hAnsi="Times New Roman" w:eastAsia="Times New Roman" w:cs="Times New Roman"/>
          <w:b/>
          <w:bCs/>
          <w:sz w:val="28"/>
        </w:rPr>
        <w:t>3.1 Работа системы автоматики в нормальных режимах эксплуатации</w:t>
      </w:r>
      <w:bookmarkEnd w:id="28"/>
      <w:bookmarkEnd w:id="29"/>
    </w:p>
    <w:p w14:paraId="35A9FAD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Нормальный режим характеризуется электроснабжением всех трёх секций линии от питающей подстанции через реклоузер Р1 при замкнутых РШ1 и РШ2 и разомкнутом НР. Все параметры находятся в пределах допустимых значений, аварийные сигналы отсутствуют. Таблица 3.1 описывает состояния элементов участка при различных подрежимах нормальной эксплуатации.</w:t>
      </w:r>
    </w:p>
    <w:p w14:paraId="3DB6FD7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Таблица 3.1 – Состояния элементов участка при нормальном режиме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928"/>
        <w:gridCol w:w="939"/>
        <w:gridCol w:w="939"/>
        <w:gridCol w:w="1064"/>
        <w:gridCol w:w="1109"/>
        <w:gridCol w:w="2216"/>
      </w:tblGrid>
      <w:tr w14:paraId="7FBF095F">
        <w:tc>
          <w:tcPr>
            <w:tcW w:w="1336" w:type="dxa"/>
          </w:tcPr>
          <w:p w14:paraId="2A8E221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Подрежим</w:t>
            </w:r>
          </w:p>
        </w:tc>
        <w:tc>
          <w:tcPr>
            <w:tcW w:w="1336" w:type="dxa"/>
          </w:tcPr>
          <w:p w14:paraId="5BE5743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Р1</w:t>
            </w:r>
          </w:p>
        </w:tc>
        <w:tc>
          <w:tcPr>
            <w:tcW w:w="1336" w:type="dxa"/>
          </w:tcPr>
          <w:p w14:paraId="3063EEB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РШ1</w:t>
            </w:r>
          </w:p>
        </w:tc>
        <w:tc>
          <w:tcPr>
            <w:tcW w:w="1336" w:type="dxa"/>
          </w:tcPr>
          <w:p w14:paraId="46D5C53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РШ2</w:t>
            </w:r>
          </w:p>
        </w:tc>
        <w:tc>
          <w:tcPr>
            <w:tcW w:w="1336" w:type="dxa"/>
          </w:tcPr>
          <w:p w14:paraId="1D20994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НР</w:t>
            </w:r>
          </w:p>
        </w:tc>
        <w:tc>
          <w:tcPr>
            <w:tcW w:w="1336" w:type="dxa"/>
          </w:tcPr>
          <w:p w14:paraId="6DA1CE3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ИКЗ-1 / ИКЗ-2</w:t>
            </w:r>
          </w:p>
        </w:tc>
        <w:tc>
          <w:tcPr>
            <w:tcW w:w="1336" w:type="dxa"/>
          </w:tcPr>
          <w:p w14:paraId="4329D19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SCADA</w:t>
            </w:r>
          </w:p>
        </w:tc>
      </w:tr>
      <w:tr w14:paraId="14FFEC5F">
        <w:tc>
          <w:tcPr>
            <w:tcW w:w="1336" w:type="dxa"/>
          </w:tcPr>
          <w:p w14:paraId="32B8B1E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Исходное состояние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(все секции под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напряжением)</w:t>
            </w:r>
          </w:p>
        </w:tc>
        <w:tc>
          <w:tcPr>
            <w:tcW w:w="1336" w:type="dxa"/>
          </w:tcPr>
          <w:p w14:paraId="31ACF90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409100F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1FE3EDA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0876BFB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35232DA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НОРМ / НОРМ</w:t>
            </w:r>
          </w:p>
        </w:tc>
        <w:tc>
          <w:tcPr>
            <w:tcW w:w="1336" w:type="dxa"/>
          </w:tcPr>
          <w:p w14:paraId="1D2C7A4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Зелёный.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Все параметры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в норме</w:t>
            </w:r>
          </w:p>
        </w:tc>
      </w:tr>
      <w:tr w14:paraId="133A4C84">
        <w:tc>
          <w:tcPr>
            <w:tcW w:w="1336" w:type="dxa"/>
          </w:tcPr>
          <w:p w14:paraId="5A0EE8A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Увеличение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нагрузки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(I &lt; Iпред)</w:t>
            </w:r>
          </w:p>
        </w:tc>
        <w:tc>
          <w:tcPr>
            <w:tcW w:w="1336" w:type="dxa"/>
          </w:tcPr>
          <w:p w14:paraId="3ED1C0A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4C089B1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4821F43E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15D2DD8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6B5A69F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НОРМ / НОРМ</w:t>
            </w:r>
          </w:p>
        </w:tc>
        <w:tc>
          <w:tcPr>
            <w:tcW w:w="1336" w:type="dxa"/>
          </w:tcPr>
          <w:p w14:paraId="1E0BDBFE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Зелёный.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Тренд тока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возрастает</w:t>
            </w:r>
          </w:p>
        </w:tc>
      </w:tr>
      <w:tr w14:paraId="7153CAAD">
        <w:tc>
          <w:tcPr>
            <w:tcW w:w="1336" w:type="dxa"/>
          </w:tcPr>
          <w:p w14:paraId="0D8237C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Предупреждение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по нагрузке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(I &gt; Iпред)</w:t>
            </w:r>
          </w:p>
        </w:tc>
        <w:tc>
          <w:tcPr>
            <w:tcW w:w="1336" w:type="dxa"/>
          </w:tcPr>
          <w:p w14:paraId="0F31BB9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70F5BD9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7A61742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7C79087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5905C41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НОРМ / НОРМ</w:t>
            </w:r>
          </w:p>
        </w:tc>
        <w:tc>
          <w:tcPr>
            <w:tcW w:w="1336" w:type="dxa"/>
          </w:tcPr>
          <w:p w14:paraId="20F06A5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Жёлтый.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Сигнал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предупреждения</w:t>
            </w:r>
          </w:p>
        </w:tc>
      </w:tr>
      <w:tr w14:paraId="2D254272">
        <w:tc>
          <w:tcPr>
            <w:tcW w:w="1336" w:type="dxa"/>
          </w:tcPr>
          <w:p w14:paraId="10DA118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Снижение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напряжения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(U &gt; Uмин)</w:t>
            </w:r>
          </w:p>
        </w:tc>
        <w:tc>
          <w:tcPr>
            <w:tcW w:w="1336" w:type="dxa"/>
          </w:tcPr>
          <w:p w14:paraId="2909D6E4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01C1873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784F4D0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51C05EB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0B909D5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НОРМ / НОРМ</w:t>
            </w:r>
          </w:p>
        </w:tc>
        <w:tc>
          <w:tcPr>
            <w:tcW w:w="1336" w:type="dxa"/>
          </w:tcPr>
          <w:p w14:paraId="4AE8483E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Зелёный.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Тренд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напряжения</w:t>
            </w:r>
          </w:p>
        </w:tc>
      </w:tr>
      <w:tr w14:paraId="2BE9BC9A">
        <w:tc>
          <w:tcPr>
            <w:tcW w:w="1336" w:type="dxa"/>
          </w:tcPr>
          <w:p w14:paraId="3189243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Кратковременные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колебания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нагрузки</w:t>
            </w:r>
          </w:p>
        </w:tc>
        <w:tc>
          <w:tcPr>
            <w:tcW w:w="1336" w:type="dxa"/>
          </w:tcPr>
          <w:p w14:paraId="7260D49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5AE01B4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55521E2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5151A5C4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55B4F2F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НОРМ / НОРМ</w:t>
            </w:r>
          </w:p>
        </w:tc>
        <w:tc>
          <w:tcPr>
            <w:tcW w:w="1336" w:type="dxa"/>
          </w:tcPr>
          <w:p w14:paraId="3D863E9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Зелёный.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Колебания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в пределах нормы</w:t>
            </w:r>
          </w:p>
        </w:tc>
      </w:tr>
      <w:tr w14:paraId="7F7DE2FB">
        <w:tc>
          <w:tcPr>
            <w:tcW w:w="1336" w:type="dxa"/>
          </w:tcPr>
          <w:p w14:paraId="6A4EE74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Пуск крупного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электродвигателя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(I &lt; Iмтз)</w:t>
            </w:r>
          </w:p>
        </w:tc>
        <w:tc>
          <w:tcPr>
            <w:tcW w:w="1336" w:type="dxa"/>
          </w:tcPr>
          <w:p w14:paraId="4279A6E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30F75DF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2599D33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7C817CD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40F5F57E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НОРМ / НОРМ</w:t>
            </w:r>
          </w:p>
        </w:tc>
        <w:tc>
          <w:tcPr>
            <w:tcW w:w="1336" w:type="dxa"/>
          </w:tcPr>
          <w:p w14:paraId="6F0BFE4C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Жёлтый.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Бросок тока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зафиксирован</w:t>
            </w:r>
          </w:p>
        </w:tc>
      </w:tr>
      <w:tr w14:paraId="22FE71A1">
        <w:tc>
          <w:tcPr>
            <w:tcW w:w="1336" w:type="dxa"/>
          </w:tcPr>
          <w:p w14:paraId="1213572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Восстановление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номинального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режима</w:t>
            </w:r>
          </w:p>
        </w:tc>
        <w:tc>
          <w:tcPr>
            <w:tcW w:w="1336" w:type="dxa"/>
          </w:tcPr>
          <w:p w14:paraId="39FEC4E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6B871FA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1BE5A26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3155AE1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2E4C071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НОРМ / НОРМ</w:t>
            </w:r>
          </w:p>
        </w:tc>
        <w:tc>
          <w:tcPr>
            <w:tcW w:w="1336" w:type="dxa"/>
          </w:tcPr>
          <w:p w14:paraId="26F4F08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Зелёный.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Все параметры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вернулись в норму</w:t>
            </w:r>
          </w:p>
        </w:tc>
      </w:tr>
      <w:tr w14:paraId="6E1B3F62">
        <w:tc>
          <w:tcPr>
            <w:tcW w:w="1336" w:type="dxa"/>
          </w:tcPr>
          <w:p w14:paraId="42ED4B2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Ночной минимум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нагрузки</w:t>
            </w:r>
          </w:p>
        </w:tc>
        <w:tc>
          <w:tcPr>
            <w:tcW w:w="1336" w:type="dxa"/>
          </w:tcPr>
          <w:p w14:paraId="4C00992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71B27734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7C3EABF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715C4D2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31110A2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НОРМ / НОРМ</w:t>
            </w:r>
          </w:p>
        </w:tc>
        <w:tc>
          <w:tcPr>
            <w:tcW w:w="1336" w:type="dxa"/>
          </w:tcPr>
          <w:p w14:paraId="63B7770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Зелёный.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Минимальная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нагрузка</w:t>
            </w:r>
          </w:p>
        </w:tc>
      </w:tr>
    </w:tbl>
    <w:p w14:paraId="6CDC7A9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textAlignment w:val="auto"/>
      </w:pPr>
    </w:p>
    <w:p w14:paraId="78563399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В нормальном режиме положение коммутационных аппаратов остаётся неизменным для всех подрежимов. Различается только цветовая индикация SCADA: при приближении контролируемых параметров к граничным значениям формируются предупреждающие сигналы жёлтого цвета, привлекающие внимание оператора к необходимости контроля режима [19].</w:t>
      </w:r>
    </w:p>
    <w:p w14:paraId="79F6F1A2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  <w:rPr>
          <w:rFonts w:hint="default" w:ascii="Times New Roman Bold" w:hAnsi="Times New Roman Bold" w:cs="Times New Roman Bold"/>
          <w:b/>
          <w:bCs/>
        </w:rPr>
      </w:pPr>
      <w:bookmarkStart w:id="30" w:name="_Toc1155941810"/>
      <w:bookmarkStart w:id="31" w:name="_Toc894540144"/>
      <w:r>
        <w:rPr>
          <w:rFonts w:hint="default" w:ascii="Times New Roman" w:hAnsi="Times New Roman" w:eastAsia="Times New Roman" w:cs="Times New Roman"/>
          <w:b/>
          <w:bCs/>
          <w:sz w:val="28"/>
        </w:rPr>
        <w:t>3.2 Работа системы автоматики при аварийных режимах</w:t>
      </w:r>
      <w:bookmarkEnd w:id="30"/>
      <w:bookmarkEnd w:id="31"/>
    </w:p>
    <w:p w14:paraId="6D0E77E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Аварийный режим возникает при появлении короткого замыкания на одном из участков линии. Рассмотрим последовательность состояний при устойчивом КЗ в секции 2 (между РШ1 и РШ2) — наиболее показательный сценарий, демонстрирующий полный цикл обнаружения, изоляции и восстановления питания [20].</w:t>
      </w:r>
    </w:p>
    <w:p w14:paraId="3F10543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Таблица 3.2 – Состояния элементов при аварийном режиме (КЗ в секции 2)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1"/>
        <w:gridCol w:w="1841"/>
        <w:gridCol w:w="1432"/>
        <w:gridCol w:w="897"/>
        <w:gridCol w:w="897"/>
        <w:gridCol w:w="952"/>
        <w:gridCol w:w="1581"/>
      </w:tblGrid>
      <w:tr w14:paraId="333E57FC">
        <w:tc>
          <w:tcPr>
            <w:tcW w:w="1336" w:type="dxa"/>
          </w:tcPr>
          <w:p w14:paraId="4B407D4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Этап</w:t>
            </w:r>
          </w:p>
        </w:tc>
        <w:tc>
          <w:tcPr>
            <w:tcW w:w="1336" w:type="dxa"/>
          </w:tcPr>
          <w:p w14:paraId="2B5893D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Событие / Действие</w:t>
            </w:r>
          </w:p>
        </w:tc>
        <w:tc>
          <w:tcPr>
            <w:tcW w:w="1336" w:type="dxa"/>
          </w:tcPr>
          <w:p w14:paraId="5756F11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Р1</w:t>
            </w:r>
          </w:p>
        </w:tc>
        <w:tc>
          <w:tcPr>
            <w:tcW w:w="1336" w:type="dxa"/>
          </w:tcPr>
          <w:p w14:paraId="2FC4FC7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РШ1</w:t>
            </w:r>
          </w:p>
        </w:tc>
        <w:tc>
          <w:tcPr>
            <w:tcW w:w="1336" w:type="dxa"/>
          </w:tcPr>
          <w:p w14:paraId="4D8A169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РШ2</w:t>
            </w:r>
          </w:p>
        </w:tc>
        <w:tc>
          <w:tcPr>
            <w:tcW w:w="1336" w:type="dxa"/>
          </w:tcPr>
          <w:p w14:paraId="4CE902D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ИКЗ-1 / ИКЗ-2</w:t>
            </w:r>
          </w:p>
        </w:tc>
        <w:tc>
          <w:tcPr>
            <w:tcW w:w="1336" w:type="dxa"/>
          </w:tcPr>
          <w:p w14:paraId="6719397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SCADA</w:t>
            </w:r>
          </w:p>
        </w:tc>
      </w:tr>
      <w:tr w14:paraId="57FC281A">
        <w:tc>
          <w:tcPr>
            <w:tcW w:w="1336" w:type="dxa"/>
          </w:tcPr>
          <w:p w14:paraId="073EA41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 Обнаружение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КЗ</w:t>
            </w:r>
          </w:p>
        </w:tc>
        <w:tc>
          <w:tcPr>
            <w:tcW w:w="1336" w:type="dxa"/>
          </w:tcPr>
          <w:p w14:paraId="14BAA46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Ток КЗ &gt; Iмтз.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Срабатывание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защиты Р1</w:t>
            </w:r>
          </w:p>
        </w:tc>
        <w:tc>
          <w:tcPr>
            <w:tcW w:w="1336" w:type="dxa"/>
          </w:tcPr>
          <w:p w14:paraId="74050E3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LOCKOUT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(после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АПВ)</w:t>
            </w:r>
          </w:p>
        </w:tc>
        <w:tc>
          <w:tcPr>
            <w:tcW w:w="1336" w:type="dxa"/>
          </w:tcPr>
          <w:p w14:paraId="1908D90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154F585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60F990C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СРАБОТАЛ /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НОРМ</w:t>
            </w:r>
          </w:p>
        </w:tc>
        <w:tc>
          <w:tcPr>
            <w:tcW w:w="1336" w:type="dxa"/>
          </w:tcPr>
          <w:p w14:paraId="64FE4F8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Красный.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Аварийный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сигнал</w:t>
            </w:r>
          </w:p>
        </w:tc>
      </w:tr>
      <w:tr w14:paraId="363659C4">
        <w:tc>
          <w:tcPr>
            <w:tcW w:w="1336" w:type="dxa"/>
          </w:tcPr>
          <w:p w14:paraId="5FEBFEE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 Определение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повреждённой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секции</w:t>
            </w:r>
          </w:p>
        </w:tc>
        <w:tc>
          <w:tcPr>
            <w:tcW w:w="1336" w:type="dxa"/>
          </w:tcPr>
          <w:p w14:paraId="4CC8F7D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Анализ ИКЗ: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ИКЗ-1 сработал,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ИКЗ-2 нет →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секция 2</w:t>
            </w:r>
          </w:p>
        </w:tc>
        <w:tc>
          <w:tcPr>
            <w:tcW w:w="1336" w:type="dxa"/>
          </w:tcPr>
          <w:p w14:paraId="3709518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LOCKOUT</w:t>
            </w:r>
          </w:p>
        </w:tc>
        <w:tc>
          <w:tcPr>
            <w:tcW w:w="1336" w:type="dxa"/>
          </w:tcPr>
          <w:p w14:paraId="0F5EB3D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7EA671C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25ABFE9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СРАБОТАЛ /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НОРМ</w:t>
            </w:r>
          </w:p>
        </w:tc>
        <w:tc>
          <w:tcPr>
            <w:tcW w:w="1336" w:type="dxa"/>
          </w:tcPr>
          <w:p w14:paraId="793CA944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Красный.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Секция 2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определена</w:t>
            </w:r>
          </w:p>
        </w:tc>
      </w:tr>
      <w:tr w14:paraId="0B1DBB32">
        <w:tc>
          <w:tcPr>
            <w:tcW w:w="1336" w:type="dxa"/>
          </w:tcPr>
          <w:p w14:paraId="18FAE36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3. Изоляция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повреждённого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участка</w:t>
            </w:r>
          </w:p>
        </w:tc>
        <w:tc>
          <w:tcPr>
            <w:tcW w:w="1336" w:type="dxa"/>
          </w:tcPr>
          <w:p w14:paraId="67354F6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Команда ОТКЛ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на РШ1 и РШ2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(бестоковая пауза)</w:t>
            </w:r>
          </w:p>
        </w:tc>
        <w:tc>
          <w:tcPr>
            <w:tcW w:w="1336" w:type="dxa"/>
          </w:tcPr>
          <w:p w14:paraId="38FBA60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LOCKOUT</w:t>
            </w:r>
          </w:p>
        </w:tc>
        <w:tc>
          <w:tcPr>
            <w:tcW w:w="1336" w:type="dxa"/>
          </w:tcPr>
          <w:p w14:paraId="4AACA6D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77B84D1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64624E0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СРАБОТАЛ /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НОРМ</w:t>
            </w:r>
          </w:p>
        </w:tc>
        <w:tc>
          <w:tcPr>
            <w:tcW w:w="1336" w:type="dxa"/>
          </w:tcPr>
          <w:p w14:paraId="259E60F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Красный.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Секция 2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изолирована</w:t>
            </w:r>
          </w:p>
        </w:tc>
      </w:tr>
      <w:tr w14:paraId="2BC306F4">
        <w:tc>
          <w:tcPr>
            <w:tcW w:w="1336" w:type="dxa"/>
          </w:tcPr>
          <w:p w14:paraId="3184096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4. Восстановление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питания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секции 1</w:t>
            </w:r>
          </w:p>
        </w:tc>
        <w:tc>
          <w:tcPr>
            <w:tcW w:w="1336" w:type="dxa"/>
          </w:tcPr>
          <w:p w14:paraId="312CC23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Команда ВКЛ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на Р1.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Сброс lockout</w:t>
            </w:r>
          </w:p>
        </w:tc>
        <w:tc>
          <w:tcPr>
            <w:tcW w:w="1336" w:type="dxa"/>
          </w:tcPr>
          <w:p w14:paraId="72E279F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6173BB9C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3B3DCE9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5A93CC74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СБРОС /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НОРМ</w:t>
            </w:r>
          </w:p>
        </w:tc>
        <w:tc>
          <w:tcPr>
            <w:tcW w:w="1336" w:type="dxa"/>
          </w:tcPr>
          <w:p w14:paraId="2939244E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Жёлтый.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Секция 1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под напряж.</w:t>
            </w:r>
          </w:p>
        </w:tc>
      </w:tr>
      <w:tr w14:paraId="7785649C">
        <w:tc>
          <w:tcPr>
            <w:tcW w:w="1336" w:type="dxa"/>
          </w:tcPr>
          <w:p w14:paraId="124D5A0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5. Восстановление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питания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секции 3</w:t>
            </w:r>
          </w:p>
        </w:tc>
        <w:tc>
          <w:tcPr>
            <w:tcW w:w="1336" w:type="dxa"/>
          </w:tcPr>
          <w:p w14:paraId="68BF641C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Команда ВКЛ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на НР.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Резервное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питание</w:t>
            </w:r>
          </w:p>
        </w:tc>
        <w:tc>
          <w:tcPr>
            <w:tcW w:w="1336" w:type="dxa"/>
          </w:tcPr>
          <w:p w14:paraId="4F209F6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0E57C40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296516D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56A4134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СБРОС /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НОРМ</w:t>
            </w:r>
          </w:p>
        </w:tc>
        <w:tc>
          <w:tcPr>
            <w:tcW w:w="1336" w:type="dxa"/>
          </w:tcPr>
          <w:p w14:paraId="54DAE3A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Жёлтый.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Секция 3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под напряж.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(резерв)</w:t>
            </w:r>
          </w:p>
        </w:tc>
      </w:tr>
      <w:tr w14:paraId="3C3BDE0A">
        <w:tc>
          <w:tcPr>
            <w:tcW w:w="1336" w:type="dxa"/>
          </w:tcPr>
          <w:p w14:paraId="2345BB4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6. Стабилизация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режима</w:t>
            </w:r>
          </w:p>
        </w:tc>
        <w:tc>
          <w:tcPr>
            <w:tcW w:w="1336" w:type="dxa"/>
          </w:tcPr>
          <w:p w14:paraId="6BADA5A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Контроль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параметров.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Формирование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протокола</w:t>
            </w:r>
          </w:p>
        </w:tc>
        <w:tc>
          <w:tcPr>
            <w:tcW w:w="1336" w:type="dxa"/>
          </w:tcPr>
          <w:p w14:paraId="584CA42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711406B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4AF994D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375AF6C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СБРОС /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НОРМ</w:t>
            </w:r>
          </w:p>
        </w:tc>
        <w:tc>
          <w:tcPr>
            <w:tcW w:w="1336" w:type="dxa"/>
          </w:tcPr>
          <w:p w14:paraId="0D85A59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Жёлтый.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Аварийный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режим.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Секция 2 откл.</w:t>
            </w:r>
          </w:p>
        </w:tc>
      </w:tr>
    </w:tbl>
    <w:p w14:paraId="550266D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textAlignment w:val="auto"/>
      </w:pPr>
    </w:p>
    <w:p w14:paraId="0F3FB42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Алгоритм изолирует повреждённую секцию 2 и восстанавливает электроснабжение неповреждённых секций: секция 1 получает питание от основного источника через Р1, секция 3 — от резервного через НР. Общее время от момента обнаружения КЗ до восстановления питания неповреждённых секций составляет 60–120 секунд, что на два порядка меньше времени ручного оперативного реагирования (30–90 минут) [18].</w:t>
      </w:r>
    </w:p>
    <w:p w14:paraId="57D46EE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При КЗ в секции 1 (между подстанцией и РШ1) ИКЗ-1 не срабатывает, поскольку ток КЗ не проходит через РШ1; отключается РШ1, питание секций 2 и 3 восстанавливается через НР. При КЗ в секции 3 срабатывают оба ИКЗ; отключается РШ2, питание секций 1 и 2 восстанавливается через Р1. Комбинация сработавших ИКЗ однозначно определяет повреждённую секцию для любого из трёх возможных мест КЗ [19].</w:t>
      </w:r>
    </w:p>
    <w:p w14:paraId="634DA12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Ремонтный режим предусматривает плановое обслуживание оборудования на определённой секции линии в соответствии с заявкой и графиком планово-предупредительных ремонтов. В отличие от аварийного режима, все операции выполняются под контролем оперативного персонала с пошаговым подтверждением.</w:t>
      </w:r>
    </w:p>
    <w:p w14:paraId="327AB46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Таблица 3.3 – Состояния элементов при ремонтном режиме (ремонт секции 2)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8"/>
        <w:gridCol w:w="1886"/>
        <w:gridCol w:w="966"/>
        <w:gridCol w:w="966"/>
        <w:gridCol w:w="967"/>
        <w:gridCol w:w="967"/>
        <w:gridCol w:w="1671"/>
      </w:tblGrid>
      <w:tr w14:paraId="5FA432C5">
        <w:tc>
          <w:tcPr>
            <w:tcW w:w="1336" w:type="dxa"/>
          </w:tcPr>
          <w:p w14:paraId="1541A0EE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Этап</w:t>
            </w:r>
          </w:p>
        </w:tc>
        <w:tc>
          <w:tcPr>
            <w:tcW w:w="1336" w:type="dxa"/>
          </w:tcPr>
          <w:p w14:paraId="200029E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Действие оператора</w:t>
            </w:r>
          </w:p>
        </w:tc>
        <w:tc>
          <w:tcPr>
            <w:tcW w:w="1336" w:type="dxa"/>
          </w:tcPr>
          <w:p w14:paraId="4F9A257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Р1</w:t>
            </w:r>
          </w:p>
        </w:tc>
        <w:tc>
          <w:tcPr>
            <w:tcW w:w="1336" w:type="dxa"/>
          </w:tcPr>
          <w:p w14:paraId="7EE1D17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РШ1</w:t>
            </w:r>
          </w:p>
        </w:tc>
        <w:tc>
          <w:tcPr>
            <w:tcW w:w="1336" w:type="dxa"/>
          </w:tcPr>
          <w:p w14:paraId="1980AD1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РШ2</w:t>
            </w:r>
          </w:p>
        </w:tc>
        <w:tc>
          <w:tcPr>
            <w:tcW w:w="1336" w:type="dxa"/>
          </w:tcPr>
          <w:p w14:paraId="6B6AA7F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НР</w:t>
            </w:r>
          </w:p>
        </w:tc>
        <w:tc>
          <w:tcPr>
            <w:tcW w:w="1336" w:type="dxa"/>
          </w:tcPr>
          <w:p w14:paraId="534369C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SCADA</w:t>
            </w:r>
          </w:p>
        </w:tc>
      </w:tr>
      <w:tr w14:paraId="11E0731A">
        <w:tc>
          <w:tcPr>
            <w:tcW w:w="1336" w:type="dxa"/>
          </w:tcPr>
          <w:p w14:paraId="0579E32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1. Подготовка</w:t>
            </w:r>
          </w:p>
        </w:tc>
        <w:tc>
          <w:tcPr>
            <w:tcW w:w="1336" w:type="dxa"/>
          </w:tcPr>
          <w:p w14:paraId="20213CEC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Оформление заявки.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Уведомление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потребителей</w:t>
            </w:r>
          </w:p>
        </w:tc>
        <w:tc>
          <w:tcPr>
            <w:tcW w:w="1336" w:type="dxa"/>
          </w:tcPr>
          <w:p w14:paraId="52280FF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7086946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6BAF52B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4C3F191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6D5EF06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Зелёный.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Заявка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оформлена</w:t>
            </w:r>
          </w:p>
        </w:tc>
      </w:tr>
      <w:tr w14:paraId="20828EA5">
        <w:tc>
          <w:tcPr>
            <w:tcW w:w="1336" w:type="dxa"/>
          </w:tcPr>
          <w:p w14:paraId="1F0C8DC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2. Вывод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секции 2</w:t>
            </w:r>
          </w:p>
        </w:tc>
        <w:tc>
          <w:tcPr>
            <w:tcW w:w="1336" w:type="dxa"/>
          </w:tcPr>
          <w:p w14:paraId="431C911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Отключение Р1.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Отключение РШ1.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Отключение РШ2</w:t>
            </w:r>
          </w:p>
        </w:tc>
        <w:tc>
          <w:tcPr>
            <w:tcW w:w="1336" w:type="dxa"/>
          </w:tcPr>
          <w:p w14:paraId="59AE477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72ACCD1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1B15527C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135CB4F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19E1B8A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Жёлтый.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Все секции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обесточены</w:t>
            </w:r>
          </w:p>
        </w:tc>
      </w:tr>
      <w:tr w14:paraId="63040CCA">
        <w:tc>
          <w:tcPr>
            <w:tcW w:w="1336" w:type="dxa"/>
          </w:tcPr>
          <w:p w14:paraId="1E9426A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3. Подача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резервного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питания</w:t>
            </w:r>
          </w:p>
        </w:tc>
        <w:tc>
          <w:tcPr>
            <w:tcW w:w="1336" w:type="dxa"/>
          </w:tcPr>
          <w:p w14:paraId="5813B8A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Включение НР.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Включение Р1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(секция 1)</w:t>
            </w:r>
          </w:p>
        </w:tc>
        <w:tc>
          <w:tcPr>
            <w:tcW w:w="1336" w:type="dxa"/>
          </w:tcPr>
          <w:p w14:paraId="681AB82C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07875B6C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1F91849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583D047C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0A3DDE3E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Жёлтый.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Секции 1,3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под напряж.</w:t>
            </w:r>
          </w:p>
        </w:tc>
      </w:tr>
      <w:tr w14:paraId="04ED7339">
        <w:tc>
          <w:tcPr>
            <w:tcW w:w="1336" w:type="dxa"/>
          </w:tcPr>
          <w:p w14:paraId="26C3FFE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4. Допуск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бригады</w:t>
            </w:r>
          </w:p>
        </w:tc>
        <w:tc>
          <w:tcPr>
            <w:tcW w:w="1336" w:type="dxa"/>
          </w:tcPr>
          <w:p w14:paraId="152222D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Проверка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отсутствия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напряжения.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Установка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заземлений</w:t>
            </w:r>
          </w:p>
        </w:tc>
        <w:tc>
          <w:tcPr>
            <w:tcW w:w="1336" w:type="dxa"/>
          </w:tcPr>
          <w:p w14:paraId="5A82199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383F603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3858C43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24D22DE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790753F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Жёлтый.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Ремонт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секции 2</w:t>
            </w:r>
          </w:p>
        </w:tc>
      </w:tr>
      <w:tr w14:paraId="1A506445">
        <w:tc>
          <w:tcPr>
            <w:tcW w:w="1336" w:type="dxa"/>
          </w:tcPr>
          <w:p w14:paraId="57E8613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5. Завершение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работ</w:t>
            </w:r>
          </w:p>
        </w:tc>
        <w:tc>
          <w:tcPr>
            <w:tcW w:w="1336" w:type="dxa"/>
          </w:tcPr>
          <w:p w14:paraId="5CC6B16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Снятие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заземлений.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Осмотр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оборудования</w:t>
            </w:r>
          </w:p>
        </w:tc>
        <w:tc>
          <w:tcPr>
            <w:tcW w:w="1336" w:type="dxa"/>
          </w:tcPr>
          <w:p w14:paraId="5F214BA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4C8197D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4F51B63E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737475A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5AF1AA5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Жёлтый.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Окончание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работ</w:t>
            </w:r>
          </w:p>
        </w:tc>
      </w:tr>
      <w:tr w14:paraId="7B2286ED">
        <w:tc>
          <w:tcPr>
            <w:tcW w:w="1336" w:type="dxa"/>
          </w:tcPr>
          <w:p w14:paraId="44AD0DF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6. Восстановление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схемы</w:t>
            </w:r>
          </w:p>
        </w:tc>
        <w:tc>
          <w:tcPr>
            <w:tcW w:w="1336" w:type="dxa"/>
          </w:tcPr>
          <w:p w14:paraId="465628C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Отключение НР.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Включение РШ2.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Включение РШ1.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Включение Р1</w:t>
            </w:r>
          </w:p>
        </w:tc>
        <w:tc>
          <w:tcPr>
            <w:tcW w:w="1336" w:type="dxa"/>
          </w:tcPr>
          <w:p w14:paraId="411F629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56CA267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0ECC563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ВКЛ</w:t>
            </w:r>
          </w:p>
        </w:tc>
        <w:tc>
          <w:tcPr>
            <w:tcW w:w="1336" w:type="dxa"/>
          </w:tcPr>
          <w:p w14:paraId="3AD208B3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ОТКЛ</w:t>
            </w:r>
          </w:p>
        </w:tc>
        <w:tc>
          <w:tcPr>
            <w:tcW w:w="1336" w:type="dxa"/>
          </w:tcPr>
          <w:p w14:paraId="14BBB1F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Зелёный.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Нормальная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схема</w:t>
            </w:r>
          </w:p>
        </w:tc>
      </w:tr>
    </w:tbl>
    <w:p w14:paraId="341C848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textAlignment w:val="auto"/>
      </w:pPr>
    </w:p>
    <w:p w14:paraId="6C1BA91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Принцип пошагового подтверждения предотвращает ошибочные переключения: SCADA формирует запрос на каждое переключение, оператор подтверждает его после проверки выполнения предыдущего шага и условий безопасности. Время перерыва электроснабжения потребителей секций 1 и 3 минимизируется за счёт подачи резервного питания на этапе 3 [20].</w:t>
      </w:r>
    </w:p>
    <w:p w14:paraId="328E94B5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Анализ полноты состоит в проверке того, что для каждого сочетания входных воздействий (место КЗ, состояние ИКЗ, результат АПВ) определён однозначный набор выходных действий. Анализ непротиворечивости заключается в исключении логически несовместимых и запрещённых состояний.</w:t>
      </w:r>
    </w:p>
    <w:p w14:paraId="763212A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Основным запрещённым состоянием является коммутация разъединителя под нагрузкой: РШ1, РШ2 и НР конструктивно не имеют дугогасительных устройств, и попытка коммутации при протекании тока приведёт к устойчивой электрической дуге, повреждению контактов и возможному возгоранию. Проверка таблиц 7.2 и 7.3 подтверждает, что все операции с разъединителями выполняются в бестоковую паузу: в аварийном режиме — после lockout Р1, в ремонтном — после предварительного отключения Р1 [18].</w:t>
      </w:r>
    </w:p>
    <w:p w14:paraId="269D6DA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Вторым условием непротиворечивости является детерминированность переходов: для каждого текущего состояния и входного события существует ровно один следующий шаг. В нормальном режиме переходы определяются значениями параметров относительно пороговых уставок; в аварийном — комбинацией сработавших ИКЗ; в ремонтном — командой оператора. Все возможные режимы работы описаны, запрещённые состояния исключены конструкцией алгоритмов, переходы детерминированы — таблицы состояний пригодны в качестве технического задания для программной реализации в контроллерах RTU и SCADA [23].</w:t>
      </w:r>
    </w:p>
    <w:p w14:paraId="3CB59FE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Анализ работы алгоритмов в различных режимах эксплуатации выполняется с использованием программного прототипа SCADA.</w:t>
      </w:r>
    </w:p>
    <w:p w14:paraId="7D1BFD2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Для верификации разработанных алгоритмов создан программный прототип SCADA-системы на языке Python (файл scada_prototype.py, исходный код в Приложении А). Прототип моделирует автоматизированный участок распределительной сети 10 кВ с тремя секциями, двумя разъединителями и одним резервным источником питания.</w:t>
      </w:r>
    </w:p>
    <w:p w14:paraId="5BD409D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На каждой итерации генерируются значения токов и напряжений для трёх секций линии с использованием модели случайных отклонений от номинальных значений типового фидера ВЛ 10 кВ: номинальный ток нагрузки 200–300 А, номинальное напряжение 10 кВ (фазное 5,77 кВ). Алгоритм мониторинга сравнивает измеренные значения с четырьмя пороговыми уставками: CURRENT_WARNING = 350 А (порог предупреждения, жёлтая индикация), CURRENT_ALARM = 400 А (порог аварии, красная индикация и защитное отключение), VOLTAGE_MIN = 5,5 кВ (минимально допустимое фазное напряжение), VOLTAGE_MAX = 11,0 кВ (максимально допустимое линейное напряжение) [23].</w:t>
      </w:r>
    </w:p>
    <w:p w14:paraId="6643374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drawing>
          <wp:inline distT="0" distB="0" distL="114300" distR="114300">
            <wp:extent cx="5399405" cy="6941820"/>
            <wp:effectExtent l="0" t="0" r="23495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4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B46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Рисунок 3.1 – Блок-схема алгоритма прототипа SCADA-системы</w:t>
      </w:r>
    </w:p>
    <w:p w14:paraId="7627038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Алгоритм прототипа, представленный на рисунке 3.1, реализует последовательность: инициализация параметров модели, цикл опроса из 10 итераций с генерацией значений и сравнением с уставками, формирование итогового отчёта о зафиксированных событиях. Консольный интерфейс использует цветовую индикацию: зелёный — норма, жёлтый — предупреждение, красный — авария [18].</w:t>
      </w:r>
    </w:p>
    <w:p w14:paraId="134AEAF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Нормальный режим работы прототипа соответствует циклам 1–4, в течение которых все параметры находятся в допустимых пределах: токи в секциях 1–3 составляют 210–280 А (ниже порога предупреждения 350 А и порога аварии 400 А), фазные напряжения — 5,7–5,9 кВ (в пределах диапазона 5,5–11,0 кВ).</w:t>
      </w:r>
    </w:p>
    <w:p w14:paraId="7D036459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drawing>
          <wp:inline distT="0" distB="0" distL="114300" distR="114300">
            <wp:extent cx="5399405" cy="4821555"/>
            <wp:effectExtent l="0" t="0" r="10795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2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EFB3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Рисунок 3.2 – Интерфейс прототипа SCADA: нормальный режим работы</w:t>
      </w:r>
    </w:p>
    <w:p w14:paraId="3C9B993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В течение циклов 1–4 прототип ведёт штатный мониторинг: каждый цикл фиксирует токи и напряжения в журнале событий с временной меткой. Среднее значение тока нагрузки составляет 245 А при стандартном отклонении 25 А, среднее фазное напряжение — 5,78 кВ при стандартном отклонении 0,08 кВ. Отсутствие ложных срабатываний подтверждает адекватность модели генерации параметров и обоснованность выбранных уставок [20].</w:t>
      </w:r>
    </w:p>
    <w:p w14:paraId="44256910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t>Начиная с цикла 5 в модель вносятся возмущения, имитирующие аварийные ситуации в распределительной сети: перегрузку по току (имитация короткого замыкания) и провал напряжения (имитация потери питания или значительного увеличения нагрузки).</w:t>
      </w:r>
    </w:p>
    <w:p w14:paraId="006571D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drawing>
          <wp:inline distT="0" distB="0" distL="114300" distR="114300">
            <wp:extent cx="5399405" cy="3786505"/>
            <wp:effectExtent l="0" t="0" r="10795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6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8FFA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Рисунок 3.3 – Интерфейс прототипа SCADA: аварийный режим</w:t>
      </w:r>
    </w:p>
    <w:p w14:paraId="624B4F6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В цикле 5 ток в секции 2 увеличивается до 420 А, превышая CURRENT_ALARM = 400 А. Алгоритм формирует аварийный сигнал ALARM для секции 2 и регистрирует событие в журнале с временной меткой, номером секции и измеренным значением. В реальной системе данное событие инициировало бы полный цикл секционирования: отключение Р1, цикл АПВ, определение повреждённой секции по ИКЗ, изоляция секции 2 отключением РШ1 и РШ2, восстановление питания секций 1 и 3. Индикация секции 2 изменяется на красную, остальных — на жёлтую [18].</w:t>
      </w:r>
    </w:p>
    <w:p w14:paraId="597A0313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В цикле 6 параметры секции 2 возвращаются к норме, но журнал сохраняет информацию о зафиксированном событии. В цикле 7 фазное напряжение в секции 3 снижается до 4,8 кВ (ниже VOLTAGE_MIN = 5,5 кВ), алгоритм формирует предупреждающий сигнал. В циклах 8–10 все параметры возвращаются в норму, прототип продолжает штатный мониторинг и по завершении десятого цикла формирует итоговый отчёт — перечень всех событий с номерами циклов, типами событий, затронутыми секциями и предпринятыми действиями [23].</w:t>
      </w:r>
    </w:p>
    <w:p w14:paraId="561BE115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  <w:rPr>
          <w:rFonts w:hint="default" w:ascii="Times New Roman Bold" w:hAnsi="Times New Roman Bold" w:cs="Times New Roman Bold"/>
          <w:b/>
          <w:bCs/>
        </w:rPr>
      </w:pPr>
      <w:bookmarkStart w:id="32" w:name="_Toc1776929908"/>
      <w:bookmarkStart w:id="33" w:name="_Toc3187561"/>
      <w:r>
        <w:rPr>
          <w:rFonts w:hint="default" w:ascii="Times New Roman" w:hAnsi="Times New Roman" w:eastAsia="Times New Roman" w:cs="Times New Roman"/>
          <w:b/>
          <w:bCs/>
          <w:sz w:val="28"/>
        </w:rPr>
        <w:t>3.3 Оценка эффективности применения разработанных алгоритмов</w:t>
      </w:r>
      <w:bookmarkEnd w:id="32"/>
      <w:bookmarkEnd w:id="33"/>
    </w:p>
    <w:p w14:paraId="6127C48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Результаты десяти циклов моделирования систематизированы в таблице 8.1.</w:t>
      </w:r>
    </w:p>
    <w:p w14:paraId="219227CC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Таблица 3.4 – Сводка обнаруженных событий при моделировании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3"/>
        <w:gridCol w:w="1492"/>
        <w:gridCol w:w="937"/>
        <w:gridCol w:w="2034"/>
        <w:gridCol w:w="2227"/>
        <w:gridCol w:w="2148"/>
      </w:tblGrid>
      <w:tr w14:paraId="08747060">
        <w:tc>
          <w:tcPr>
            <w:tcW w:w="733" w:type="dxa"/>
          </w:tcPr>
          <w:p w14:paraId="55C57F5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Цикл</w:t>
            </w:r>
          </w:p>
        </w:tc>
        <w:tc>
          <w:tcPr>
            <w:tcW w:w="1492" w:type="dxa"/>
          </w:tcPr>
          <w:p w14:paraId="581A8C1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Тип события</w:t>
            </w:r>
          </w:p>
        </w:tc>
        <w:tc>
          <w:tcPr>
            <w:tcW w:w="937" w:type="dxa"/>
          </w:tcPr>
          <w:p w14:paraId="74CBD73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Секция</w:t>
            </w:r>
          </w:p>
        </w:tc>
        <w:tc>
          <w:tcPr>
            <w:tcW w:w="2034" w:type="dxa"/>
          </w:tcPr>
          <w:p w14:paraId="08470C4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Измеренное</w:t>
            </w: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значение</w:t>
            </w:r>
          </w:p>
        </w:tc>
        <w:tc>
          <w:tcPr>
            <w:tcW w:w="2227" w:type="dxa"/>
          </w:tcPr>
          <w:p w14:paraId="47D0A6B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Уставка</w:t>
            </w:r>
          </w:p>
        </w:tc>
        <w:tc>
          <w:tcPr>
            <w:tcW w:w="2148" w:type="dxa"/>
          </w:tcPr>
          <w:p w14:paraId="049E708C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b w:val="0"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/>
                <w:sz w:val="28"/>
                <w:szCs w:val="28"/>
              </w:rPr>
              <w:t>Действие системы</w:t>
            </w:r>
          </w:p>
        </w:tc>
      </w:tr>
      <w:tr w14:paraId="11CF9646">
        <w:tc>
          <w:tcPr>
            <w:tcW w:w="733" w:type="dxa"/>
          </w:tcPr>
          <w:p w14:paraId="0F768F4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1–4</w:t>
            </w:r>
          </w:p>
        </w:tc>
        <w:tc>
          <w:tcPr>
            <w:tcW w:w="1492" w:type="dxa"/>
          </w:tcPr>
          <w:p w14:paraId="2CD59EF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Нормальный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режим</w:t>
            </w:r>
          </w:p>
        </w:tc>
        <w:tc>
          <w:tcPr>
            <w:tcW w:w="937" w:type="dxa"/>
          </w:tcPr>
          <w:p w14:paraId="5BE37CE7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1, 2, 3</w:t>
            </w:r>
          </w:p>
        </w:tc>
        <w:tc>
          <w:tcPr>
            <w:tcW w:w="2034" w:type="dxa"/>
          </w:tcPr>
          <w:p w14:paraId="4D82117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DejaVu Math TeX Gyre" w:hAnsi="DejaVu Math TeX Gyre" w:cstheme="minorBidi"/>
                    <w:color w:val="000000"/>
                    <w:sz w:val="28"/>
                    <w:szCs w:val="28"/>
                    <w:lang w:val="en-US" w:bidi="ar-SA"/>
                  </w:rPr>
                  <m:t>I = 210–280 А</m:t>
                </m:r>
              </m:oMath>
            </m:oMathPara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m:oMathPara>
              <m:oMath>
                <m:r>
                  <m:rPr>
                    <m:sty m:val="p"/>
                  </m:rPr>
                  <w:rPr>
                    <w:rFonts w:ascii="DejaVu Math TeX Gyre" w:hAnsi="DejaVu Math TeX Gyre" w:cstheme="minorBidi"/>
                    <w:color w:val="000000"/>
                    <w:sz w:val="28"/>
                    <w:szCs w:val="28"/>
                    <w:lang w:val="en-US" w:bidi="ar-SA"/>
                  </w:rPr>
                  <m:t>U = 5,7–5,9 кВ</m:t>
                </m:r>
              </m:oMath>
            </m:oMathPara>
          </w:p>
        </w:tc>
        <w:tc>
          <w:tcPr>
            <w:tcW w:w="2227" w:type="dxa"/>
          </w:tcPr>
          <w:p w14:paraId="77DC1D6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I &lt; 350 А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U &gt; 5,5 кВ</w:t>
            </w:r>
          </w:p>
        </w:tc>
        <w:tc>
          <w:tcPr>
            <w:tcW w:w="2148" w:type="dxa"/>
          </w:tcPr>
          <w:p w14:paraId="4BD4B20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Штатный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мониторинг</w:t>
            </w:r>
          </w:p>
        </w:tc>
      </w:tr>
      <w:tr w14:paraId="6E74238C">
        <w:tc>
          <w:tcPr>
            <w:tcW w:w="733" w:type="dxa"/>
          </w:tcPr>
          <w:p w14:paraId="2C238CA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1492" w:type="dxa"/>
          </w:tcPr>
          <w:p w14:paraId="39CAB2F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Превышение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тока (ALARM)</w:t>
            </w:r>
          </w:p>
        </w:tc>
        <w:tc>
          <w:tcPr>
            <w:tcW w:w="937" w:type="dxa"/>
          </w:tcPr>
          <w:p w14:paraId="55902496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2034" w:type="dxa"/>
          </w:tcPr>
          <w:p w14:paraId="6DBABC7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m:oMathPara>
              <m:oMath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I = 420 А</m:t>
                </m:r>
              </m:oMath>
            </m:oMathPara>
          </w:p>
        </w:tc>
        <w:tc>
          <w:tcPr>
            <w:tcW w:w="2227" w:type="dxa"/>
          </w:tcPr>
          <w:p w14:paraId="78E0769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m:oMathPara>
              <m:oMath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CURRENT_ALARM = 400 А</m:t>
                </m:r>
              </m:oMath>
            </m:oMathPara>
          </w:p>
        </w:tc>
        <w:tc>
          <w:tcPr>
            <w:tcW w:w="2148" w:type="dxa"/>
          </w:tcPr>
          <w:p w14:paraId="4913B79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Аварийный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сигнал.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Запись в журнал</w:t>
            </w:r>
          </w:p>
        </w:tc>
      </w:tr>
      <w:tr w14:paraId="29FD2B3C">
        <w:tc>
          <w:tcPr>
            <w:tcW w:w="733" w:type="dxa"/>
          </w:tcPr>
          <w:p w14:paraId="608B66ED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492" w:type="dxa"/>
          </w:tcPr>
          <w:p w14:paraId="359B4F1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Возврат в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норму</w:t>
            </w:r>
          </w:p>
        </w:tc>
        <w:tc>
          <w:tcPr>
            <w:tcW w:w="937" w:type="dxa"/>
          </w:tcPr>
          <w:p w14:paraId="781B2FF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2034" w:type="dxa"/>
          </w:tcPr>
          <w:p w14:paraId="083B444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m:oMathPara>
              <m:oMath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I = 250 А</m:t>
                </m:r>
              </m:oMath>
            </m:oMathPara>
          </w:p>
        </w:tc>
        <w:tc>
          <w:tcPr>
            <w:tcW w:w="2227" w:type="dxa"/>
          </w:tcPr>
          <w:p w14:paraId="4F850B6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I &lt; 350 А</w:t>
            </w:r>
          </w:p>
        </w:tc>
        <w:tc>
          <w:tcPr>
            <w:tcW w:w="2148" w:type="dxa"/>
          </w:tcPr>
          <w:p w14:paraId="7589C7A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Снятие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аварийного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сигнала</w:t>
            </w:r>
          </w:p>
        </w:tc>
      </w:tr>
      <w:tr w14:paraId="33A6EEF9">
        <w:tc>
          <w:tcPr>
            <w:tcW w:w="733" w:type="dxa"/>
          </w:tcPr>
          <w:p w14:paraId="723EA2D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7</w:t>
            </w:r>
          </w:p>
        </w:tc>
        <w:tc>
          <w:tcPr>
            <w:tcW w:w="1492" w:type="dxa"/>
          </w:tcPr>
          <w:p w14:paraId="3F26ED0F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Провал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напряжения</w:t>
            </w:r>
          </w:p>
        </w:tc>
        <w:tc>
          <w:tcPr>
            <w:tcW w:w="937" w:type="dxa"/>
          </w:tcPr>
          <w:p w14:paraId="0786015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2034" w:type="dxa"/>
          </w:tcPr>
          <w:p w14:paraId="53AE13BA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m:oMathPara>
              <m:oMath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U = 4,8 кВ</m:t>
                </m:r>
              </m:oMath>
            </m:oMathPara>
          </w:p>
        </w:tc>
        <w:tc>
          <w:tcPr>
            <w:tcW w:w="2227" w:type="dxa"/>
          </w:tcPr>
          <w:p w14:paraId="54EDB771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left"/>
              <w:textAlignment w:val="auto"/>
              <w:rPr>
                <w:sz w:val="28"/>
                <w:szCs w:val="28"/>
              </w:rPr>
            </w:pPr>
            <m:oMathPara>
              <m:oMath>
                <m:r>
                  <m:rPr/>
                  <w:rPr>
                    <w:rFonts w:ascii="Cambria Math" w:hAnsi="Cambria Math" w:eastAsia="Cambria Math"/>
                    <w:sz w:val="28"/>
                    <w:szCs w:val="28"/>
                  </w:rPr>
                  <m:t>VOLTAGE_MIN = 5,5 кВ</m:t>
                </m:r>
              </m:oMath>
            </m:oMathPara>
          </w:p>
        </w:tc>
        <w:tc>
          <w:tcPr>
            <w:tcW w:w="2148" w:type="dxa"/>
          </w:tcPr>
          <w:p w14:paraId="5C59683B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Предупреждающий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сигнал.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Запись в журнал</w:t>
            </w:r>
          </w:p>
        </w:tc>
      </w:tr>
      <w:tr w14:paraId="1C4BD170">
        <w:tc>
          <w:tcPr>
            <w:tcW w:w="733" w:type="dxa"/>
          </w:tcPr>
          <w:p w14:paraId="2A0B1432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8–10</w:t>
            </w:r>
          </w:p>
        </w:tc>
        <w:tc>
          <w:tcPr>
            <w:tcW w:w="1492" w:type="dxa"/>
          </w:tcPr>
          <w:p w14:paraId="4C5E3B98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Нормальный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режим</w:t>
            </w:r>
          </w:p>
        </w:tc>
        <w:tc>
          <w:tcPr>
            <w:tcW w:w="937" w:type="dxa"/>
          </w:tcPr>
          <w:p w14:paraId="7D09EC79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1, 2, 3</w:t>
            </w:r>
          </w:p>
        </w:tc>
        <w:tc>
          <w:tcPr>
            <w:tcW w:w="2034" w:type="dxa"/>
          </w:tcPr>
          <w:p w14:paraId="2750982E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DejaVu Math TeX Gyre" w:hAnsi="DejaVu Math TeX Gyre" w:cstheme="minorBidi"/>
                    <w:color w:val="000000"/>
                    <w:sz w:val="28"/>
                    <w:szCs w:val="28"/>
                    <w:lang w:val="en-US" w:bidi="ar-SA"/>
                  </w:rPr>
                  <m:t>I = 220–270 А</m:t>
                </m:r>
              </m:oMath>
            </m:oMathPara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m:oMathPara>
              <m:oMath>
                <m:r>
                  <m:rPr>
                    <m:sty m:val="p"/>
                  </m:rPr>
                  <w:rPr>
                    <w:rFonts w:ascii="DejaVu Math TeX Gyre" w:hAnsi="DejaVu Math TeX Gyre" w:cstheme="minorBidi"/>
                    <w:color w:val="000000"/>
                    <w:sz w:val="28"/>
                    <w:szCs w:val="28"/>
                    <w:lang w:val="en-US" w:bidi="ar-SA"/>
                  </w:rPr>
                  <m:t>U = 5,7–5,8 кВ</m:t>
                </m:r>
              </m:oMath>
            </m:oMathPara>
          </w:p>
        </w:tc>
        <w:tc>
          <w:tcPr>
            <w:tcW w:w="2227" w:type="dxa"/>
          </w:tcPr>
          <w:p w14:paraId="697095B0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I &lt; 350 А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U &gt; 5,5 кВ</w:t>
            </w:r>
          </w:p>
        </w:tc>
        <w:tc>
          <w:tcPr>
            <w:tcW w:w="2148" w:type="dxa"/>
          </w:tcPr>
          <w:p w14:paraId="560A3035">
            <w:pPr>
              <w:keepLines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360" w:lineRule="auto"/>
              <w:ind w:firstLine="0"/>
              <w:jc w:val="center"/>
              <w:textAlignment w:val="auto"/>
              <w:rPr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Штатный</w:t>
            </w:r>
            <w:r>
              <w:rPr>
                <w:rFonts w:ascii="Times New Roman" w:hAnsi="Times New Roman"/>
                <w:sz w:val="28"/>
                <w:szCs w:val="28"/>
              </w:rPr>
              <w:br w:type="textWrapping"/>
            </w:r>
            <w:r>
              <w:rPr>
                <w:rFonts w:ascii="Times New Roman" w:hAnsi="Times New Roman"/>
                <w:sz w:val="28"/>
                <w:szCs w:val="28"/>
              </w:rPr>
              <w:t>мониторинг</w:t>
            </w:r>
          </w:p>
        </w:tc>
      </w:tr>
    </w:tbl>
    <w:p w14:paraId="15D0A623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textAlignment w:val="auto"/>
      </w:pPr>
    </w:p>
    <w:p w14:paraId="7BC485EC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Прототип обнаруживает оба типа аварийных событий — превышение тока и провал напряжения — в пределах одного цикла опроса. Для реальной SCADA с периодом опроса 2 секунды время обнаружения составит не более 2 секунд, что удовлетворяет требованиям таблицы 6.2 (максимальная задержка для телесигнализации — 2 секунды). Алгоритм верно определяет номер секции, в которой произошло событие, корректно обрабатывает возврат параметров в нормальный диапазон и не допускает ложных срабатываний в циклах 1–4 и 8–10 [19].</w:t>
      </w:r>
    </w:p>
    <w:p w14:paraId="7ED46DE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На рисунках 8.4–8.6 представлены экраны прототипа, демонстрирующие настройку параметров мониторинга, имитацию аварийных режимов и цикл опроса секций линии.</w:t>
      </w:r>
    </w:p>
    <w:p w14:paraId="03845B55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drawing>
          <wp:inline distT="0" distB="0" distL="114300" distR="114300">
            <wp:extent cx="5399405" cy="5795645"/>
            <wp:effectExtent l="0" t="0" r="10795" b="209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9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D4C2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Рисунок 3.4 – Настройки параметров мониторинга прототипа SCADA</w:t>
      </w:r>
    </w:p>
    <w:p w14:paraId="6B37BE5F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drawing>
          <wp:inline distT="0" distB="0" distL="114300" distR="114300">
            <wp:extent cx="5399405" cy="5244465"/>
            <wp:effectExtent l="0" t="0" r="10795" b="133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44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C4FA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Рисунок 3.5 – Имитация аварийных режимов в прототипе SCADA</w:t>
      </w:r>
    </w:p>
    <w:p w14:paraId="229DA733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drawing>
          <wp:inline distT="0" distB="0" distL="114300" distR="114300">
            <wp:extent cx="5399405" cy="8355965"/>
            <wp:effectExtent l="0" t="0" r="10795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35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896B5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Рисунок 3.6 – Цикл опроса секций линии в прототипе SCADA</w:t>
      </w:r>
    </w:p>
    <w:p w14:paraId="5E3630A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Результаты моделирования подтверждают работоспособность разработанных алгоритмов мониторинга: прототип обнаруживает аварийные ситуации двух типов, определяет повреждённую секцию и формирует сигналы для оперативного персонала. Логика обнаружения аварий и определения повреждённой секции по показаниям ИКЗ соответствует таблицам состояний главы 3. Дальнейшее развитие предполагает реализацию полного цикла секционирования с моделированием операций коммутационных аппаратов и каналов связи, а также создание графического интерфейса оператора с мнемосхемой автоматизированного участка [20].</w:t>
      </w:r>
    </w:p>
    <w:p w14:paraId="409A8BA8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</w:pPr>
      <w:bookmarkStart w:id="34" w:name="_Toc2033730199"/>
      <w:bookmarkStart w:id="35" w:name="_Toc1953368574"/>
      <w:r>
        <w:rPr>
          <w:rFonts w:ascii="Times New Roman" w:hAnsi="Times New Roman" w:eastAsia="Times New Roman" w:cs="Times New Roman"/>
          <w:b/>
          <w:sz w:val="28"/>
        </w:rPr>
        <w:t>3.4 Ограничения и особенности практического применения алгоритмов</w:t>
      </w:r>
      <w:bookmarkEnd w:id="34"/>
      <w:bookmarkEnd w:id="35"/>
    </w:p>
    <w:p w14:paraId="59730BC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Результаты моделирования подтверждают работоспособность разработанных алгоритмов мониторинга, однако практическое применение требует расширения модели до полного цикла секционирования с учётом реального времени переключения аппаратов, отказов каналов связи и действий диспетчерского персонала. При промышленной реализации необходимо учитывать ограничения по точности телеметрии, доступности резервных каналов связи и необходимости адаптации алгоритмов к конкретной топологии сети [20].</w:t>
      </w:r>
    </w:p>
    <w:p w14:paraId="185AE5D9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</w:p>
    <w:p w14:paraId="294B832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</w:p>
    <w:p w14:paraId="7755678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</w:p>
    <w:p w14:paraId="4E911E0C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</w:p>
    <w:p w14:paraId="533EBBE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</w:p>
    <w:p w14:paraId="66AAD373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</w:p>
    <w:p w14:paraId="019714B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</w:p>
    <w:p w14:paraId="2675147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</w:p>
    <w:p w14:paraId="19B67530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</w:p>
    <w:p w14:paraId="496EC44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</w:pPr>
    </w:p>
    <w:p w14:paraId="7E39235F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0" w:firstLineChars="0"/>
        <w:textAlignment w:val="auto"/>
      </w:pPr>
    </w:p>
    <w:p w14:paraId="3970AA3B">
      <w:pPr>
        <w:keepNext/>
        <w:keepLines w:val="0"/>
        <w:pageBreakBefore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  <w:outlineLvl w:val="0"/>
        <w:rPr>
          <w:rFonts w:hint="default" w:ascii="Times New Roman Bold" w:hAnsi="Times New Roman Bold" w:cs="Times New Roman Bold"/>
          <w:b/>
          <w:bCs/>
        </w:rPr>
      </w:pPr>
      <w:bookmarkStart w:id="36" w:name="_Toc1553728941"/>
      <w:r>
        <w:rPr>
          <w:rFonts w:ascii="Times New Roman" w:hAnsi="Times New Roman" w:eastAsia="Times New Roman" w:cs="Times New Roman"/>
          <w:b/>
          <w:sz w:val="28"/>
        </w:rPr>
        <w:t>4 Ориентация разработанных алгоритмов на промышленное внедрение</w:t>
      </w:r>
      <w:bookmarkEnd w:id="36"/>
    </w:p>
    <w:p w14:paraId="5AA0B3E1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  <w:rPr>
          <w:rFonts w:hint="default" w:ascii="Times New Roman Bold" w:hAnsi="Times New Roman Bold" w:cs="Times New Roman Bold"/>
          <w:b/>
          <w:bCs/>
        </w:rPr>
      </w:pPr>
      <w:bookmarkStart w:id="37" w:name="_Toc121163867"/>
      <w:bookmarkStart w:id="38" w:name="_Toc1683111529"/>
      <w:r>
        <w:rPr>
          <w:rFonts w:hint="default" w:ascii="Times New Roman" w:hAnsi="Times New Roman" w:eastAsia="Times New Roman" w:cs="Times New Roman"/>
          <w:b/>
          <w:bCs/>
          <w:sz w:val="28"/>
        </w:rPr>
        <w:t>4.1 Требования сетевых организаций к системам автоматики распределительных сетей</w:t>
      </w:r>
      <w:bookmarkEnd w:id="37"/>
      <w:bookmarkEnd w:id="38"/>
    </w:p>
    <w:p w14:paraId="734CE18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Сетевые организации предъявляют к системам автоматики распределительных сетей требования по надёжности, селективности, быстродействию и наблюдаемости всех коммутационных операций. Для автоматизированных участков ВЛ 6–10 кВ принципиально важно обеспечить локализацию повреждения без избыточного отключения нагрузки, ведение журнала событий и возможность дистанционного управления в составе диспетчерских комплексов [2], [5].</w:t>
      </w:r>
    </w:p>
    <w:p w14:paraId="0C1BA8D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Дополнительно требуется соблюдение нормативов по времени восстановления электроснабжения, устойчивости каналов связи и информационной безопасности управляющих команд. Алгоритмы должны допускать настройку под различные схемы фидеров и обеспечивать контроль блокировок при переключениях.</w:t>
      </w:r>
    </w:p>
    <w:p w14:paraId="71C6403C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  <w:rPr>
          <w:rFonts w:hint="default" w:ascii="Times New Roman Bold" w:hAnsi="Times New Roman Bold" w:cs="Times New Roman Bold"/>
          <w:b/>
          <w:bCs/>
        </w:rPr>
      </w:pPr>
      <w:bookmarkStart w:id="39" w:name="_Toc1400869619"/>
      <w:bookmarkStart w:id="40" w:name="_Toc586615313"/>
      <w:r>
        <w:rPr>
          <w:rFonts w:hint="default" w:ascii="Times New Roman" w:hAnsi="Times New Roman" w:eastAsia="Times New Roman" w:cs="Times New Roman"/>
          <w:b/>
          <w:bCs/>
          <w:sz w:val="28"/>
        </w:rPr>
        <w:t>4.2 Совместимость разработанных алгоритмов с существующим оборудованием и системами управления</w:t>
      </w:r>
      <w:bookmarkEnd w:id="39"/>
      <w:bookmarkEnd w:id="40"/>
    </w:p>
    <w:p w14:paraId="4C8225FF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Разработанные алгоритмы ориентированы на применение с реклоузерами, разъединителями с моторным приводом, индикаторами короткого замыкания и контроллерами RTU, поддерживающими типовые протоколы телемеханики Modbus TCP и МЭК 60870-5-104. Это обеспечивает возможность интеграции с действующими SCADA- и DMS-платформами без полного переоснащения сетевого участка [18], [20].</w:t>
      </w:r>
    </w:p>
    <w:p w14:paraId="1F3347B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Совместимость также определяется возможностью адаптации уставок и логики конечного автомата к оборудованию разных производителей. Для практического внедрения важна поддержка стандартных интерфейсов обмена, архивирования телеметрии и подтверждения команд телеуправления.</w:t>
      </w:r>
    </w:p>
    <w:p w14:paraId="59090276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  <w:rPr>
          <w:rFonts w:hint="default" w:ascii="Times New Roman Bold" w:hAnsi="Times New Roman Bold" w:cs="Times New Roman Bold"/>
          <w:b/>
          <w:bCs/>
        </w:rPr>
      </w:pPr>
      <w:bookmarkStart w:id="41" w:name="_Toc1552464472"/>
      <w:bookmarkStart w:id="42" w:name="_Toc146142214"/>
      <w:r>
        <w:rPr>
          <w:rFonts w:hint="default" w:ascii="Times New Roman" w:hAnsi="Times New Roman" w:eastAsia="Times New Roman" w:cs="Times New Roman"/>
          <w:b/>
          <w:bCs/>
          <w:sz w:val="28"/>
        </w:rPr>
        <w:t>4.3 Вопросы внедрения алгоритмов в действующие распределительные сети 6–10 кВ</w:t>
      </w:r>
      <w:bookmarkEnd w:id="41"/>
      <w:bookmarkEnd w:id="42"/>
    </w:p>
    <w:p w14:paraId="5260F9E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Внедрение алгоритмов в действующие сети требует поэтапной настройки уставок, проверки каналов связи, верификации работы ИКЗ и проведения опытной эксплуатации на типовом фидере. Полный цикл секционирования от момента короткого замыкания до восстановления питания неповреждённых секций должен укладываться в нормативные интервалы и сопровождаться протоколированием всех действий [30].</w:t>
      </w:r>
    </w:p>
    <w:p w14:paraId="3D5489D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На этапе внедрения необходимо учитывать неоднородность существующего парка оборудования, особенности трассы ВЛ, наличие резервных источников питания и готовность диспетчерского персонала к работе с автоматизированными сценариями. Существенное значение имеет и организация резервирования каналов связи с переходом на резерв за время не более 30 секунд.</w:t>
      </w:r>
    </w:p>
    <w:p w14:paraId="38CB900D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left"/>
        <w:textAlignment w:val="auto"/>
        <w:outlineLvl w:val="1"/>
        <w:rPr>
          <w:rFonts w:hint="default" w:ascii="Times New Roman Bold" w:hAnsi="Times New Roman Bold" w:cs="Times New Roman Bold"/>
          <w:b/>
          <w:bCs/>
        </w:rPr>
      </w:pPr>
      <w:bookmarkStart w:id="43" w:name="_Toc1638382177"/>
      <w:bookmarkStart w:id="44" w:name="_Toc344069854"/>
      <w:r>
        <w:rPr>
          <w:rFonts w:hint="default" w:ascii="Times New Roman" w:hAnsi="Times New Roman" w:eastAsia="Times New Roman" w:cs="Times New Roman"/>
          <w:b/>
          <w:bCs/>
          <w:sz w:val="28"/>
        </w:rPr>
        <w:t>4.4 Перспективы применения разработанных решений в промышленных условиях</w:t>
      </w:r>
      <w:bookmarkEnd w:id="43"/>
      <w:bookmarkEnd w:id="44"/>
    </w:p>
    <w:p w14:paraId="15E1577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Перспективы промышленного применения связаны с расширением алгоритмов FLISR на сети со сложной топологией, интеграцией с DMS/OMS и использованием предиктивной аналитики для предупреждения аварийных режимов. Практическая значимость разработанных решений проявляется в сокращении SAIDI и SAIFI, снижении объёма недоотпущенной электроэнергии и уменьшении количества оперативных выездов [12], [26].</w:t>
      </w:r>
    </w:p>
    <w:p w14:paraId="7914E08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Третье — применение машинного обучения для прогнозирования аварий по данным телеметрии. Анализ трендов токов и напряжений позволяет выявлять деградацию изоляции до наступления повреждения [25].</w:t>
      </w:r>
    </w:p>
    <w:p w14:paraId="41C47DD6">
      <w:pPr>
        <w:keepNext/>
        <w:keepLines w:val="0"/>
        <w:pageBreakBefore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  <w:outlineLvl w:val="0"/>
        <w:rPr>
          <w:rFonts w:hint="default" w:ascii="Times New Roman Bold" w:hAnsi="Times New Roman Bold" w:cs="Times New Roman Bold"/>
          <w:b/>
          <w:bCs/>
        </w:rPr>
      </w:pPr>
      <w:bookmarkStart w:id="45" w:name="_Toc1253927005"/>
      <w:bookmarkStart w:id="46" w:name="_Toc1756058454"/>
      <w:r>
        <w:rPr>
          <w:rFonts w:hint="default" w:ascii="Times New Roman" w:hAnsi="Times New Roman" w:eastAsia="Times New Roman" w:cs="Times New Roman Bold"/>
          <w:b/>
          <w:bCs/>
          <w:sz w:val="28"/>
        </w:rPr>
        <w:t>ЗАКЛЮЧЕНИЕ</w:t>
      </w:r>
      <w:bookmarkEnd w:id="45"/>
      <w:bookmarkEnd w:id="46"/>
    </w:p>
    <w:p w14:paraId="03826C3F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В результате выполнения работы решены все поставленные задачи и сформирована структура исследования в соответствии с новым оглавлением.</w:t>
      </w:r>
    </w:p>
    <w:p w14:paraId="28254AF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В главе 1 проанализированы устройства и структура системы автоматики автоматизированных ВЛ 6–10 кВ, включая назначение реклоузеров, разъединителей, требования нормативной базы и схемы дистанционного управления.</w:t>
      </w:r>
    </w:p>
    <w:p w14:paraId="789B15FC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В главе 2 разработаны алгоритмы обнаружения аварийных режимов на воздушной линии, автоматического секционирования, восстановления электроснабжения после аварии и дистанционного управления автоматизированным участком ВЛ.</w:t>
      </w:r>
    </w:p>
    <w:p w14:paraId="7E6F03D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В главе 3 исследована работа разработанных алгоритмов в нормальных и аварийных режимах эксплуатации, выполнена оценка их эффективности и определены ограничения практического применения.</w:t>
      </w:r>
    </w:p>
    <w:p w14:paraId="6C1CB3BC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В главе 4 рассмотрены требования сетевых организаций, вопросы совместимости с действующим оборудованием и системами управления, а также особенности и перспективы промышленного внедрения разработанных решений.</w:t>
      </w:r>
    </w:p>
    <w:p w14:paraId="187D5C1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Разработанные алгоритмы обеспечивают сокращение времени локализации повреждения и восстановление электроснабжения неповреждённых секций, а программный прототип SCADA подтверждает реализуемость предложенного подхода.</w:t>
      </w:r>
    </w:p>
    <w:p w14:paraId="12E45AA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Практическая ценность работы заключается в возможности использования предложенных алгоритмов в проектах автоматизации распределительных сетей 6–10 кВ с ориентацией на промышленное внедрение.</w:t>
      </w:r>
    </w:p>
    <w:p w14:paraId="74B9701F">
      <w:pPr>
        <w:keepNext/>
        <w:keepLines w:val="0"/>
        <w:pageBreakBefore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  <w:outlineLvl w:val="0"/>
        <w:rPr>
          <w:rFonts w:hint="default" w:ascii="Times New Roman Bold" w:hAnsi="Times New Roman Bold" w:cs="Times New Roman Bold"/>
          <w:b/>
          <w:bCs/>
        </w:rPr>
      </w:pPr>
      <w:bookmarkStart w:id="47" w:name="_Toc1494145024"/>
      <w:r>
        <w:rPr>
          <w:rFonts w:hint="default" w:ascii="Times New Roman" w:hAnsi="Times New Roman" w:eastAsia="Times New Roman" w:cs="Times New Roman"/>
          <w:b/>
          <w:bCs/>
          <w:sz w:val="28"/>
        </w:rPr>
        <w:t>СПИСОК ЛИТЕРАТУРЫ</w:t>
      </w:r>
      <w:bookmarkEnd w:id="47"/>
    </w:p>
    <w:p w14:paraId="729D00F5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1. Правила устройства электроустановок. ПУЭ. 7-е изд., с изм. и доп. Разделы 1–7. – М.: НЦ ЭНАС, 2003. – 552 с.</w:t>
      </w:r>
    </w:p>
    <w:p w14:paraId="6608AC9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2. Стандарты ПАО «Россети» по автоматизации распределительных сетей 6–10 кВ. – М.: ПАО «Россети», 2017–2022.</w:t>
      </w:r>
    </w:p>
    <w:p w14:paraId="73E87D0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3. Централизованное решение по автоматике распределительных сетей 6–10 кВ с использованием «умных» разъединителей и выключателей нагрузки // Электроэнергия. Передача и распределение, 2025.</w:t>
      </w:r>
    </w:p>
    <w:p w14:paraId="15A19D60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4. СТО 34.01-23.1-001-2017. Объём и нормы испытаний электрооборудования. – М.: ПАО «Россети», 2017.</w:t>
      </w:r>
    </w:p>
    <w:p w14:paraId="3060ED20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5. СТО 34.01-3.2-004-2016. Реклоузеры 6–35 кВ. Общие технические требования. – М.: ПАО «Россети», 2016.</w:t>
      </w:r>
    </w:p>
    <w:p w14:paraId="21AD90B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6. РД 153-34.3-35.613-00. Правила технического обслуживания устройств релейной защиты и электроавтоматики электрических сетей 0,4–35 кВ. – М.: ОАО «ОРГРЭС», 2000.</w:t>
      </w:r>
    </w:p>
    <w:p w14:paraId="78323E8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7. Секционирование электрических сетей 10(6) кВ при помощи реклоузеров // НВ Журнал, 2024.</w:t>
      </w:r>
    </w:p>
    <w:p w14:paraId="7915509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8. Решения для воздушных ЛЭП 6–10 кВ. – Prosoft Systems, 2024.</w:t>
      </w:r>
    </w:p>
    <w:p w14:paraId="1D8C955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9. Шабад М.А. Расчёты релейной защиты и автоматики распределительных сетей. – СПб.: ПЭИПК, 2003. – 350 с.</w:t>
      </w:r>
    </w:p>
    <w:p w14:paraId="2E8A770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10. Федосеев А.М. Релейная защита электроэнергетических систем. – М.: Энергоатомиздат, 1984. – 520 с.</w:t>
      </w:r>
    </w:p>
    <w:p w14:paraId="47512DD0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11. IEEE Std C37.60-2012. IEEE Standard for High-Voltage Switchgear. – New York: IEEE, 2012.</w:t>
      </w:r>
    </w:p>
    <w:p w14:paraId="7778626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12. IEEE Std 1366-2012. IEEE Guide for Electric Power Distribution Reliability Indices. – New York: IEEE, 2012.</w:t>
      </w:r>
    </w:p>
    <w:p w14:paraId="3F63F76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13. Каталог продукции АО «Таврида Электрик». Реклоузеры PBA/TEL-10. – М.: Таврида Электрик, 2023.</w:t>
      </w:r>
    </w:p>
    <w:p w14:paraId="340AC393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14. ГОСТ Р 52735-2007. Короткие замыкания в электроустановках. Методы расчёта в электроустановках переменного тока напряжением свыше 1 кВ. – М.: Стандартинформ, 2007.</w:t>
      </w:r>
    </w:p>
    <w:p w14:paraId="381DF4BF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15. Андреев В.А. Релейная защита и автоматика систем электроснабжения. – М.: Высш. шк., 2006. – 639 с.</w:t>
      </w:r>
    </w:p>
    <w:p w14:paraId="19B1CC42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16. ГОСТ 32144-2013. Электрическая энергия. Совместимость технических средств электромагнитная. Нормы качества электрической энергии в системах электроснабжения общего назначения. – М.: Стандартинформ, 2014.</w:t>
      </w:r>
    </w:p>
    <w:p w14:paraId="3430B1F9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17. Гуревич В.И. Интеллектуальные сети: новые перспективы или новые проблемы? // Электротехнический рынок. – 2010. – № 6. – С. 50–55.</w:t>
      </w:r>
    </w:p>
    <w:p w14:paraId="2224F413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18. МЭК 60870-5-104:2006. Протоколы телемеханики. Стандарт-компаньон для сетей TCP/IP. – Женева: МЭК, 2006.</w:t>
      </w:r>
    </w:p>
    <w:p w14:paraId="56E37EC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19. МЭК 61850:2013. Сети и системы связи на подстанциях. – Женева: МЭК, 2013.</w:t>
      </w:r>
    </w:p>
    <w:p w14:paraId="6385B47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20. Modbus Application Protocol Specification V1.1b3. – Modbus Organization, 2012.</w:t>
      </w:r>
    </w:p>
    <w:p w14:paraId="68FAFA6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21. ГОСТ Р 59109-2020. Единая энергетическая система и изолированно работающие энергосистемы. Релейная защита и автоматика. Автоматика ликвидации асинхронного режима. – М.: Стандартинформ, 2020.</w:t>
      </w:r>
    </w:p>
    <w:p w14:paraId="42CF3C6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22. Распоряжение Правительства РФ от 03.04.2013 № 511-р. Стратегия развития электросетевого комплекса Российской Федерации.</w:t>
      </w:r>
    </w:p>
    <w:p w14:paraId="34217A2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23. Концепция «Цифровая трансформация 2030» ПАО «Россети». – М.: ПАО «Россети», 2018.</w:t>
      </w:r>
    </w:p>
    <w:p w14:paraId="50B1EDE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24. Нагай В.И. Релейная защита. Алгоритмы и схемы. – Ростов-на-Дону: СКНЦ ВШ, 2005. – 312 с.</w:t>
      </w:r>
    </w:p>
    <w:p w14:paraId="4141C3A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25. Справочник по проектированию электрических сетей / Под ред. Д.Л. Файбисовича. – М.: ЭНАС, 2012. – 376 с.</w:t>
      </w:r>
    </w:p>
    <w:p w14:paraId="1FFAABA1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26. Программа повышения надёжности электрических сетей ПАО «Россети» на 2022–2027 гг. – М.: ПАО «Россети», 2022.</w:t>
      </w:r>
    </w:p>
    <w:p w14:paraId="2CBAA42F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27. Герасименко А.А., Федин В.Т. Передача и распределение электрической энергии. – М.: КНОРУС, 2014. – 648 с.</w:t>
      </w:r>
    </w:p>
    <w:p w14:paraId="1BDF30BD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28. ГОСТ Р 7.0.5-2008. Библиографическая ссылка. Общие требования и правила составления. – М.: Стандартинформ, 2009.</w:t>
      </w:r>
    </w:p>
    <w:p w14:paraId="7474DF1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29. Кузнецов О.Н. Компьютерные сети. Принципы, технологии, протоколы. – СПб.: Питер, 2022. – 1008 с.</w:t>
      </w:r>
    </w:p>
    <w:p w14:paraId="238CEC1E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sz w:val="28"/>
        </w:rPr>
        <w:t>30. Постановление Правительства РФ от 13.08.2018 № 937. Об утверждении Правил технологического функционирования электроэнергетических систем.</w:t>
      </w:r>
    </w:p>
    <w:p w14:paraId="346E16F6">
      <w:pPr>
        <w:keepNext/>
        <w:keepLines w:val="0"/>
        <w:pageBreakBefore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  <w:outlineLvl w:val="0"/>
      </w:pPr>
      <w:bookmarkStart w:id="48" w:name="_Toc1206675657"/>
      <w:bookmarkStart w:id="49" w:name="_Toc1569133997"/>
      <w:r>
        <w:rPr>
          <w:rFonts w:ascii="Times New Roman" w:hAnsi="Times New Roman" w:eastAsia="Times New Roman"/>
          <w:b/>
          <w:sz w:val="28"/>
        </w:rPr>
        <w:t>ПРИЛОЖЕНИЕ А</w:t>
      </w:r>
      <w:bookmarkEnd w:id="48"/>
      <w:bookmarkEnd w:id="49"/>
    </w:p>
    <w:p w14:paraId="253ACD19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Листинг прототипа SCADA-системы мониторинга участка ВЛ 6–10 кВ</w:t>
      </w:r>
    </w:p>
    <w:p w14:paraId="38A2F97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Исходный код прототипа SCADA-системы (файл scada_prototype.py), реализующего мониторинг параметров автоматизированного участка распределительной сети 6–10 кВ, представлен в виде скриншотов среды разработки.</w:t>
      </w:r>
    </w:p>
    <w:p w14:paraId="7D96BBC9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drawing>
          <wp:inline distT="0" distB="0" distL="114300" distR="114300">
            <wp:extent cx="5399405" cy="5795645"/>
            <wp:effectExtent l="0" t="0" r="10795" b="209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9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34119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Рисунок А.1 – Листинг прототипа SCADA: инициализация параметров и функция журнала событий</w:t>
      </w:r>
    </w:p>
    <w:p w14:paraId="27CB264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drawing>
          <wp:inline distT="0" distB="0" distL="114300" distR="114300">
            <wp:extent cx="5399405" cy="5244465"/>
            <wp:effectExtent l="0" t="0" r="10795" b="133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44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5181B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Рисунок А.2 – Листинг прототипа SCADA: функции имитации датчиков тока и напряжения</w:t>
      </w:r>
    </w:p>
    <w:p w14:paraId="642D822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drawing>
          <wp:inline distT="0" distB="0" distL="114300" distR="114300">
            <wp:extent cx="5399405" cy="8368030"/>
            <wp:effectExtent l="0" t="0" r="10795" b="139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36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B19A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Рисунок А.3 – Листинг прототипа SCADA: функции проверки уставок и основной цикл опроса</w:t>
      </w:r>
    </w:p>
    <w:p w14:paraId="10EEF9D0">
      <w:pPr>
        <w:keepNext/>
        <w:keepLines w:val="0"/>
        <w:pageBreakBefore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  <w:outlineLvl w:val="0"/>
      </w:pPr>
      <w:bookmarkStart w:id="50" w:name="_Toc1335902419"/>
      <w:bookmarkStart w:id="51" w:name="_Toc1909688578"/>
      <w:r>
        <w:rPr>
          <w:rFonts w:ascii="Times New Roman" w:hAnsi="Times New Roman" w:eastAsia="Times New Roman"/>
          <w:b/>
          <w:sz w:val="28"/>
        </w:rPr>
        <w:t>ПРИЛОЖЕНИЕ Б</w:t>
      </w:r>
      <w:bookmarkEnd w:id="50"/>
      <w:bookmarkEnd w:id="51"/>
    </w:p>
    <w:p w14:paraId="186DCE6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Скриншоты работы прототипа SCADA-системы</w:t>
      </w:r>
    </w:p>
    <w:p w14:paraId="77E4B4E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 w:cs="Times New Roman"/>
          <w:b w:val="0"/>
          <w:sz w:val="28"/>
        </w:rPr>
        <w:t>Скриншоты демонстрируют работу прототипа SCADA-системы в различных режимах: нормальный, аварийный, настройка параметров и циклический опрос секций ВЛ 6–10 кВ.</w:t>
      </w:r>
    </w:p>
    <w:p w14:paraId="18F14A3F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drawing>
          <wp:inline distT="0" distB="0" distL="114300" distR="114300">
            <wp:extent cx="5399405" cy="4559935"/>
            <wp:effectExtent l="0" t="0" r="1079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0F1B5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Рисунок Б.1 – Архитектура системы мониторинга ВЛ 6–10 кВ</w:t>
      </w:r>
    </w:p>
    <w:p w14:paraId="590D930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drawing>
          <wp:inline distT="0" distB="0" distL="114300" distR="114300">
            <wp:extent cx="4319905" cy="5553710"/>
            <wp:effectExtent l="0" t="0" r="23495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55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4F1CA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Рисунок Б.2 – Блок-схема алгоритма прототипа SCADA-системы</w:t>
      </w:r>
    </w:p>
    <w:p w14:paraId="18A395D0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drawing>
          <wp:inline distT="0" distB="0" distL="114300" distR="114300">
            <wp:extent cx="5399405" cy="4821555"/>
            <wp:effectExtent l="0" t="0" r="10795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2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C4C09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Рисунок Б.3 – Интерфейс прототипа: нормальный режим работы</w:t>
      </w:r>
    </w:p>
    <w:p w14:paraId="44122D18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drawing>
          <wp:inline distT="0" distB="0" distL="114300" distR="114300">
            <wp:extent cx="5399405" cy="3786505"/>
            <wp:effectExtent l="0" t="0" r="10795" b="2349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6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AD8E0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Рисунок Б.4 – Интерфейс прототипа: обнаружение аварийного режима</w:t>
      </w:r>
    </w:p>
    <w:p w14:paraId="69731236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drawing>
          <wp:inline distT="0" distB="0" distL="114300" distR="114300">
            <wp:extent cx="5399405" cy="5795645"/>
            <wp:effectExtent l="0" t="0" r="10795" b="209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9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05A8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Рисунок Б.5 – Настройки параметров мониторинга</w:t>
      </w:r>
    </w:p>
    <w:p w14:paraId="1B58FE44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drawing>
          <wp:inline distT="0" distB="0" distL="114300" distR="114300">
            <wp:extent cx="5399405" cy="5244465"/>
            <wp:effectExtent l="0" t="0" r="10795" b="133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44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73E1C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Рисунок Б.6 – Имитация аварийных режимов</w:t>
      </w:r>
    </w:p>
    <w:p w14:paraId="4D115A47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drawing>
          <wp:inline distT="0" distB="0" distL="114300" distR="114300">
            <wp:extent cx="5399405" cy="8420100"/>
            <wp:effectExtent l="0" t="0" r="10795" b="1270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42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32B3">
      <w:pPr>
        <w:keepLines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0"/>
        <w:jc w:val="center"/>
        <w:textAlignment w:val="auto"/>
      </w:pPr>
      <w:r>
        <w:rPr>
          <w:rFonts w:ascii="Times New Roman" w:hAnsi="Times New Roman" w:eastAsia="Times New Roman"/>
          <w:b w:val="0"/>
          <w:sz w:val="28"/>
        </w:rPr>
        <w:t>Рисунок Б.7 – Цикл опроса секций линии</w:t>
      </w:r>
    </w:p>
    <w:sectPr>
      <w:footerReference r:id="rId5" w:type="default"/>
      <w:pgSz w:w="11906" w:h="16838"/>
      <w:pgMar w:top="1134" w:right="850" w:bottom="1134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Segoe UI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Cambria Math">
    <w:altName w:val="Kingsoft Mat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1C3199">
    <w:pPr>
      <w:pStyle w:val="4"/>
      <w:ind w:firstLine="0"/>
      <w:jc w:val="center"/>
    </w:pPr>
    <w:r>
      <w:rPr>
        <w:rFonts w:ascii="Times New Roman" w:hAnsi="Times New Roman"/>
        <w:sz w:val="28"/>
      </w:rPr>
      <w:fldChar w:fldCharType="begin"/>
    </w:r>
    <w:r>
      <w:rPr>
        <w:rFonts w:ascii="Times New Roman" w:hAnsi="Times New Roman"/>
        <w:sz w:val="28"/>
      </w:rPr>
      <w:instrText xml:space="preserve"> PAGE </w:instrText>
    </w:r>
    <w:r>
      <w:rPr>
        <w:rFonts w:ascii="Times New Roman" w:hAnsi="Times New Roman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AE73590"/>
    <w:multiLevelType w:val="multilevel"/>
    <w:tmpl w:val="7AE73590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F1E67F3"/>
    <w:rsid w:val="3FBF2F96"/>
    <w:rsid w:val="3FD88289"/>
    <w:rsid w:val="3FEF67E2"/>
    <w:rsid w:val="598F31FA"/>
    <w:rsid w:val="727E2BBF"/>
    <w:rsid w:val="7FF70129"/>
    <w:rsid w:val="BF1E67F3"/>
    <w:rsid w:val="BFD9560D"/>
    <w:rsid w:val="EDFF9E16"/>
    <w:rsid w:val="FEB84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ind w:firstLine="709"/>
      <w:jc w:val="both"/>
    </w:pPr>
    <w:rPr>
      <w:rFonts w:ascii="Times New Roman" w:hAnsi="Times New Roman" w:eastAsiaTheme="minorEastAsia" w:cstheme="minorBidi"/>
      <w:color w:val="000000"/>
      <w:sz w:val="28"/>
      <w:szCs w:val="22"/>
      <w:lang w:val="en-US" w:eastAsia="en-US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5">
    <w:name w:val="Table Grid"/>
    <w:basedOn w:val="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1"/>
    <w:basedOn w:val="1"/>
    <w:next w:val="1"/>
    <w:uiPriority w:val="0"/>
  </w:style>
  <w:style w:type="paragraph" w:styleId="7">
    <w:name w:val="toc 2"/>
    <w:basedOn w:val="1"/>
    <w:next w:val="1"/>
    <w:uiPriority w:val="0"/>
    <w:pPr>
      <w:ind w:left="420" w:leftChars="200"/>
    </w:pPr>
  </w:style>
  <w:style w:type="paragraph" w:styleId="8">
    <w:name w:val="toc 3"/>
    <w:basedOn w:val="1"/>
    <w:next w:val="1"/>
    <w:uiPriority w:val="0"/>
    <w:pPr>
      <w:ind w:left="840" w:leftChars="4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73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2026-03-24T07:01:00Z</dcterms:created>
  <dc:creator>m</dc:creator>
  <cp:lastModifiedBy>m</cp:lastModifiedBy>
  <dcterms:modified xsi:type="dcterms:W3CDTF">2026-03-30T06:15:47Z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BCA3B70358F2275CC48DC669F9778D98_41</vt:lpwstr>
  </property>
</Properties>
</file>