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8E3EF">
      <w:pPr>
        <w:spacing w:after="240"/>
        <w:ind w:firstLine="709"/>
        <w:jc w:val="both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Глава 2. Разработка алгоритмов автоматики и дистанционного управления автоматизированным участком ВЛ</w:t>
      </w:r>
    </w:p>
    <w:p w14:paraId="4353D13F">
      <w:pPr>
        <w:spacing w:before="240" w:after="120"/>
        <w:ind w:firstLine="709"/>
        <w:jc w:val="both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2.1 Алгоритмы обнаружения аварийных режимов на воздушной линии</w:t>
      </w:r>
    </w:p>
    <w:p w14:paraId="5FB85B0E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Короткие замыкания в распределительных сетях 6–10 кВ подразделяются на четыре типа: трёхфазное (К3), двухфазное (К2), двухфазное на землю (К1,1) и однофазное замыкание на землю (К1). Трёхфазное КЗ характеризуется максимальными токами и используется при расчёте уставок токовой отсечки. Двухфазное КЗ даёт ток, составляющий 0,87 от тока трёхфазного КЗ, и используется для проверки чувствительности защит. Однофазное замыкание на землю в сетях с изолированной нейтралью характеризуется малыми токами (единицы — десятки ампер) и, согласно ПУЭ [1], допускает продолжение работы сети в течение не более 2 часов [14].</w:t>
      </w:r>
    </w:p>
    <w:p w14:paraId="1E534C84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Методы расчёта токов КЗ регламентированы ГОСТ Р 52735-2007 [14]. Ток трёхфазного КЗ в произвольной точке сети определяется выражением Iк3 = Uф / Zк, где Uф — фазное напряжение сети, Zк — полное сопротивление цепи КЗ от источника до точки повреждения. Для линии с погонным сопротивлением z0 и длиной l полное сопротивление составляет Zк = Zс + z0 × l, где Zс — сопротивление системы (определяется мощностью КЗ на шинах подстанции).</w:t>
      </w:r>
    </w:p>
    <w:p w14:paraId="57367AD3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 характеру повреждения КЗ разделяются на устойчивые и неустойчивые. Для воздушных линий 6–10 кВ доля неустойчивых повреждений составляет 50–80 % всех КЗ [15]. Неустойчивые повреждения вызываются схлёстыванием проводов при ветре, перекрытием изоляции при грозах, касанием ветвей деревьев. После снятия напряжения и бестоковой паузы изоляционные свойства промежутка восстанавливаются, и линия может быть включена повторно. Высокая доля неустойчивых повреждений обуславливает обязательность применения АПВ [10].</w:t>
      </w:r>
    </w:p>
    <w:p w14:paraId="73761E97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Статистика аварийности ВЛ 6–10 кВ по данным ПАО «Россети» показывает следующее распределение причин КЗ: грозовые перенапряжения — 30–35 %, падение деревьев и касание ветвей — 25–30 %, гололёдно-ветровые нагрузки — 15–20 %, старение изоляции — 10–15 %, прочие — 5–10 %. Данное распределение определяет приоритеты при настройке алгоритмов защиты: быстродействие ТО для межфазных КЗ при грозах и чувствительность защиты от ОЗЗ для повреждений, вызванных падением деревьев [12].</w:t>
      </w:r>
    </w:p>
    <w:p w14:paraId="674B6AAC">
      <w:pPr>
        <w:spacing w:before="240" w:after="120"/>
        <w:ind w:firstLine="709"/>
        <w:jc w:val="both"/>
        <w:rPr>
          <w:rFonts w:hint="default" w:ascii="Times New Roman Bold" w:hAnsi="Times New Roman Bold" w:cs="Times New Roman Bold"/>
          <w:b/>
          <w:bCs/>
        </w:rPr>
      </w:pPr>
      <w:r>
        <w:rPr>
          <w:rFonts w:hint="default" w:ascii="Times New Roman Bold" w:hAnsi="Times New Roman Bold" w:cs="Times New Roman Bold"/>
          <w:b/>
          <w:bCs/>
        </w:rPr>
        <w:t>2.1.1 Расчёт уставок релейной защиты реклоузера автоматизированного участка ВЛ 6–10 кВ</w:t>
      </w:r>
    </w:p>
    <w:p w14:paraId="1F30771D">
      <w:pPr>
        <w:spacing w:line="360" w:lineRule="auto"/>
        <w:ind w:firstLine="709"/>
        <w:jc w:val="both"/>
      </w:pPr>
      <w:r>
        <w:t>Как описано в разделе 1.6, блок управления реклоузера непрерывно измеряет токи в фазах линии и сравнивает их с уставками двух ступеней защиты: токовой отсечки (ТО) и максимальной токовой защиты (МТЗ). Расчёт уставок выполняется на этапе проектирования по методикам, изложенным в [9] и [10].</w:t>
      </w:r>
    </w:p>
    <w:p w14:paraId="190C0B28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Уставка токовой отсечки определяется из условия отстройки от максимального тока КЗ в конце защищаемой зоны:</w:t>
      </w:r>
    </w:p>
    <w:p w14:paraId="06627AA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Iто = Kн × Iкз.макс.конец,</w:t>
      </w:r>
    </w:p>
    <w:p w14:paraId="52C9FC9A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где Kн — коэффициент надёжности (1,2–1,3); Iкз.макс.конец — максимальный ток трёхфазного КЗ в конце защищаемой зоны. ТО действует без выдержки времени (мгновенно) и защищает только часть линии — от точки установки реклоузера до границы зоны, где ток КЗ достаточен для срабатывания [9].</w:t>
      </w:r>
    </w:p>
    <w:p w14:paraId="45AD3C3A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Чувствительность ТО проверяется по коэффициенту чувствительности Кч = Iкз.мин / Iто, где Iкз.мин — минимальный ток КЗ (двухфазное) в начале защищаемой зоны. Требование ПУЭ: Кч ≥ 1,2 [1].</w:t>
      </w:r>
    </w:p>
    <w:p w14:paraId="106EB47D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Уставка максимальной токовой защиты определяется по выражению:</w:t>
      </w:r>
    </w:p>
    <w:p w14:paraId="60EC388F">
      <w:pPr>
        <w:spacing w:line="360" w:lineRule="auto"/>
        <w:ind w:firstLine="709"/>
        <w:jc w:val="both"/>
      </w:pPr>
      <w:r>
        <w:t>Iмтз = (Kн × Kсз × Iраб.макс) / Kв,</w:t>
      </w:r>
    </w:p>
    <w:p w14:paraId="3DABB430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где Kн = 1,1–1,2 — коэффициент надёжности; Kсз = 1,1–1,3 — коэффициент самозапуска нагрузки после кратковременного перерыва питания; Iраб.макс — максимальный рабочий ток линии; Kв = 0,85–0,95 — коэффициент возврата токового реле. МТЗ защищает всю длину линии и действует с выдержкой времени, обеспечивающей селективность с нижестоящими защитами [10].</w:t>
      </w:r>
    </w:p>
    <w:p w14:paraId="34FA09A8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Выдержка времени МТЗ строится по ступенчатому принципу: каждая последующая защита по направлению к источнику питания имеет выдержку времени на ступень селективности Δt = 0,3–0,5 с больше, чем предыдущая. Для головного реклоузера фидера выдержка времени МТЗ составляет 0,5 с при условии, что выдержка защит головного выключателя подстанции равна 0,8–1,0 с [9].</w:t>
      </w:r>
    </w:p>
    <w:p w14:paraId="3D053AE1">
      <w:pPr>
        <w:spacing w:before="240" w:after="120"/>
        <w:ind w:firstLine="709"/>
        <w:jc w:val="both"/>
      </w:pPr>
      <w:r>
        <w:t>Автоматическое повторное включение рассматривается как составная часть алгоритма реагирования на аварийные режимы.</w:t>
      </w:r>
    </w:p>
    <w:p w14:paraId="521E6EE1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АПВ является обязательным элементом автоматики ВЛ 6–10 кВ и предназначено для восстановления электроснабжения при неустойчивых повреждениях без вмешательства персонала. Алгоритм АПВ реклоузера реализует программируемую последовательность циклов «отключение — пауза — включение» [15].</w:t>
      </w:r>
    </w:p>
    <w:p w14:paraId="62E2DC8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Цикл 1 — быстрое АПВ. После срабатывания защиты и отключения реклоузера выдерживается пауза t1 = 1–3 с, достаточная для деионизации воздушного промежутка в месте повреждения. Реклоузер включается автоматически. Если ток КЗ отсутствует, линия остаётся в работе. Если ток КЗ сохраняется, защита повторно отключает реклоузер. Успешность первого цикла АПВ для ВЛ 6–10 кВ составляет 60–75 % [15].</w:t>
      </w:r>
    </w:p>
    <w:p w14:paraId="2FED9565">
      <w:pPr>
        <w:spacing w:line="360" w:lineRule="auto"/>
        <w:ind w:firstLine="709"/>
        <w:jc w:val="both"/>
      </w:pPr>
      <w:r>
        <w:t>Координация уставок защит выполняется на этапе настройки алгоритма аварийного реагирования.</w:t>
      </w:r>
    </w:p>
    <w:p w14:paraId="111A971F">
      <w:pPr>
        <w:spacing w:line="360" w:lineRule="auto"/>
        <w:ind w:firstLine="709"/>
        <w:jc w:val="both"/>
      </w:pPr>
      <w:r>
        <w:t>При неуспешном втором цикле АПВ реклоузер переходит в состояние окончательного отключения (lockout). Блок управления формирует сигнал аварии в систему SCADA с указанием типа сработавшей защиты, значений токов в момент КЗ и количества выполненных циклов АПВ. Дальнейшая ликвидация аварии выполняется алгоритмами автоматического секционирования и восстановления электроснабжения, рассмотренными далее в настоящей главе [15].</w:t>
      </w:r>
    </w:p>
    <w:p w14:paraId="3A10702D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Число циклов АПВ и длительность пауз являются настраиваемыми параметрами блока управления реклоузера. Для ВЛ 6–10 кВ рекомендуется применение двух циклов: быстрого (1–3 с) и замедленного (10–30 с). Увеличение числа циклов до трёх-четырёх допускается для линий с высокой долей неустойчивых повреждений (лесные просеки, открытая местность с грозовой активностью) [9].</w:t>
      </w:r>
    </w:p>
    <w:p w14:paraId="427748CA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Координация уставок обеспечивает селективность — при КЗ на любом участке линии отключается только ближайший к месту повреждения защитный аппарат, не затрагивая вышестоящие защиты.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[9], [24].</w:t>
      </w:r>
    </w:p>
    <w:p w14:paraId="7EA61200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Принцип координации: выдержка времени МТЗ реклоузера Р1 должна быть на ступень селективности Δt меньше выдержки времени защит головного выключателя подстанции. При Δt = 0,3 с и выдержке защит подстанции 0,8 с выдержка МТЗ реклоузера составляет 0,5 с. Токовая отсечка реклоузера действует мгновенно (0,02 с), поэтому селективность с защитами подстанции обеспечивается по зоне действия: ТО реклоузера отстроена от токов КЗ на шинах подстанции [10].</w:t>
      </w:r>
    </w:p>
    <w:p w14:paraId="39788FFD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уставки. Уставка ТО: Iто = 1,2 × 2000 = 2400 А, принимается 2500 А. Уставка МТЗ: Iмтз = (1,1 × 1,2 × 250) / 0,9 = 367 А, принимается 400 А. Уставка защиты от ОЗЗ: Iозз = 10 А (по току нулевой последовательности 3I0) [9], [24].</w:t>
      </w:r>
    </w:p>
    <w:p w14:paraId="1F1E4DE5">
      <w:pPr>
        <w:spacing w:line="360" w:lineRule="auto"/>
        <w:ind w:firstLine="709"/>
        <w:jc w:val="both"/>
      </w:pPr>
      <w:r>
        <w:t>Типовые уставки защит реклоузера Р1 для рассматриваемого фидера приведены в таблице 2.1.</w:t>
      </w:r>
      <w:bookmarkStart w:id="0" w:name="_GoBack"/>
      <w:bookmarkEnd w:id="0"/>
    </w:p>
    <w:p w14:paraId="1D7C0BBB">
      <w:pPr>
        <w:spacing w:before="240" w:after="120"/>
        <w:ind w:firstLine="0"/>
        <w:jc w:val="left"/>
      </w:pPr>
      <w:r>
        <w:t>Таблица 2.1 – Уставки защит реклоузера Р1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780071C">
        <w:tc>
          <w:tcPr>
            <w:tcW w:w="3118" w:type="dxa"/>
          </w:tcPr>
          <w:p w14:paraId="6E97198E">
            <w:pPr>
              <w:ind w:firstLine="0"/>
              <w:jc w:val="center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Параметр</w:t>
            </w:r>
          </w:p>
        </w:tc>
        <w:tc>
          <w:tcPr>
            <w:tcW w:w="3118" w:type="dxa"/>
          </w:tcPr>
          <w:p w14:paraId="7187EF3D">
            <w:pPr>
              <w:ind w:firstLine="0"/>
              <w:jc w:val="center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Значение</w:t>
            </w:r>
          </w:p>
        </w:tc>
        <w:tc>
          <w:tcPr>
            <w:tcW w:w="3118" w:type="dxa"/>
          </w:tcPr>
          <w:p w14:paraId="305F4A2B">
            <w:pPr>
              <w:ind w:firstLine="0"/>
              <w:jc w:val="center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Примечание</w:t>
            </w:r>
          </w:p>
        </w:tc>
      </w:tr>
      <w:tr w14:paraId="36F0D30B">
        <w:tc>
          <w:tcPr>
            <w:tcW w:w="3118" w:type="dxa"/>
          </w:tcPr>
          <w:p w14:paraId="451D012E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ТО (Iто)</w:t>
            </w:r>
          </w:p>
        </w:tc>
        <w:tc>
          <w:tcPr>
            <w:tcW w:w="3118" w:type="dxa"/>
          </w:tcPr>
          <w:p w14:paraId="4A6526EA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2500 А</w:t>
            </w:r>
          </w:p>
        </w:tc>
        <w:tc>
          <w:tcPr>
            <w:tcW w:w="3118" w:type="dxa"/>
          </w:tcPr>
          <w:p w14:paraId="6D7A301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Kн = 1,2; Iкз.конец = 2000 А</w:t>
            </w:r>
          </w:p>
        </w:tc>
      </w:tr>
      <w:tr w14:paraId="4B8CF803">
        <w:tc>
          <w:tcPr>
            <w:tcW w:w="3118" w:type="dxa"/>
          </w:tcPr>
          <w:p w14:paraId="01F5A127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ТО (tто)</w:t>
            </w:r>
          </w:p>
        </w:tc>
        <w:tc>
          <w:tcPr>
            <w:tcW w:w="3118" w:type="dxa"/>
          </w:tcPr>
          <w:p w14:paraId="1F8B7407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0,02 с</w:t>
            </w:r>
          </w:p>
        </w:tc>
        <w:tc>
          <w:tcPr>
            <w:tcW w:w="3118" w:type="dxa"/>
          </w:tcPr>
          <w:p w14:paraId="6D83C7B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Мгновенное действие</w:t>
            </w:r>
          </w:p>
        </w:tc>
      </w:tr>
      <w:tr w14:paraId="2D023EE4">
        <w:tc>
          <w:tcPr>
            <w:tcW w:w="3118" w:type="dxa"/>
          </w:tcPr>
          <w:p w14:paraId="36B6F60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МТЗ (Iмтз)</w:t>
            </w:r>
          </w:p>
        </w:tc>
        <w:tc>
          <w:tcPr>
            <w:tcW w:w="3118" w:type="dxa"/>
          </w:tcPr>
          <w:p w14:paraId="19A80800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400 А</w:t>
            </w:r>
          </w:p>
        </w:tc>
        <w:tc>
          <w:tcPr>
            <w:tcW w:w="3118" w:type="dxa"/>
          </w:tcPr>
          <w:p w14:paraId="733A5751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Kн = 1,1; Kсз = 1,2; Kв = 0,9</w:t>
            </w:r>
          </w:p>
        </w:tc>
      </w:tr>
      <w:tr w14:paraId="50619109">
        <w:tc>
          <w:tcPr>
            <w:tcW w:w="3118" w:type="dxa"/>
          </w:tcPr>
          <w:p w14:paraId="38A53B5B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МТЗ (tмтз)</w:t>
            </w:r>
          </w:p>
        </w:tc>
        <w:tc>
          <w:tcPr>
            <w:tcW w:w="3118" w:type="dxa"/>
          </w:tcPr>
          <w:p w14:paraId="0D96AF56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0,5 с</w:t>
            </w:r>
          </w:p>
        </w:tc>
        <w:tc>
          <w:tcPr>
            <w:tcW w:w="3118" w:type="dxa"/>
          </w:tcPr>
          <w:p w14:paraId="2B109B20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Ступень селективности Δt = 0,3 с</w:t>
            </w:r>
          </w:p>
        </w:tc>
      </w:tr>
      <w:tr w14:paraId="191F9A1D">
        <w:tc>
          <w:tcPr>
            <w:tcW w:w="3118" w:type="dxa"/>
          </w:tcPr>
          <w:p w14:paraId="38920DC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ОЗЗ (3I0)</w:t>
            </w:r>
          </w:p>
        </w:tc>
        <w:tc>
          <w:tcPr>
            <w:tcW w:w="3118" w:type="dxa"/>
          </w:tcPr>
          <w:p w14:paraId="5662023F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 А</w:t>
            </w:r>
          </w:p>
        </w:tc>
        <w:tc>
          <w:tcPr>
            <w:tcW w:w="3118" w:type="dxa"/>
          </w:tcPr>
          <w:p w14:paraId="7CA5AE4D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току нулевой последовательности</w:t>
            </w:r>
          </w:p>
        </w:tc>
      </w:tr>
      <w:tr w14:paraId="6F79C150">
        <w:tc>
          <w:tcPr>
            <w:tcW w:w="3118" w:type="dxa"/>
          </w:tcPr>
          <w:p w14:paraId="3F79BE3C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ОЗЗ (tозз)</w:t>
            </w:r>
          </w:p>
        </w:tc>
        <w:tc>
          <w:tcPr>
            <w:tcW w:w="3118" w:type="dxa"/>
          </w:tcPr>
          <w:p w14:paraId="3500D4B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0,5 с</w:t>
            </w:r>
          </w:p>
        </w:tc>
        <w:tc>
          <w:tcPr>
            <w:tcW w:w="3118" w:type="dxa"/>
          </w:tcPr>
          <w:p w14:paraId="4093333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 выдержкой времени</w:t>
            </w:r>
          </w:p>
        </w:tc>
      </w:tr>
      <w:tr w14:paraId="5F5AA109">
        <w:tc>
          <w:tcPr>
            <w:tcW w:w="3118" w:type="dxa"/>
          </w:tcPr>
          <w:p w14:paraId="40DFC650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Циклов АПВ</w:t>
            </w:r>
          </w:p>
        </w:tc>
        <w:tc>
          <w:tcPr>
            <w:tcW w:w="3118" w:type="dxa"/>
          </w:tcPr>
          <w:p w14:paraId="3CA15DEF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3118" w:type="dxa"/>
          </w:tcPr>
          <w:p w14:paraId="5FC0CC2D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Быстрое + замедленное</w:t>
            </w:r>
          </w:p>
        </w:tc>
      </w:tr>
      <w:tr w14:paraId="16073C30">
        <w:tc>
          <w:tcPr>
            <w:tcW w:w="3118" w:type="dxa"/>
          </w:tcPr>
          <w:p w14:paraId="5F7E40B9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Пауза АПВ-1 (t1)</w:t>
            </w:r>
          </w:p>
        </w:tc>
        <w:tc>
          <w:tcPr>
            <w:tcW w:w="3118" w:type="dxa"/>
          </w:tcPr>
          <w:p w14:paraId="535EAC2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с</w:t>
            </w:r>
          </w:p>
        </w:tc>
        <w:tc>
          <w:tcPr>
            <w:tcW w:w="3118" w:type="dxa"/>
          </w:tcPr>
          <w:p w14:paraId="476A8391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Быстрый цикл</w:t>
            </w:r>
          </w:p>
        </w:tc>
      </w:tr>
      <w:tr w14:paraId="63CA982D">
        <w:tc>
          <w:tcPr>
            <w:tcW w:w="3118" w:type="dxa"/>
          </w:tcPr>
          <w:p w14:paraId="69EB5EE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Пауза АПВ-2 (t2)</w:t>
            </w:r>
          </w:p>
        </w:tc>
        <w:tc>
          <w:tcPr>
            <w:tcW w:w="3118" w:type="dxa"/>
          </w:tcPr>
          <w:p w14:paraId="0B0A89EA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 с</w:t>
            </w:r>
          </w:p>
        </w:tc>
        <w:tc>
          <w:tcPr>
            <w:tcW w:w="3118" w:type="dxa"/>
          </w:tcPr>
          <w:p w14:paraId="0207B5D7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Замедленный цикл</w:t>
            </w:r>
          </w:p>
        </w:tc>
      </w:tr>
      <w:tr w14:paraId="6AB3C140">
        <w:tc>
          <w:tcPr>
            <w:tcW w:w="3118" w:type="dxa"/>
          </w:tcPr>
          <w:p w14:paraId="6DE064E5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Коэфф. возврата (Kв)</w:t>
            </w:r>
          </w:p>
        </w:tc>
        <w:tc>
          <w:tcPr>
            <w:tcW w:w="3118" w:type="dxa"/>
          </w:tcPr>
          <w:p w14:paraId="1C29B78F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0,9</w:t>
            </w:r>
          </w:p>
        </w:tc>
        <w:tc>
          <w:tcPr>
            <w:tcW w:w="3118" w:type="dxa"/>
          </w:tcPr>
          <w:p w14:paraId="37774B3F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токового органа МТЗ</w:t>
            </w:r>
          </w:p>
        </w:tc>
      </w:tr>
    </w:tbl>
    <w:p w14:paraId="07733421">
      <w:pPr>
        <w:spacing w:before="120"/>
        <w:ind w:firstLine="0"/>
      </w:pPr>
    </w:p>
    <w:p w14:paraId="53F25F47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чувствительности МТЗ: Кч = Iкз.мин.конец / Iмтз, где Iкз.мин.конец — минимальный ток двухфазного КЗ в конце защищаемой зоны. При Iкз.мин.конец = 0,87 × 2000 × (Zк.начало / Zк.конец) ≈ 800 А получаем Кч = 800 / 400 = 2,0, что превышает требование ПУЭ (Кч ≥ 1,5 для МТЗ линий с односторонним питанием) [1].</w:t>
      </w:r>
    </w:p>
    <w:p w14:paraId="7CC48AD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чувствительности ТО: при минимальном токе двухфазного КЗ в начале защищаемой зоны Iкз.мин = 5000 А получаем Кч = 5000 / 2500 = 2,0, что превышает требование Кч ≥ 1,2. Зона действия ТО при этом составляет примерно 60–70 % длины линии от точки установки реклоузера [9].</w:t>
      </w:r>
    </w:p>
    <w:p w14:paraId="437AA0D5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сети. Расчёт выполняется для максимального и минимального режимов работы энергосистемы с учётом перспективного развития сети [14].</w:t>
      </w:r>
    </w:p>
    <w:sectPr>
      <w:footerReference r:id="rId5" w:type="default"/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C31676">
    <w:pPr>
      <w:pStyle w:val="18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DB79DE"/>
    <w:rsid w:val="F65682C7"/>
    <w:rsid w:val="FEFB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color w:val="000000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2013-12-23T07:15:00Z</dcterms:created>
  <dc:creator>python-docx</dc:creator>
  <dc:description>generated by python-docx</dc:description>
  <cp:lastModifiedBy>m</cp:lastModifiedBy>
  <dcterms:modified xsi:type="dcterms:W3CDTF">2026-03-27T07:13:53Z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E55D8C7A3742309D2E82C6698025F27A_42</vt:lpwstr>
  </property>
</Properties>
</file>