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15282">
      <w:pPr>
        <w:spacing w:after="240"/>
        <w:ind w:firstLine="709"/>
        <w:jc w:val="both"/>
        <w:rPr>
          <w:rFonts w:hint="default" w:ascii="Times New Roman Bold" w:hAnsi="Times New Roman Bold" w:cs="Times New Roman Bold"/>
          <w:b/>
          <w:bCs/>
        </w:rPr>
      </w:pPr>
      <w:r>
        <w:rPr>
          <w:rFonts w:hint="default" w:ascii="Times New Roman Bold" w:hAnsi="Times New Roman Bold" w:cs="Times New Roman Bold"/>
          <w:b/>
          <w:bCs/>
        </w:rPr>
        <w:t>2.2 Алгоритмы автоматического секционирования линии</w:t>
      </w:r>
    </w:p>
    <w:p w14:paraId="373DE9F3">
      <w:pPr>
        <w:spacing w:before="240" w:after="120"/>
        <w:ind w:firstLine="709"/>
        <w:jc w:val="both"/>
      </w:pPr>
      <w:r>
        <w:t>Принципы автоматического секционирования.</w:t>
      </w:r>
    </w:p>
    <w:p w14:paraId="46124C78">
      <w:pPr>
        <w:spacing w:line="360" w:lineRule="auto"/>
        <w:ind w:firstLine="709"/>
        <w:jc w:val="both"/>
      </w:pPr>
      <w:r>
        <w:rPr>
          <w:rFonts w:ascii="Times New Roman" w:hAnsi="Times New Roman"/>
          <w:sz w:val="28"/>
        </w:rPr>
        <w:t>Автоматическое секционирование — процесс отделения повреждённого участка распределительной линии 6–10 кВ от неповреждённой части сети для минимизации зоны отключения потребителей при устойчивых коротких замыканиях. Секционирование является первым этапом технологии FLISR (Fault Location, Isolation and Service Restoration), рассмотренной в главе 1.</w:t>
      </w:r>
    </w:p>
    <w:p w14:paraId="3A5B1436">
      <w:pPr>
        <w:spacing w:line="360" w:lineRule="auto"/>
        <w:ind w:firstLine="709"/>
        <w:jc w:val="both"/>
      </w:pPr>
      <w:r>
        <w:rPr>
          <w:rFonts w:ascii="Times New Roman" w:hAnsi="Times New Roman"/>
          <w:sz w:val="28"/>
        </w:rPr>
        <w:t>Линия делится на секции границами, в которых установлены разъединители с моторным приводом и индикаторы короткого замыкания (ИКЗ). При возникновении устойчивого КЗ реклоузер головного выключателя исчерпывает циклы АПВ и переходит в состояние lockout, после чего SCADA запускает алгоритм определения повреждённой секции по данным ИКЗ и изолирует её дистанционным отключением ограничивающих разъединителей [1].</w:t>
      </w:r>
    </w:p>
    <w:p w14:paraId="3BFE6E64">
      <w:pPr>
        <w:spacing w:line="360" w:lineRule="auto"/>
        <w:ind w:firstLine="709"/>
        <w:jc w:val="both"/>
      </w:pPr>
      <w:r>
        <w:rPr>
          <w:rFonts w:ascii="Times New Roman" w:hAnsi="Times New Roman"/>
          <w:sz w:val="28"/>
        </w:rPr>
        <w:t>Для типового фидера воздушной линии 10 кВ протяжённостью 15–30 км оптимальное число секций составляет 3–5. При трёх секциях среднее количество отключённых потребителей при аварии — 33 % от общего числа абонентов фидера, при пяти — 20 %. Дальнейшее дробление экономически нецелесообразно: прирост надёжности не компенсирует стоимость дополнительных секционирующих пунктов [5].</w:t>
      </w:r>
    </w:p>
    <w:p w14:paraId="0EF5D8D2">
      <w:pPr>
        <w:spacing w:line="360" w:lineRule="auto"/>
        <w:ind w:firstLine="709"/>
        <w:jc w:val="both"/>
      </w:pPr>
      <w:r>
        <w:rPr>
          <w:rFonts w:ascii="Times New Roman" w:hAnsi="Times New Roman"/>
          <w:sz w:val="28"/>
        </w:rPr>
        <w:t>ИКЗ фиксируют факт протекания тока КЗ через контролируемую точку, измеряют амплитуду и, в сетях с двусторонним питанием, направление тока. Информация передаётся в SCADA по протоколу МЭК 60870-5-104 [18]. Точность определения повреждённой секции целиком определяется исправностью ИКЗ и каналов связи, поэтому алгоритм секционирования предусматривает обработку отказа ИКЗ и потери связи с секционирующим пунктом.</w:t>
      </w:r>
    </w:p>
    <w:p w14:paraId="6EFDD5FD">
      <w:pPr>
        <w:spacing w:before="240" w:after="120"/>
        <w:ind w:firstLine="709"/>
        <w:jc w:val="both"/>
      </w:pPr>
      <w:r>
        <w:t>Определение повреждённой секции по данным ИКЗ.</w:t>
      </w:r>
    </w:p>
    <w:p w14:paraId="49FC089D">
      <w:pPr>
        <w:spacing w:line="360" w:lineRule="auto"/>
        <w:ind w:firstLine="709"/>
        <w:jc w:val="both"/>
      </w:pPr>
      <w:r>
        <w:rPr>
          <w:rFonts w:ascii="Times New Roman" w:hAnsi="Times New Roman"/>
          <w:sz w:val="28"/>
        </w:rPr>
        <w:t>Алгоритм запускается после перехода реклоузера Р1 в состояние lockout, что свидетельствует об устойчивом характере повреждения. Входные данные: состояние реклоузера, сигналы срабатывания ИКЗ от каждого секционирующего разъединителя, состояние каналов связи. Результат — номер повреждённой секции, передаваемый алгоритму изоляции (раздел 4.3).</w:t>
      </w:r>
    </w:p>
    <w:p w14:paraId="0D72458E">
      <w:pPr>
        <w:spacing w:line="360" w:lineRule="auto"/>
        <w:ind w:firstLine="709"/>
        <w:jc w:val="both"/>
      </w:pPr>
      <w:r>
        <w:rPr>
          <w:rFonts w:ascii="Times New Roman" w:hAnsi="Times New Roman"/>
          <w:sz w:val="28"/>
        </w:rPr>
        <w:t>Шаг 1. Фиксация перехода Р1 в lockout. SCADA получает сигнал об окончательном отключении и инициирует процедуру определения места повреждения.</w:t>
      </w:r>
    </w:p>
    <w:p w14:paraId="547CFED1">
      <w:pPr>
        <w:spacing w:line="360" w:lineRule="auto"/>
        <w:ind w:firstLine="709"/>
        <w:jc w:val="both"/>
      </w:pPr>
      <w:r>
        <w:rPr>
          <w:rFonts w:ascii="Times New Roman" w:hAnsi="Times New Roman"/>
          <w:sz w:val="28"/>
        </w:rPr>
        <w:t>Шаг 2. Опрос ИКЗ всех секционирующих разъединителей РШ1, РШ2, …, РШn по каналам телемеханики. Время опроса не превышает 5 с при использовании протокола МЭК 60870-5-104 [18].</w:t>
      </w:r>
    </w:p>
    <w:p w14:paraId="673CA147">
      <w:pPr>
        <w:spacing w:line="360" w:lineRule="auto"/>
        <w:ind w:firstLine="709"/>
        <w:jc w:val="both"/>
      </w:pPr>
      <w:r>
        <w:rPr>
          <w:rFonts w:ascii="Times New Roman" w:hAnsi="Times New Roman"/>
          <w:sz w:val="28"/>
        </w:rPr>
        <w:t>Шаг 3. Анализ данных. Логический принцип: если ИКЗ в точке k зафиксировал ток КЗ, а ИКЗ в точке k+1 не зафиксировал — повреждение находится в секции между точками k и k+1. Частный случай: все ИКЗ сработали — повреждение в последней секции; ни один ИКЗ не сработал — повреждение в первой секции (между реклоузером и РШ1).</w:t>
      </w:r>
    </w:p>
    <w:p w14:paraId="2591A90E">
      <w:pPr>
        <w:spacing w:line="360" w:lineRule="auto"/>
        <w:ind w:firstLine="709"/>
        <w:jc w:val="both"/>
      </w:pPr>
      <w:r>
        <w:rPr>
          <w:rFonts w:ascii="Times New Roman" w:hAnsi="Times New Roman"/>
          <w:sz w:val="28"/>
        </w:rPr>
        <w:t>Шаг 4. Верификация результата. Корректной считается ситуация, когда сработавшие ИКЗ образуют непрерывную последовательность от реклоузера. Пропуск (ИКЗ-1 сработал, ИКЗ-2 нет, ИКЗ-3 сработал) квалифицируется как неоднозначный результат — возможен отказ ИКЗ-2 или множественное повреждение. SCADA формирует предупреждение оперативному персоналу и расширяет предполагаемую зону повреждения до ближайших исправных ИКЗ [9].</w:t>
      </w:r>
    </w:p>
    <w:p w14:paraId="3BA22DFB">
      <w:pPr>
        <w:spacing w:line="360" w:lineRule="auto"/>
        <w:ind w:firstLine="709"/>
        <w:jc w:val="both"/>
      </w:pPr>
      <w:r>
        <w:rPr>
          <w:rFonts w:ascii="Times New Roman" w:hAnsi="Times New Roman"/>
          <w:sz w:val="28"/>
        </w:rPr>
        <w:t>При потере связи с секционирующим пунктом алгоритм использует резервный канал (GSM/GPRS). Если связь не восстановлена, зона повреждения расширяется до ближайших доступных ИКЗ, а при полной потере телеметрии выполняется переход к ручному секционированию с вызовом оперативной бригады.</w:t>
      </w:r>
    </w:p>
    <w:p w14:paraId="12A1C46F">
      <w:pPr>
        <w:spacing w:before="240" w:after="120"/>
        <w:ind w:firstLine="709"/>
        <w:jc w:val="both"/>
      </w:pPr>
      <w:r>
        <w:t>Изоляция повреждённого участка.</w:t>
      </w:r>
    </w:p>
    <w:p w14:paraId="6CE700ED">
      <w:pPr>
        <w:spacing w:line="360" w:lineRule="auto"/>
        <w:ind w:firstLine="709"/>
        <w:jc w:val="both"/>
      </w:pPr>
      <w:r>
        <w:rPr>
          <w:rFonts w:ascii="Times New Roman" w:hAnsi="Times New Roman"/>
          <w:sz w:val="28"/>
        </w:rPr>
        <w:t>Алгоритм изоляции обеспечивает дистанционное отключение разъединителей, ограничивающих повреждённую секцию. Входные данные: номер секции, текущее состояние всех коммутационных аппаратов, доступность каналов связи.</w:t>
      </w:r>
    </w:p>
    <w:p w14:paraId="7DCF2DCB">
      <w:pPr>
        <w:spacing w:line="360" w:lineRule="auto"/>
        <w:ind w:firstLine="709"/>
        <w:jc w:val="both"/>
      </w:pPr>
      <w:r>
        <w:rPr>
          <w:rFonts w:ascii="Times New Roman" w:hAnsi="Times New Roman"/>
          <w:sz w:val="28"/>
        </w:rPr>
        <w:t>Шаг 1. Проверка предусловий: реклоузер в lockout (линия обесточена, коммутация разъединителей безопасна в бестоковом режиме [1]), наличие связи с разъединителями, отсутствие блокировок ручного режима.</w:t>
      </w:r>
    </w:p>
    <w:p w14:paraId="0EDCA762">
      <w:pPr>
        <w:spacing w:line="360" w:lineRule="auto"/>
        <w:ind w:firstLine="709"/>
        <w:jc w:val="both"/>
      </w:pPr>
      <w:r>
        <w:rPr>
          <w:rFonts w:ascii="Times New Roman" w:hAnsi="Times New Roman"/>
          <w:sz w:val="28"/>
        </w:rPr>
        <w:t>Шаг 2. Формирование команд. Для секции между РШk и РШk+1 формируются команды на отключение обоих разъединителей. Если повреждена первая секция — отключается только РШ1, если последняя — только последний разъединитель.</w:t>
      </w:r>
    </w:p>
    <w:p w14:paraId="45DFC0F2">
      <w:pPr>
        <w:spacing w:line="360" w:lineRule="auto"/>
        <w:ind w:firstLine="709"/>
        <w:jc w:val="both"/>
      </w:pPr>
      <w:r>
        <w:rPr>
          <w:rFonts w:ascii="Times New Roman" w:hAnsi="Times New Roman"/>
          <w:sz w:val="28"/>
        </w:rPr>
        <w:t>Шаг 3. Передача команд по каналу телемеханики (МЭК 60870-5-104 [18]). Каждая команда содержит идентификатор аппарата, тип операции, метку времени и контрольную сумму. При отсутствии подтверждения приёма в течение 5 с — повторная передача, при повторной неудаче — переключение на резервный канал.</w:t>
      </w:r>
    </w:p>
    <w:p w14:paraId="742CD486">
      <w:pPr>
        <w:spacing w:line="360" w:lineRule="auto"/>
        <w:ind w:firstLine="709"/>
        <w:jc w:val="both"/>
      </w:pPr>
      <w:r>
        <w:rPr>
          <w:rFonts w:ascii="Times New Roman" w:hAnsi="Times New Roman"/>
          <w:sz w:val="28"/>
        </w:rPr>
        <w:t>Шаг 4. Выполнение переключений. Шкаф управления разъединителя проверяет отсутствие тока по данным встроенного датчика, подаёт питание на моторный привод и контролирует перемещение подвижного контакта по датчику положения. Время операции — 5–15 с в зависимости от конструкции привода и температуры окружающей среды [5].</w:t>
      </w:r>
    </w:p>
    <w:p w14:paraId="5561F2D3">
      <w:pPr>
        <w:spacing w:line="360" w:lineRule="auto"/>
        <w:ind w:firstLine="709"/>
        <w:jc w:val="both"/>
      </w:pPr>
      <w:r>
        <w:rPr>
          <w:rFonts w:ascii="Times New Roman" w:hAnsi="Times New Roman"/>
          <w:sz w:val="28"/>
        </w:rPr>
        <w:t>Шаг 5. Получение квитанций от шкафов управления: подтверждение отключения, время операции, результат контроля видимого разрыва по датчику положения.</w:t>
      </w:r>
    </w:p>
    <w:p w14:paraId="758FAD7B">
      <w:pPr>
        <w:spacing w:line="360" w:lineRule="auto"/>
        <w:ind w:firstLine="709"/>
        <w:jc w:val="both"/>
      </w:pPr>
      <w:r>
        <w:t>Шаг 6. Регистрация в журнале событий: время начала и окончания изоляции, номер секции, перечень переключённых аппаратов, результат (успешно/неуспешно). При успешной изоляции управление передаётся алгоритму восстановления питания (раздел 2.3). Состояния аппаратов на каждом этапе приведены в таблице 3.1 (глава 3).</w:t>
      </w:r>
    </w:p>
    <w:p w14:paraId="65EBD89F">
      <w:pPr>
        <w:spacing w:line="360" w:lineRule="auto"/>
        <w:ind w:firstLine="709"/>
        <w:jc w:val="both"/>
      </w:pPr>
      <w:r>
        <w:rPr>
          <w:rFonts w:ascii="Times New Roman" w:hAnsi="Times New Roman"/>
          <w:sz w:val="28"/>
        </w:rPr>
        <w:t>Таймауты по шагам: опрос ИКЗ — 10 с, передача команды и подтверждение — 5 с, переключение — 30–60 с, получение квитанции — 10 с. При превышении таймаута — до двух повторов; при исчерпании попыток — переход к ручному режиму с вызовом оперативной бригады.</w:t>
      </w:r>
    </w:p>
    <w:p w14:paraId="7F128B5A">
      <w:pPr>
        <w:spacing w:line="360" w:lineRule="auto"/>
        <w:ind w:firstLine="709"/>
        <w:jc w:val="both"/>
      </w:pPr>
      <w:r>
        <w:rPr>
          <w:rFonts w:ascii="Times New Roman" w:hAnsi="Times New Roman"/>
          <w:sz w:val="28"/>
        </w:rPr>
        <w:t>Безопасность коммутации обеспечивается двойным контролем отсутствия тока: на уровне SCADA (проверка lockout реклоузера) и на уровне шкафа управления (проверка датчиком тока перед подачей на привод). Двойной контроль исключает коммутацию разъединителя под нагрузкой, которая ведёт к повреждению контактной системы и дуговому замыканию [1].</w:t>
      </w:r>
    </w:p>
    <w:p w14:paraId="03AF0BAF">
      <w:pPr>
        <w:spacing w:before="240" w:after="120"/>
        <w:ind w:firstLine="709"/>
        <w:jc w:val="both"/>
      </w:pPr>
      <w:r>
        <w:t>Примеры секционирования.</w:t>
      </w:r>
    </w:p>
    <w:p w14:paraId="49A2FBB5">
      <w:pPr>
        <w:spacing w:line="360" w:lineRule="auto"/>
        <w:ind w:firstLine="709"/>
        <w:jc w:val="both"/>
      </w:pPr>
      <w:r>
        <w:rPr>
          <w:rFonts w:ascii="Times New Roman" w:hAnsi="Times New Roman"/>
          <w:sz w:val="28"/>
        </w:rPr>
        <w:t>Рассмотрим работу алгоритма на типовом радиальном фидере ВЛ 10 кВ с тремя секциями. Оборудование: реклоузер Р1 на выходе с шин 10 кВ питающей подстанции, разъединитель РШ1 с ИКЗ-1 на границе секций 1 и 2, разъединитель РШ2 с ИКЗ-2 на границе секций 2 и 3, нормально разомкнутый разъединитель НР в конце линии для связи с резервным фидером.</w:t>
      </w:r>
    </w:p>
    <w:p w14:paraId="7D84CF11">
      <w:pPr>
        <w:spacing w:line="360" w:lineRule="auto"/>
        <w:ind w:firstLine="709"/>
        <w:jc w:val="both"/>
      </w:pPr>
      <w:r>
        <w:t>Сценарий 1: КЗ в секции 1 (между Р1 и РШ1). Ни один ИКЗ не фиксирует тока КЗ, поскольку место повреждения расположено до РШ1. Алгоритм определяет повреждённой секцию 1, отключает РШ1. Секции 2 и 3 восстанавливаются включением НР от резервного источника (раздел 2.3).</w:t>
      </w:r>
    </w:p>
    <w:p w14:paraId="181857C1">
      <w:pPr>
        <w:spacing w:line="360" w:lineRule="auto"/>
        <w:ind w:firstLine="709"/>
        <w:jc w:val="both"/>
      </w:pPr>
      <w:r>
        <w:rPr>
          <w:rFonts w:ascii="Times New Roman" w:hAnsi="Times New Roman"/>
          <w:sz w:val="28"/>
        </w:rPr>
        <w:t>Сценарий 2: КЗ в секции 2 (между РШ1 и РШ2). ИКЗ-1 сработал, ИКЗ-2 не сработал. Повреждена секция 2. Отключаются РШ1 и РШ2. Секция 1 восстанавливается включением Р1, секция 3 — включением НР.</w:t>
      </w:r>
    </w:p>
    <w:p w14:paraId="3902F732">
      <w:pPr>
        <w:spacing w:line="360" w:lineRule="auto"/>
        <w:ind w:firstLine="709"/>
        <w:jc w:val="both"/>
      </w:pPr>
      <w:r>
        <w:rPr>
          <w:rFonts w:ascii="Times New Roman" w:hAnsi="Times New Roman"/>
          <w:sz w:val="28"/>
        </w:rPr>
        <w:t>Сценарий 3: КЗ в секции 3 (за РШ2). Оба ИКЗ сработали. Повреждена секция 3. Отключается РШ2. Секции 1 и 2 восстанавливаются включением Р1. Секция 3 остаётся обесточенной до устранения повреждения; НР не включается, так как повреждение находится между РШ2 и НР.</w:t>
      </w:r>
    </w:p>
    <w:p w14:paraId="0C349AE0">
      <w:pPr>
        <w:spacing w:line="360" w:lineRule="auto"/>
        <w:ind w:firstLine="709"/>
        <w:jc w:val="both"/>
      </w:pPr>
      <w:r>
        <w:rPr>
          <w:rFonts w:ascii="Times New Roman" w:hAnsi="Times New Roman"/>
          <w:sz w:val="28"/>
        </w:rPr>
        <w:t>Общее время от возникновения КЗ до завершения изоляции составляет 18–25 с, из которых 15–20 с занимают циклы АПВ реклоузера, а 3–5 с — собственно процедура секционирования (опрос ИКЗ, передача команд, переключение разъединителей). Состояния коммутационных аппаратов для всех трёх сценариев приведены в таблице 4.1.</w:t>
      </w:r>
    </w:p>
    <w:p w14:paraId="74317DDE">
      <w:pPr>
        <w:spacing w:before="240" w:after="120"/>
        <w:ind w:firstLine="0"/>
        <w:jc w:val="left"/>
      </w:pPr>
      <w:r>
        <w:t>Таблица 2.2 – Состояния коммутационных аппаратов при секционировании</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1336"/>
        <w:gridCol w:w="1336"/>
        <w:gridCol w:w="1336"/>
        <w:gridCol w:w="1336"/>
        <w:gridCol w:w="1336"/>
        <w:gridCol w:w="1336"/>
      </w:tblGrid>
      <w:tr w14:paraId="4B21C901">
        <w:tc>
          <w:tcPr>
            <w:tcW w:w="1336" w:type="dxa"/>
          </w:tcPr>
          <w:p w14:paraId="11BB281D">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Сценарий / Этап</w:t>
            </w:r>
          </w:p>
        </w:tc>
        <w:tc>
          <w:tcPr>
            <w:tcW w:w="1336" w:type="dxa"/>
          </w:tcPr>
          <w:p w14:paraId="3D56406D">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Р1</w:t>
            </w:r>
          </w:p>
        </w:tc>
        <w:tc>
          <w:tcPr>
            <w:tcW w:w="1336" w:type="dxa"/>
          </w:tcPr>
          <w:p w14:paraId="7EA6FCDC">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РШ1</w:t>
            </w:r>
          </w:p>
        </w:tc>
        <w:tc>
          <w:tcPr>
            <w:tcW w:w="1336" w:type="dxa"/>
          </w:tcPr>
          <w:p w14:paraId="63A41210">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РШ2</w:t>
            </w:r>
          </w:p>
        </w:tc>
        <w:tc>
          <w:tcPr>
            <w:tcW w:w="1336" w:type="dxa"/>
          </w:tcPr>
          <w:p w14:paraId="3D39EF09">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НР</w:t>
            </w:r>
          </w:p>
        </w:tc>
        <w:tc>
          <w:tcPr>
            <w:tcW w:w="1336" w:type="dxa"/>
          </w:tcPr>
          <w:p w14:paraId="358E9B94">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ИКЗ-1</w:t>
            </w:r>
          </w:p>
        </w:tc>
        <w:tc>
          <w:tcPr>
            <w:tcW w:w="1336" w:type="dxa"/>
          </w:tcPr>
          <w:p w14:paraId="1F3670D0">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ИКЗ-2</w:t>
            </w:r>
          </w:p>
        </w:tc>
      </w:tr>
      <w:tr w14:paraId="294CB5AD">
        <w:tc>
          <w:tcPr>
            <w:tcW w:w="1336" w:type="dxa"/>
          </w:tcPr>
          <w:p w14:paraId="182E465D">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Нормальный режим</w:t>
            </w:r>
          </w:p>
        </w:tc>
        <w:tc>
          <w:tcPr>
            <w:tcW w:w="1336" w:type="dxa"/>
          </w:tcPr>
          <w:p w14:paraId="3476623D">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381713C8">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0CCC5474">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463FDEC5">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4EC78361">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c>
          <w:tcPr>
            <w:tcW w:w="1336" w:type="dxa"/>
          </w:tcPr>
          <w:p w14:paraId="00D1C519">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r>
      <w:tr w14:paraId="43537F5C">
        <w:tc>
          <w:tcPr>
            <w:tcW w:w="1336" w:type="dxa"/>
          </w:tcPr>
          <w:p w14:paraId="6D160E20">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КЗ в секции 1, lockout</w:t>
            </w:r>
          </w:p>
        </w:tc>
        <w:tc>
          <w:tcPr>
            <w:tcW w:w="1336" w:type="dxa"/>
          </w:tcPr>
          <w:p w14:paraId="37DF11D0">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Lockout</w:t>
            </w:r>
          </w:p>
        </w:tc>
        <w:tc>
          <w:tcPr>
            <w:tcW w:w="1336" w:type="dxa"/>
          </w:tcPr>
          <w:p w14:paraId="495137EF">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60B7C3E7">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3A3BB2A1">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64EF2CB6">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Нет</w:t>
            </w:r>
          </w:p>
        </w:tc>
        <w:tc>
          <w:tcPr>
            <w:tcW w:w="1336" w:type="dxa"/>
          </w:tcPr>
          <w:p w14:paraId="00689B5B">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Нет</w:t>
            </w:r>
          </w:p>
        </w:tc>
      </w:tr>
      <w:tr w14:paraId="477ECC13">
        <w:tc>
          <w:tcPr>
            <w:tcW w:w="1336" w:type="dxa"/>
          </w:tcPr>
          <w:p w14:paraId="4D059197">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Изоляция секции 1</w:t>
            </w:r>
          </w:p>
        </w:tc>
        <w:tc>
          <w:tcPr>
            <w:tcW w:w="1336" w:type="dxa"/>
          </w:tcPr>
          <w:p w14:paraId="0F0698F2">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Lockout</w:t>
            </w:r>
          </w:p>
        </w:tc>
        <w:tc>
          <w:tcPr>
            <w:tcW w:w="1336" w:type="dxa"/>
          </w:tcPr>
          <w:p w14:paraId="067EAD6D">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0F408678">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57F93F02">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6D586909">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c>
          <w:tcPr>
            <w:tcW w:w="1336" w:type="dxa"/>
          </w:tcPr>
          <w:p w14:paraId="14528AE2">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r>
      <w:tr w14:paraId="2065D897">
        <w:tc>
          <w:tcPr>
            <w:tcW w:w="1336" w:type="dxa"/>
          </w:tcPr>
          <w:p w14:paraId="43016BDA">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КЗ в секции 2, lockout</w:t>
            </w:r>
          </w:p>
        </w:tc>
        <w:tc>
          <w:tcPr>
            <w:tcW w:w="1336" w:type="dxa"/>
          </w:tcPr>
          <w:p w14:paraId="1352571D">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Lockout</w:t>
            </w:r>
          </w:p>
        </w:tc>
        <w:tc>
          <w:tcPr>
            <w:tcW w:w="1336" w:type="dxa"/>
          </w:tcPr>
          <w:p w14:paraId="63E4688D">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57209A79">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6F3A1AE0">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7FCFB5AD">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Да</w:t>
            </w:r>
          </w:p>
        </w:tc>
        <w:tc>
          <w:tcPr>
            <w:tcW w:w="1336" w:type="dxa"/>
          </w:tcPr>
          <w:p w14:paraId="14047BDB">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Нет</w:t>
            </w:r>
          </w:p>
        </w:tc>
      </w:tr>
      <w:tr w14:paraId="39AE5C30">
        <w:tc>
          <w:tcPr>
            <w:tcW w:w="1336" w:type="dxa"/>
          </w:tcPr>
          <w:p w14:paraId="6EED8B6D">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Изоляция секции 2</w:t>
            </w:r>
          </w:p>
        </w:tc>
        <w:tc>
          <w:tcPr>
            <w:tcW w:w="1336" w:type="dxa"/>
          </w:tcPr>
          <w:p w14:paraId="50CA86EF">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Lockout</w:t>
            </w:r>
          </w:p>
        </w:tc>
        <w:tc>
          <w:tcPr>
            <w:tcW w:w="1336" w:type="dxa"/>
          </w:tcPr>
          <w:p w14:paraId="17E4F3FA">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4E1DF93E">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17F6D87F">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573C8C59">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c>
          <w:tcPr>
            <w:tcW w:w="1336" w:type="dxa"/>
          </w:tcPr>
          <w:p w14:paraId="5D496367">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r>
      <w:tr w14:paraId="398345E1">
        <w:tc>
          <w:tcPr>
            <w:tcW w:w="1336" w:type="dxa"/>
          </w:tcPr>
          <w:p w14:paraId="1C8833A1">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КЗ в секции 3, lockout</w:t>
            </w:r>
          </w:p>
        </w:tc>
        <w:tc>
          <w:tcPr>
            <w:tcW w:w="1336" w:type="dxa"/>
          </w:tcPr>
          <w:p w14:paraId="531BEECB">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Lockout</w:t>
            </w:r>
          </w:p>
        </w:tc>
        <w:tc>
          <w:tcPr>
            <w:tcW w:w="1336" w:type="dxa"/>
          </w:tcPr>
          <w:p w14:paraId="117A000A">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439BAAD9">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67EC2F5E">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0CE169F2">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Да</w:t>
            </w:r>
          </w:p>
        </w:tc>
        <w:tc>
          <w:tcPr>
            <w:tcW w:w="1336" w:type="dxa"/>
          </w:tcPr>
          <w:p w14:paraId="5F1D5A0C">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Да</w:t>
            </w:r>
          </w:p>
        </w:tc>
      </w:tr>
      <w:tr w14:paraId="4EFC7CF7">
        <w:tc>
          <w:tcPr>
            <w:tcW w:w="1336" w:type="dxa"/>
          </w:tcPr>
          <w:p w14:paraId="06E47FE3">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Изоляция секции 3</w:t>
            </w:r>
          </w:p>
        </w:tc>
        <w:tc>
          <w:tcPr>
            <w:tcW w:w="1336" w:type="dxa"/>
          </w:tcPr>
          <w:p w14:paraId="70AC2641">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Lockout</w:t>
            </w:r>
          </w:p>
        </w:tc>
        <w:tc>
          <w:tcPr>
            <w:tcW w:w="1336" w:type="dxa"/>
          </w:tcPr>
          <w:p w14:paraId="47EA595F">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Вкл</w:t>
            </w:r>
          </w:p>
        </w:tc>
        <w:tc>
          <w:tcPr>
            <w:tcW w:w="1336" w:type="dxa"/>
          </w:tcPr>
          <w:p w14:paraId="6E880FC5">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5694B48F">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Откл</w:t>
            </w:r>
          </w:p>
        </w:tc>
        <w:tc>
          <w:tcPr>
            <w:tcW w:w="1336" w:type="dxa"/>
          </w:tcPr>
          <w:p w14:paraId="1C358179">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c>
          <w:tcPr>
            <w:tcW w:w="1336" w:type="dxa"/>
          </w:tcPr>
          <w:p w14:paraId="60572A69">
            <w:pPr>
              <w:ind w:firstLine="0"/>
              <w:jc w:val="center"/>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w:t>
            </w:r>
          </w:p>
        </w:tc>
      </w:tr>
    </w:tbl>
    <w:p w14:paraId="20F4854B">
      <w:pPr>
        <w:spacing w:before="120"/>
        <w:ind w:firstLine="0"/>
      </w:pPr>
    </w:p>
    <w:p w14:paraId="03BA818A">
      <w:pPr>
        <w:spacing w:line="360" w:lineRule="auto"/>
        <w:ind w:firstLine="709"/>
        <w:jc w:val="both"/>
      </w:pPr>
      <w:r>
        <w:t>Из таблицы 2.2 видно, что при каждом сценарии отключаются только разъединители, непосредственно ограничивающие повреждённую секцию, а остальные аппараты сохраняют рабочее положение. Это минимизирует количество коммутаций и ускоряет последующее восстановление питания (раздел 2.3).</w:t>
      </w:r>
    </w:p>
    <w:p w14:paraId="59041FFF">
      <w:pPr>
        <w:spacing w:line="360" w:lineRule="auto"/>
        <w:ind w:firstLine="709"/>
        <w:jc w:val="both"/>
        <w:rPr>
          <w:rFonts w:hint="default" w:ascii="Times New Roman Bold" w:hAnsi="Times New Roman Bold" w:cs="Times New Roman Bold"/>
          <w:b/>
          <w:bCs/>
        </w:rPr>
      </w:pPr>
      <w:r>
        <w:rPr>
          <w:rFonts w:hint="default" w:ascii="Times New Roman Bold" w:hAnsi="Times New Roman Bold" w:cs="Times New Roman Bold"/>
          <w:b/>
          <w:bCs/>
        </w:rPr>
        <w:t>2.3 Алгоритмы восстановления электроснабжения после аварии</w:t>
      </w:r>
    </w:p>
    <w:p w14:paraId="0F96DF30">
      <w:pPr>
        <w:spacing w:before="240" w:after="120"/>
        <w:ind w:firstLine="709"/>
        <w:jc w:val="both"/>
      </w:pPr>
      <w:r>
        <w:t>Принципы автоматического восстановления питания.</w:t>
      </w:r>
    </w:p>
    <w:p w14:paraId="6E0F184D">
      <w:pPr>
        <w:spacing w:line="360" w:lineRule="auto"/>
        <w:ind w:firstLine="709"/>
        <w:jc w:val="both"/>
      </w:pPr>
      <w:r>
        <w:rPr>
          <w:rFonts w:ascii="Times New Roman" w:hAnsi="Times New Roman"/>
          <w:sz w:val="28"/>
        </w:rPr>
        <w:t>Восстановление электроснабжения потребителей неповреждённых секций — завершающий этап технологии FLISR. Цель — минимизировать время перерыва питания путём подачи напряжения на неповреждённые участки от доступных источников сразу после изоляции повреждённой секции.</w:t>
      </w:r>
    </w:p>
    <w:p w14:paraId="226AA080">
      <w:pPr>
        <w:spacing w:line="360" w:lineRule="auto"/>
        <w:ind w:firstLine="709"/>
        <w:jc w:val="both"/>
      </w:pPr>
      <w:r>
        <w:rPr>
          <w:rFonts w:ascii="Times New Roman" w:hAnsi="Times New Roman"/>
          <w:sz w:val="28"/>
        </w:rPr>
        <w:t>Секции, расположенные между источником питания и повреждённой секцией (вышележащие), восстанавливаются включением реклоузера Р1 — топология сети при этом не меняется. Секции за повреждённой секцией (нижележащие) требуют подключения резервного источника через нормально разомкнутый разъединитель НР, что изменяет направление питания и требует проверки дополнительных условий [16].</w:t>
      </w:r>
    </w:p>
    <w:p w14:paraId="6C0F7885">
      <w:pPr>
        <w:spacing w:line="360" w:lineRule="auto"/>
        <w:ind w:firstLine="709"/>
        <w:jc w:val="both"/>
      </w:pPr>
      <w:r>
        <w:rPr>
          <w:rFonts w:ascii="Times New Roman" w:hAnsi="Times New Roman"/>
          <w:sz w:val="28"/>
        </w:rPr>
        <w:t>Двухэтапный подход: сначала включается Р1 (восстановление вышележащих секций, выполняется немедленно после подтверждения изоляции), затем включается НР (восстановление нижележащих секций, выполняется после проверки допустимости резервного питания). Суммарное время — 20–60 с от момента завершения изоляции, что на два порядка меньше времени ручного восстановления (1–3 ч).</w:t>
      </w:r>
    </w:p>
    <w:p w14:paraId="327CA780">
      <w:pPr>
        <w:spacing w:before="240" w:after="120"/>
        <w:ind w:firstLine="709"/>
        <w:jc w:val="both"/>
      </w:pPr>
      <w:r>
        <w:t>Алгоритм АВР от резервного источника.</w:t>
      </w:r>
    </w:p>
    <w:p w14:paraId="0A431369">
      <w:pPr>
        <w:spacing w:line="360" w:lineRule="auto"/>
        <w:ind w:firstLine="709"/>
        <w:jc w:val="both"/>
      </w:pPr>
      <w:r>
        <w:rPr>
          <w:rFonts w:ascii="Times New Roman" w:hAnsi="Times New Roman"/>
          <w:sz w:val="28"/>
        </w:rPr>
        <w:t>Алгоритм автоматического ввода резерва (АВР) по сети восстанавливает питание нижележащих секций фидера через НР. В отличие от традиционного АВР на шинах подстанции, переключение выполняется на уровне распределительной сети разъединителями с моторным приводом, а не быстродействующими выключателями [5].</w:t>
      </w:r>
    </w:p>
    <w:p w14:paraId="628D9D1D">
      <w:pPr>
        <w:spacing w:line="360" w:lineRule="auto"/>
        <w:ind w:firstLine="709"/>
        <w:jc w:val="both"/>
      </w:pPr>
      <w:r>
        <w:rPr>
          <w:rFonts w:ascii="Times New Roman" w:hAnsi="Times New Roman"/>
          <w:sz w:val="28"/>
        </w:rPr>
        <w:t>Шаг 1. Проверка завершения изоляции. SCADA убеждается, что разъединители, ограничивающие повреждённую секцию со стороны НР, отключены и квитанции получены. Условие гарантирует, что включение НР не подаст напряжение на повреждённый участок.</w:t>
      </w:r>
    </w:p>
    <w:p w14:paraId="233BEE33">
      <w:pPr>
        <w:spacing w:line="360" w:lineRule="auto"/>
        <w:ind w:firstLine="709"/>
        <w:jc w:val="both"/>
      </w:pPr>
      <w:r>
        <w:rPr>
          <w:rFonts w:ascii="Times New Roman" w:hAnsi="Times New Roman"/>
          <w:sz w:val="28"/>
        </w:rPr>
        <w:t>Шаг 2. Проверка напряжения на резервном источнике. Запрашивается состояние резервного фидера: наличие напряжения, текущая нагрузка, резерв пропускной способности. Если резервный фидер обесточен или перегружен, АВР не выполняется; SCADA формирует сообщение оперативному персоналу.</w:t>
      </w:r>
    </w:p>
    <w:p w14:paraId="1811E082">
      <w:pPr>
        <w:spacing w:line="360" w:lineRule="auto"/>
        <w:ind w:firstLine="709"/>
        <w:jc w:val="both"/>
      </w:pPr>
      <w:r>
        <w:rPr>
          <w:rFonts w:ascii="Times New Roman" w:hAnsi="Times New Roman"/>
          <w:sz w:val="28"/>
        </w:rPr>
        <w:t>Шаг 3. Проверка пропускной способности. Суммарная нагрузка подключаемых секций сравнивается с допустимым током резервного фидера (коэффициент запаса 0,8–0,9 от номинального). При недостаточной пропускной способности допускается частичное восстановление с отключением некритичных потребителей [14].</w:t>
      </w:r>
    </w:p>
    <w:p w14:paraId="5987F408">
      <w:pPr>
        <w:spacing w:line="360" w:lineRule="auto"/>
        <w:ind w:firstLine="709"/>
        <w:jc w:val="both"/>
      </w:pPr>
      <w:r>
        <w:rPr>
          <w:rFonts w:ascii="Times New Roman" w:hAnsi="Times New Roman"/>
          <w:sz w:val="28"/>
        </w:rPr>
        <w:t>Шаг 4. Передача команды на включение НР по каналу МЭК 60870-5-104 [18]. Шкаф управления проверяет наличие напряжения на стороне резервного фидера, отсутствие блокировок и подаёт питание на моторный привод. Время включения разъединителя — 5–15 с.</w:t>
      </w:r>
    </w:p>
    <w:p w14:paraId="224C8D96">
      <w:pPr>
        <w:spacing w:line="360" w:lineRule="auto"/>
        <w:ind w:firstLine="709"/>
        <w:jc w:val="both"/>
      </w:pPr>
      <w:r>
        <w:rPr>
          <w:rFonts w:ascii="Times New Roman" w:hAnsi="Times New Roman"/>
          <w:sz w:val="28"/>
        </w:rPr>
        <w:t>Шаг 5. Подтверждение включения НР. Шкаф управления передаёт квитанцию с данными датчика положения контактов. SCADA фиксирует изменение топологии: нижележащие секции питаются от резервного источника.</w:t>
      </w:r>
    </w:p>
    <w:p w14:paraId="5B94C5C6">
      <w:pPr>
        <w:spacing w:line="360" w:lineRule="auto"/>
        <w:ind w:firstLine="709"/>
        <w:jc w:val="both"/>
      </w:pPr>
      <w:r>
        <w:rPr>
          <w:rFonts w:ascii="Times New Roman" w:hAnsi="Times New Roman"/>
          <w:sz w:val="28"/>
        </w:rPr>
        <w:t>Шаг 6. Контроль параметров режима в течение 30–60 с: отсутствие аварийных токов, допустимый уровень напряжения, отсутствие перегрузки резервного фидера. При обнаружении аварийного режима НР немедленно отключается. Нормы качества напряжения — по ГОСТ 32144 [16].</w:t>
      </w:r>
    </w:p>
    <w:p w14:paraId="02823A28">
      <w:pPr>
        <w:spacing w:line="360" w:lineRule="auto"/>
        <w:ind w:firstLine="709"/>
        <w:jc w:val="both"/>
      </w:pPr>
      <w:r>
        <w:t>Включение НР допускается только при подтверждённой изоляции повреждённой секции. Условие исключает параллельную работу двух фидеров, которая ведёт к недопустимым уравнительным токам и нарушению селективности релейной защиты (алгоритмы защит — раздел 2.1).</w:t>
      </w:r>
    </w:p>
    <w:p w14:paraId="1EE8F5DE">
      <w:pPr>
        <w:spacing w:before="240" w:after="120"/>
        <w:ind w:firstLine="709"/>
        <w:jc w:val="both"/>
      </w:pPr>
      <w:r>
        <w:t>Алгоритм АВНР (возврат к нормальной схеме после ремонта).</w:t>
      </w:r>
    </w:p>
    <w:p w14:paraId="5D8734C2">
      <w:pPr>
        <w:spacing w:line="360" w:lineRule="auto"/>
        <w:ind w:firstLine="709"/>
        <w:jc w:val="both"/>
      </w:pPr>
      <w:r>
        <w:rPr>
          <w:rFonts w:ascii="Times New Roman" w:hAnsi="Times New Roman"/>
          <w:sz w:val="28"/>
        </w:rPr>
        <w:t>Алгоритм автоматического возврата к нормальному режиму (АВНР) восстанавливает штатную топологию сети после устранения повреждения. АВНР — обратная последовательность операций по отношению к секционированию и АВР: все коммутационные аппараты возвращаются в нормальное положение, радиальная схема питания от основного источника восстанавливается.</w:t>
      </w:r>
    </w:p>
    <w:p w14:paraId="1D280684">
      <w:pPr>
        <w:spacing w:line="360" w:lineRule="auto"/>
        <w:ind w:firstLine="709"/>
        <w:jc w:val="both"/>
      </w:pPr>
      <w:r>
        <w:rPr>
          <w:rFonts w:ascii="Times New Roman" w:hAnsi="Times New Roman"/>
          <w:sz w:val="28"/>
        </w:rPr>
        <w:t>АВНР инициируется оперативным персоналом через интерфейс SCADA после получения подтверждения от ремонтной бригады об устранении повреждения и отсутствии людей на отремонтированном участке. Автоматический запуск АВНР не рекомендуется из соображений безопасности [1].</w:t>
      </w:r>
    </w:p>
    <w:p w14:paraId="04FCAB64">
      <w:pPr>
        <w:spacing w:line="360" w:lineRule="auto"/>
        <w:ind w:firstLine="709"/>
        <w:jc w:val="both"/>
      </w:pPr>
      <w:r>
        <w:rPr>
          <w:rFonts w:ascii="Times New Roman" w:hAnsi="Times New Roman"/>
          <w:sz w:val="28"/>
        </w:rPr>
        <w:t>Шаг 1. Отключение НР. Прекращается подача резервного питания на нижележащие секции. Время кратковременного обесточения — 15–30 с.</w:t>
      </w:r>
    </w:p>
    <w:p w14:paraId="5544EB31">
      <w:pPr>
        <w:spacing w:line="360" w:lineRule="auto"/>
        <w:ind w:firstLine="709"/>
        <w:jc w:val="both"/>
      </w:pPr>
      <w:r>
        <w:rPr>
          <w:rFonts w:ascii="Times New Roman" w:hAnsi="Times New Roman"/>
          <w:sz w:val="28"/>
        </w:rPr>
        <w:t>Шаг 2. Включение секционирующих разъединителей последовательно от ближайшего к реклоузеру. Для сценария КЗ в секции 2 (раздел 4.4): сначала РШ1, затем РШ2. Между включениями — пауза 5–10 с для контроля параметров режима.</w:t>
      </w:r>
    </w:p>
    <w:p w14:paraId="4AA754C8">
      <w:pPr>
        <w:spacing w:line="360" w:lineRule="auto"/>
        <w:ind w:firstLine="709"/>
        <w:jc w:val="both"/>
      </w:pPr>
      <w:r>
        <w:rPr>
          <w:rFonts w:ascii="Times New Roman" w:hAnsi="Times New Roman"/>
          <w:sz w:val="28"/>
        </w:rPr>
        <w:t>Шаг 3. Снятие блокировки lockout и включение Р1 (если реклоузер находился в lockout). Выполняется контроль отсутствия тока КЗ: если повреждение не устранено, реклоузер повторно зафиксирует КЗ и отключится, АВНР прекратится с возвратом в послеаварийный режим.</w:t>
      </w:r>
    </w:p>
    <w:p w14:paraId="33E8B1B9">
      <w:pPr>
        <w:spacing w:line="360" w:lineRule="auto"/>
        <w:ind w:firstLine="709"/>
        <w:jc w:val="both"/>
      </w:pPr>
      <w:r>
        <w:rPr>
          <w:rFonts w:ascii="Times New Roman" w:hAnsi="Times New Roman"/>
          <w:sz w:val="28"/>
        </w:rPr>
        <w:t>Шаг 4. Верификация нормального режима в течение 60–120 с: токи в фазах в пределах номинальных значений, напряжения соответствуют ГОСТ 32144 [16], НР отключён (радиальная схема восстановлена).</w:t>
      </w:r>
    </w:p>
    <w:p w14:paraId="186D16FD">
      <w:pPr>
        <w:spacing w:line="360" w:lineRule="auto"/>
        <w:ind w:firstLine="709"/>
        <w:jc w:val="both"/>
      </w:pPr>
      <w:r>
        <w:rPr>
          <w:rFonts w:ascii="Times New Roman" w:hAnsi="Times New Roman"/>
          <w:sz w:val="28"/>
        </w:rPr>
        <w:t>Шаг 5. Уведомление оперативного персонала: время каждого шага, итоговое состояние аппаратов, параметры послеаварийного режима. Информация регистрируется в журнале событий SCADA.</w:t>
      </w:r>
    </w:p>
    <w:p w14:paraId="40C37FFB">
      <w:pPr>
        <w:spacing w:line="360" w:lineRule="auto"/>
        <w:ind w:firstLine="709"/>
        <w:jc w:val="both"/>
      </w:pPr>
      <w:r>
        <w:rPr>
          <w:rFonts w:ascii="Times New Roman" w:hAnsi="Times New Roman"/>
          <w:sz w:val="28"/>
        </w:rPr>
        <w:t>При нештатных ситуациях (повторное КЗ при включении Р1, неисправность привода разъединителя, потеря связи) алгоритм возвращает систему в предшествующее устойчивое состояние: повреждённая секция изолирована, нижележащие секции питаются через НР. Приоритет — сохранение электроснабжения максимального числа потребителей.</w:t>
      </w:r>
    </w:p>
    <w:p w14:paraId="134396A1">
      <w:pPr>
        <w:spacing w:before="240" w:after="120"/>
        <w:ind w:firstLine="709"/>
        <w:jc w:val="both"/>
      </w:pPr>
      <w:r>
        <w:t>Взаимодействие алгоритмов восстановления со SCADA.</w:t>
      </w:r>
    </w:p>
    <w:p w14:paraId="13913085">
      <w:pPr>
        <w:spacing w:line="360" w:lineRule="auto"/>
        <w:ind w:firstLine="709"/>
        <w:jc w:val="both"/>
      </w:pPr>
      <w:r>
        <w:rPr>
          <w:rFonts w:ascii="Times New Roman" w:hAnsi="Times New Roman"/>
          <w:sz w:val="28"/>
        </w:rPr>
        <w:t>SCADA выполняет функцию центрального координатора алгоритмов секционирования и восстановления. На уровне SCADA реализуется логика принятия решений, координация последовательности переключений, контроль выполнения команд и регистрация событий. Взаимодействие с периферийными устройствами — по МЭК 60870-5-104 [18].</w:t>
      </w:r>
    </w:p>
    <w:p w14:paraId="170A6F33">
      <w:pPr>
        <w:spacing w:line="360" w:lineRule="auto"/>
        <w:ind w:firstLine="709"/>
        <w:jc w:val="both"/>
      </w:pPr>
      <w:r>
        <w:rPr>
          <w:rFonts w:ascii="Times New Roman" w:hAnsi="Times New Roman"/>
          <w:sz w:val="28"/>
        </w:rPr>
        <w:t>Телеметрические данные от коммутационных аппаратов поступают в реальном времени: состояния аппаратов (включён/отключён/lockout), показания ИКЗ, токи и напряжения, состояние каналов связи. Периодичность опроса в нормальном режиме — 1–5 с, в аварийном — 0,5–1 с.</w:t>
      </w:r>
    </w:p>
    <w:p w14:paraId="0F4797D8">
      <w:pPr>
        <w:spacing w:line="360" w:lineRule="auto"/>
        <w:ind w:firstLine="709"/>
        <w:jc w:val="both"/>
      </w:pPr>
      <w:r>
        <w:t>Координация алгоритмов реализована через конечный автомат состояний фидера [21]: «нормальный режим» → «КЗ обнаружено» → «АПВ» → «lockout» → «определение секции» → «изоляция» → «восстановление вышележащих» → «АВР нижележащих» → «послеаварийный режим». Обратные переходы (АВНР) выполняются по команде оперативного персонала. Полная таблица состояний конечного автомата приведена в главе 3.</w:t>
      </w:r>
    </w:p>
    <w:p w14:paraId="05AD89E8">
      <w:pPr>
        <w:spacing w:line="360" w:lineRule="auto"/>
        <w:ind w:firstLine="709"/>
        <w:jc w:val="both"/>
      </w:pPr>
      <w:r>
        <w:rPr>
          <w:rFonts w:ascii="Times New Roman" w:hAnsi="Times New Roman"/>
          <w:sz w:val="28"/>
        </w:rPr>
        <w:t>Регистрация событий ведётся с точностью до миллисекунд: метка времени, идентификатор источника (реклоузер, разъединитель, ИКЗ), тип события (срабатывание защиты, изменение состояния, выполнение команды, ошибка), параметры (значение тока, направление, длительность). Журнал используется для ретроспективного анализа и оценки эффективности автоматики.</w:t>
      </w:r>
    </w:p>
    <w:p w14:paraId="65F93BFF">
      <w:pPr>
        <w:spacing w:line="360" w:lineRule="auto"/>
        <w:ind w:firstLine="709"/>
        <w:jc w:val="both"/>
      </w:pPr>
      <w:r>
        <w:rPr>
          <w:rFonts w:ascii="Times New Roman" w:hAnsi="Times New Roman"/>
          <w:sz w:val="28"/>
        </w:rPr>
        <w:t>Уведомление персонала — многоуровневое: информационные сообщения (успешное АПВ, успешное секционирование) отображаются на мнемосхеме; предупреждения (частичный отказ, работа по резервному каналу) сопровождаются звуковой сигнализацией; аварийные сообщения (полный отказ алгоритма) дублируются SMS дежурному персоналу.</w:t>
      </w:r>
    </w:p>
    <w:p w14:paraId="17B60CA3">
      <w:pPr>
        <w:spacing w:line="360" w:lineRule="auto"/>
        <w:ind w:firstLine="709"/>
        <w:jc w:val="both"/>
      </w:pPr>
      <w:r>
        <w:rPr>
          <w:rFonts w:ascii="Times New Roman" w:hAnsi="Times New Roman"/>
          <w:sz w:val="28"/>
        </w:rPr>
        <w:t>Надёжность взаимодействия обеспечивается резервированием каналов связи (основной — Ethernet/ВОЛС, резервный — GSM/GPRS), контролем целостности данных (контрольные суммы, нумерация пакетов), heartbeat-опросом каждые 10–30 с и автоматическим переключением на резервный канал при потере основного (время переключения — не более 5 с).</w:t>
      </w:r>
    </w:p>
    <w:p w14:paraId="7DCDAD3D">
      <w:pPr>
        <w:spacing w:line="360" w:lineRule="auto"/>
        <w:ind w:firstLine="709"/>
        <w:jc w:val="both"/>
      </w:pPr>
      <w:r>
        <w:rPr>
          <w:rFonts w:ascii="Times New Roman" w:hAnsi="Times New Roman"/>
          <w:sz w:val="28"/>
        </w:rPr>
        <w:t>Сигналы и команды, передаваемые между SCADA и периферийными устройствами на каждом этапе восстановления, приведены в таблице 5.1.</w:t>
      </w:r>
    </w:p>
    <w:p w14:paraId="75AA1C35">
      <w:pPr>
        <w:spacing w:before="240" w:after="120"/>
        <w:ind w:firstLine="0"/>
        <w:jc w:val="left"/>
      </w:pPr>
      <w:r>
        <w:t>Таблица 2.3 – Сигналы и команды SCADA при восстановлении питания</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8"/>
        <w:gridCol w:w="2248"/>
        <w:gridCol w:w="2742"/>
        <w:gridCol w:w="2303"/>
      </w:tblGrid>
      <w:tr w14:paraId="4C991CE6">
        <w:tc>
          <w:tcPr>
            <w:tcW w:w="2339" w:type="dxa"/>
          </w:tcPr>
          <w:p w14:paraId="2B1B42AE">
            <w:pPr>
              <w:ind w:firstLine="0"/>
              <w:jc w:val="center"/>
              <w:rPr>
                <w:b w:val="0"/>
                <w:bCs/>
                <w:sz w:val="28"/>
                <w:szCs w:val="28"/>
              </w:rPr>
            </w:pPr>
            <w:r>
              <w:rPr>
                <w:rFonts w:ascii="Times New Roman" w:hAnsi="Times New Roman"/>
                <w:b w:val="0"/>
                <w:bCs/>
                <w:sz w:val="28"/>
                <w:szCs w:val="28"/>
              </w:rPr>
              <w:t>Этап</w:t>
            </w:r>
          </w:p>
        </w:tc>
        <w:tc>
          <w:tcPr>
            <w:tcW w:w="2339" w:type="dxa"/>
          </w:tcPr>
          <w:p w14:paraId="3736958C">
            <w:pPr>
              <w:ind w:firstLine="0"/>
              <w:jc w:val="center"/>
              <w:rPr>
                <w:b w:val="0"/>
                <w:bCs/>
                <w:sz w:val="28"/>
                <w:szCs w:val="28"/>
              </w:rPr>
            </w:pPr>
            <w:r>
              <w:rPr>
                <w:rFonts w:ascii="Times New Roman" w:hAnsi="Times New Roman"/>
                <w:b w:val="0"/>
                <w:bCs/>
                <w:sz w:val="28"/>
                <w:szCs w:val="28"/>
              </w:rPr>
              <w:t>Направление</w:t>
            </w:r>
          </w:p>
        </w:tc>
        <w:tc>
          <w:tcPr>
            <w:tcW w:w="2339" w:type="dxa"/>
          </w:tcPr>
          <w:p w14:paraId="1B674214">
            <w:pPr>
              <w:ind w:firstLine="0"/>
              <w:jc w:val="center"/>
              <w:rPr>
                <w:b w:val="0"/>
                <w:bCs/>
                <w:sz w:val="28"/>
                <w:szCs w:val="28"/>
              </w:rPr>
            </w:pPr>
            <w:r>
              <w:rPr>
                <w:rFonts w:ascii="Times New Roman" w:hAnsi="Times New Roman"/>
                <w:b w:val="0"/>
                <w:bCs/>
                <w:sz w:val="28"/>
                <w:szCs w:val="28"/>
              </w:rPr>
              <w:t>Сигнал / команда</w:t>
            </w:r>
          </w:p>
        </w:tc>
        <w:tc>
          <w:tcPr>
            <w:tcW w:w="2339" w:type="dxa"/>
          </w:tcPr>
          <w:p w14:paraId="414BEC83">
            <w:pPr>
              <w:ind w:firstLine="0"/>
              <w:jc w:val="center"/>
              <w:rPr>
                <w:b w:val="0"/>
                <w:bCs/>
                <w:sz w:val="28"/>
                <w:szCs w:val="28"/>
              </w:rPr>
            </w:pPr>
            <w:r>
              <w:rPr>
                <w:rFonts w:ascii="Times New Roman" w:hAnsi="Times New Roman"/>
                <w:b w:val="0"/>
                <w:bCs/>
                <w:sz w:val="28"/>
                <w:szCs w:val="28"/>
              </w:rPr>
              <w:t>Источник / приёмник</w:t>
            </w:r>
          </w:p>
        </w:tc>
      </w:tr>
      <w:tr w14:paraId="48846FC8">
        <w:tc>
          <w:tcPr>
            <w:tcW w:w="2339" w:type="dxa"/>
          </w:tcPr>
          <w:p w14:paraId="6B21EF8B">
            <w:pPr>
              <w:ind w:firstLine="0"/>
              <w:jc w:val="center"/>
              <w:rPr>
                <w:sz w:val="28"/>
                <w:szCs w:val="28"/>
              </w:rPr>
            </w:pPr>
            <w:r>
              <w:rPr>
                <w:rFonts w:ascii="Times New Roman" w:hAnsi="Times New Roman"/>
                <w:sz w:val="28"/>
                <w:szCs w:val="28"/>
              </w:rPr>
              <w:t>Lockout Р1</w:t>
            </w:r>
          </w:p>
        </w:tc>
        <w:tc>
          <w:tcPr>
            <w:tcW w:w="2339" w:type="dxa"/>
          </w:tcPr>
          <w:p w14:paraId="25817FCA">
            <w:pPr>
              <w:ind w:firstLine="0"/>
              <w:jc w:val="center"/>
              <w:rPr>
                <w:sz w:val="28"/>
                <w:szCs w:val="28"/>
              </w:rPr>
            </w:pPr>
            <w:r>
              <w:rPr>
                <w:rFonts w:ascii="Times New Roman" w:hAnsi="Times New Roman"/>
                <w:sz w:val="28"/>
                <w:szCs w:val="28"/>
              </w:rPr>
              <w:t>Устройство → SCADA</w:t>
            </w:r>
          </w:p>
        </w:tc>
        <w:tc>
          <w:tcPr>
            <w:tcW w:w="2339" w:type="dxa"/>
          </w:tcPr>
          <w:p w14:paraId="11220AC7">
            <w:pPr>
              <w:ind w:firstLine="0"/>
              <w:jc w:val="center"/>
              <w:rPr>
                <w:sz w:val="28"/>
                <w:szCs w:val="28"/>
              </w:rPr>
            </w:pPr>
            <w:r>
              <w:rPr>
                <w:rFonts w:ascii="Times New Roman" w:hAnsi="Times New Roman"/>
                <w:sz w:val="28"/>
                <w:szCs w:val="28"/>
              </w:rPr>
              <w:t>Сигнал lockout, ток КЗ, число циклов АПВ</w:t>
            </w:r>
          </w:p>
        </w:tc>
        <w:tc>
          <w:tcPr>
            <w:tcW w:w="2339" w:type="dxa"/>
          </w:tcPr>
          <w:p w14:paraId="63F92BA1">
            <w:pPr>
              <w:ind w:firstLine="0"/>
              <w:jc w:val="center"/>
              <w:rPr>
                <w:sz w:val="28"/>
                <w:szCs w:val="28"/>
              </w:rPr>
            </w:pPr>
            <w:r>
              <w:rPr>
                <w:rFonts w:ascii="Times New Roman" w:hAnsi="Times New Roman"/>
                <w:sz w:val="28"/>
                <w:szCs w:val="28"/>
              </w:rPr>
              <w:t>Реклоузер Р1</w:t>
            </w:r>
          </w:p>
        </w:tc>
      </w:tr>
      <w:tr w14:paraId="01A4384D">
        <w:tc>
          <w:tcPr>
            <w:tcW w:w="2339" w:type="dxa"/>
          </w:tcPr>
          <w:p w14:paraId="2C26B12F">
            <w:pPr>
              <w:ind w:firstLine="0"/>
              <w:jc w:val="center"/>
              <w:rPr>
                <w:sz w:val="28"/>
                <w:szCs w:val="28"/>
              </w:rPr>
            </w:pPr>
            <w:r>
              <w:rPr>
                <w:rFonts w:ascii="Times New Roman" w:hAnsi="Times New Roman"/>
                <w:sz w:val="28"/>
                <w:szCs w:val="28"/>
              </w:rPr>
              <w:t>Определение секции</w:t>
            </w:r>
          </w:p>
        </w:tc>
        <w:tc>
          <w:tcPr>
            <w:tcW w:w="2339" w:type="dxa"/>
          </w:tcPr>
          <w:p w14:paraId="3EDDFAF3">
            <w:pPr>
              <w:ind w:firstLine="0"/>
              <w:jc w:val="center"/>
              <w:rPr>
                <w:sz w:val="28"/>
                <w:szCs w:val="28"/>
              </w:rPr>
            </w:pPr>
            <w:r>
              <w:rPr>
                <w:rFonts w:ascii="Times New Roman" w:hAnsi="Times New Roman"/>
                <w:sz w:val="28"/>
                <w:szCs w:val="28"/>
              </w:rPr>
              <w:t>SCADA → устройство</w:t>
            </w:r>
          </w:p>
        </w:tc>
        <w:tc>
          <w:tcPr>
            <w:tcW w:w="2339" w:type="dxa"/>
          </w:tcPr>
          <w:p w14:paraId="2D88763C">
            <w:pPr>
              <w:ind w:firstLine="0"/>
              <w:jc w:val="center"/>
              <w:rPr>
                <w:sz w:val="28"/>
                <w:szCs w:val="28"/>
              </w:rPr>
            </w:pPr>
            <w:r>
              <w:rPr>
                <w:rFonts w:ascii="Times New Roman" w:hAnsi="Times New Roman"/>
                <w:sz w:val="28"/>
                <w:szCs w:val="28"/>
              </w:rPr>
              <w:t>Запрос состояния ИКЗ</w:t>
            </w:r>
          </w:p>
        </w:tc>
        <w:tc>
          <w:tcPr>
            <w:tcW w:w="2339" w:type="dxa"/>
          </w:tcPr>
          <w:p w14:paraId="479B874E">
            <w:pPr>
              <w:ind w:firstLine="0"/>
              <w:jc w:val="center"/>
              <w:rPr>
                <w:sz w:val="28"/>
                <w:szCs w:val="28"/>
              </w:rPr>
            </w:pPr>
            <w:r>
              <w:rPr>
                <w:rFonts w:ascii="Times New Roman" w:hAnsi="Times New Roman"/>
                <w:sz w:val="28"/>
                <w:szCs w:val="28"/>
              </w:rPr>
              <w:t>ШУ РШ1…РШn</w:t>
            </w:r>
          </w:p>
        </w:tc>
      </w:tr>
      <w:tr w14:paraId="0C8CA885">
        <w:tc>
          <w:tcPr>
            <w:tcW w:w="2339" w:type="dxa"/>
          </w:tcPr>
          <w:p w14:paraId="69D9E317">
            <w:pPr>
              <w:ind w:firstLine="0"/>
              <w:jc w:val="center"/>
              <w:rPr>
                <w:sz w:val="28"/>
                <w:szCs w:val="28"/>
              </w:rPr>
            </w:pPr>
            <w:r>
              <w:rPr>
                <w:rFonts w:ascii="Times New Roman" w:hAnsi="Times New Roman"/>
                <w:sz w:val="28"/>
                <w:szCs w:val="28"/>
              </w:rPr>
              <w:t>Определение секции</w:t>
            </w:r>
          </w:p>
        </w:tc>
        <w:tc>
          <w:tcPr>
            <w:tcW w:w="2339" w:type="dxa"/>
          </w:tcPr>
          <w:p w14:paraId="7E7B996C">
            <w:pPr>
              <w:ind w:firstLine="0"/>
              <w:jc w:val="center"/>
              <w:rPr>
                <w:sz w:val="28"/>
                <w:szCs w:val="28"/>
              </w:rPr>
            </w:pPr>
            <w:r>
              <w:rPr>
                <w:rFonts w:ascii="Times New Roman" w:hAnsi="Times New Roman"/>
                <w:sz w:val="28"/>
                <w:szCs w:val="28"/>
              </w:rPr>
              <w:t>Устройство → SCADA</w:t>
            </w:r>
          </w:p>
        </w:tc>
        <w:tc>
          <w:tcPr>
            <w:tcW w:w="2339" w:type="dxa"/>
          </w:tcPr>
          <w:p w14:paraId="181D14B0">
            <w:pPr>
              <w:ind w:firstLine="0"/>
              <w:jc w:val="center"/>
              <w:rPr>
                <w:sz w:val="28"/>
                <w:szCs w:val="28"/>
              </w:rPr>
            </w:pPr>
            <w:r>
              <w:rPr>
                <w:rFonts w:ascii="Times New Roman" w:hAnsi="Times New Roman"/>
                <w:sz w:val="28"/>
                <w:szCs w:val="28"/>
              </w:rPr>
              <w:t>Ответ ИКЗ: сработал / не сработал</w:t>
            </w:r>
          </w:p>
        </w:tc>
        <w:tc>
          <w:tcPr>
            <w:tcW w:w="2339" w:type="dxa"/>
          </w:tcPr>
          <w:p w14:paraId="72A2DF51">
            <w:pPr>
              <w:ind w:firstLine="0"/>
              <w:jc w:val="center"/>
              <w:rPr>
                <w:sz w:val="28"/>
                <w:szCs w:val="28"/>
              </w:rPr>
            </w:pPr>
            <w:r>
              <w:rPr>
                <w:rFonts w:ascii="Times New Roman" w:hAnsi="Times New Roman"/>
                <w:sz w:val="28"/>
                <w:szCs w:val="28"/>
              </w:rPr>
              <w:t>ШУ РШ1…РШn</w:t>
            </w:r>
          </w:p>
        </w:tc>
      </w:tr>
      <w:tr w14:paraId="77E7B445">
        <w:tc>
          <w:tcPr>
            <w:tcW w:w="2339" w:type="dxa"/>
          </w:tcPr>
          <w:p w14:paraId="159C3788">
            <w:pPr>
              <w:ind w:firstLine="0"/>
              <w:jc w:val="center"/>
              <w:rPr>
                <w:sz w:val="28"/>
                <w:szCs w:val="28"/>
              </w:rPr>
            </w:pPr>
            <w:r>
              <w:rPr>
                <w:rFonts w:ascii="Times New Roman" w:hAnsi="Times New Roman"/>
                <w:sz w:val="28"/>
                <w:szCs w:val="28"/>
              </w:rPr>
              <w:t>Изоляция</w:t>
            </w:r>
          </w:p>
        </w:tc>
        <w:tc>
          <w:tcPr>
            <w:tcW w:w="2339" w:type="dxa"/>
          </w:tcPr>
          <w:p w14:paraId="0DB1D6A7">
            <w:pPr>
              <w:ind w:firstLine="0"/>
              <w:jc w:val="center"/>
              <w:rPr>
                <w:sz w:val="28"/>
                <w:szCs w:val="28"/>
              </w:rPr>
            </w:pPr>
            <w:r>
              <w:rPr>
                <w:rFonts w:ascii="Times New Roman" w:hAnsi="Times New Roman"/>
                <w:sz w:val="28"/>
                <w:szCs w:val="28"/>
              </w:rPr>
              <w:t>SCADA → устройство</w:t>
            </w:r>
          </w:p>
        </w:tc>
        <w:tc>
          <w:tcPr>
            <w:tcW w:w="2339" w:type="dxa"/>
          </w:tcPr>
          <w:p w14:paraId="7D54E170">
            <w:pPr>
              <w:ind w:firstLine="0"/>
              <w:jc w:val="center"/>
              <w:rPr>
                <w:sz w:val="28"/>
                <w:szCs w:val="28"/>
              </w:rPr>
            </w:pPr>
            <w:r>
              <w:rPr>
                <w:rFonts w:ascii="Times New Roman" w:hAnsi="Times New Roman"/>
                <w:sz w:val="28"/>
                <w:szCs w:val="28"/>
              </w:rPr>
              <w:t>Команда «Отключить»</w:t>
            </w:r>
          </w:p>
        </w:tc>
        <w:tc>
          <w:tcPr>
            <w:tcW w:w="2339" w:type="dxa"/>
          </w:tcPr>
          <w:p w14:paraId="3F2DA834">
            <w:pPr>
              <w:ind w:firstLine="0"/>
              <w:jc w:val="center"/>
              <w:rPr>
                <w:sz w:val="28"/>
                <w:szCs w:val="28"/>
              </w:rPr>
            </w:pPr>
            <w:r>
              <w:rPr>
                <w:rFonts w:ascii="Times New Roman" w:hAnsi="Times New Roman"/>
                <w:sz w:val="28"/>
                <w:szCs w:val="28"/>
              </w:rPr>
              <w:t>ШУ разъединителей</w:t>
            </w:r>
          </w:p>
        </w:tc>
      </w:tr>
      <w:tr w14:paraId="0C644923">
        <w:tc>
          <w:tcPr>
            <w:tcW w:w="2339" w:type="dxa"/>
          </w:tcPr>
          <w:p w14:paraId="3DF1B49D">
            <w:pPr>
              <w:ind w:firstLine="0"/>
              <w:jc w:val="center"/>
              <w:rPr>
                <w:sz w:val="28"/>
                <w:szCs w:val="28"/>
              </w:rPr>
            </w:pPr>
            <w:r>
              <w:rPr>
                <w:rFonts w:ascii="Times New Roman" w:hAnsi="Times New Roman"/>
                <w:sz w:val="28"/>
                <w:szCs w:val="28"/>
              </w:rPr>
              <w:t>Изоляция</w:t>
            </w:r>
          </w:p>
        </w:tc>
        <w:tc>
          <w:tcPr>
            <w:tcW w:w="2339" w:type="dxa"/>
          </w:tcPr>
          <w:p w14:paraId="6F6ED671">
            <w:pPr>
              <w:ind w:firstLine="0"/>
              <w:jc w:val="center"/>
              <w:rPr>
                <w:sz w:val="28"/>
                <w:szCs w:val="28"/>
              </w:rPr>
            </w:pPr>
            <w:r>
              <w:rPr>
                <w:rFonts w:ascii="Times New Roman" w:hAnsi="Times New Roman"/>
                <w:sz w:val="28"/>
                <w:szCs w:val="28"/>
              </w:rPr>
              <w:t>Устройство → SCADA</w:t>
            </w:r>
          </w:p>
        </w:tc>
        <w:tc>
          <w:tcPr>
            <w:tcW w:w="2339" w:type="dxa"/>
          </w:tcPr>
          <w:p w14:paraId="56A5D579">
            <w:pPr>
              <w:ind w:firstLine="0"/>
              <w:jc w:val="center"/>
              <w:rPr>
                <w:sz w:val="28"/>
                <w:szCs w:val="28"/>
              </w:rPr>
            </w:pPr>
            <w:r>
              <w:rPr>
                <w:rFonts w:ascii="Times New Roman" w:hAnsi="Times New Roman"/>
                <w:sz w:val="28"/>
                <w:szCs w:val="28"/>
              </w:rPr>
              <w:t>Квитанция: отключён, время, положение</w:t>
            </w:r>
          </w:p>
        </w:tc>
        <w:tc>
          <w:tcPr>
            <w:tcW w:w="2339" w:type="dxa"/>
          </w:tcPr>
          <w:p w14:paraId="0C5923BA">
            <w:pPr>
              <w:ind w:firstLine="0"/>
              <w:jc w:val="center"/>
              <w:rPr>
                <w:sz w:val="28"/>
                <w:szCs w:val="28"/>
              </w:rPr>
            </w:pPr>
            <w:r>
              <w:rPr>
                <w:rFonts w:ascii="Times New Roman" w:hAnsi="Times New Roman"/>
                <w:sz w:val="28"/>
                <w:szCs w:val="28"/>
              </w:rPr>
              <w:t>ШУ разъединителей</w:t>
            </w:r>
          </w:p>
        </w:tc>
      </w:tr>
      <w:tr w14:paraId="1509985C">
        <w:tc>
          <w:tcPr>
            <w:tcW w:w="2339" w:type="dxa"/>
          </w:tcPr>
          <w:p w14:paraId="532B3D65">
            <w:pPr>
              <w:ind w:firstLine="0"/>
              <w:jc w:val="center"/>
              <w:rPr>
                <w:sz w:val="28"/>
                <w:szCs w:val="28"/>
              </w:rPr>
            </w:pPr>
            <w:r>
              <w:rPr>
                <w:rFonts w:ascii="Times New Roman" w:hAnsi="Times New Roman"/>
                <w:sz w:val="28"/>
                <w:szCs w:val="28"/>
              </w:rPr>
              <w:t>Восст. вышележащих</w:t>
            </w:r>
          </w:p>
        </w:tc>
        <w:tc>
          <w:tcPr>
            <w:tcW w:w="2339" w:type="dxa"/>
          </w:tcPr>
          <w:p w14:paraId="73EB02FA">
            <w:pPr>
              <w:ind w:firstLine="0"/>
              <w:jc w:val="center"/>
              <w:rPr>
                <w:sz w:val="28"/>
                <w:szCs w:val="28"/>
              </w:rPr>
            </w:pPr>
            <w:r>
              <w:rPr>
                <w:rFonts w:ascii="Times New Roman" w:hAnsi="Times New Roman"/>
                <w:sz w:val="28"/>
                <w:szCs w:val="28"/>
              </w:rPr>
              <w:t>SCADA → устройство</w:t>
            </w:r>
          </w:p>
        </w:tc>
        <w:tc>
          <w:tcPr>
            <w:tcW w:w="2339" w:type="dxa"/>
          </w:tcPr>
          <w:p w14:paraId="200B8BD1">
            <w:pPr>
              <w:ind w:firstLine="0"/>
              <w:jc w:val="center"/>
              <w:rPr>
                <w:sz w:val="28"/>
                <w:szCs w:val="28"/>
              </w:rPr>
            </w:pPr>
            <w:r>
              <w:rPr>
                <w:rFonts w:ascii="Times New Roman" w:hAnsi="Times New Roman"/>
                <w:sz w:val="28"/>
                <w:szCs w:val="28"/>
              </w:rPr>
              <w:t>Команда «Включить»</w:t>
            </w:r>
          </w:p>
        </w:tc>
        <w:tc>
          <w:tcPr>
            <w:tcW w:w="2339" w:type="dxa"/>
          </w:tcPr>
          <w:p w14:paraId="5316EE9B">
            <w:pPr>
              <w:ind w:firstLine="0"/>
              <w:jc w:val="center"/>
              <w:rPr>
                <w:sz w:val="28"/>
                <w:szCs w:val="28"/>
              </w:rPr>
            </w:pPr>
            <w:r>
              <w:rPr>
                <w:rFonts w:ascii="Times New Roman" w:hAnsi="Times New Roman"/>
                <w:sz w:val="28"/>
                <w:szCs w:val="28"/>
              </w:rPr>
              <w:t>Реклоузер Р1</w:t>
            </w:r>
          </w:p>
        </w:tc>
      </w:tr>
      <w:tr w14:paraId="60615F59">
        <w:tc>
          <w:tcPr>
            <w:tcW w:w="2339" w:type="dxa"/>
          </w:tcPr>
          <w:p w14:paraId="3D1C079B">
            <w:pPr>
              <w:ind w:firstLine="0"/>
              <w:jc w:val="center"/>
              <w:rPr>
                <w:sz w:val="28"/>
                <w:szCs w:val="28"/>
              </w:rPr>
            </w:pPr>
            <w:r>
              <w:rPr>
                <w:rFonts w:ascii="Times New Roman" w:hAnsi="Times New Roman"/>
                <w:sz w:val="28"/>
                <w:szCs w:val="28"/>
              </w:rPr>
              <w:t>Восст. вышележащих</w:t>
            </w:r>
          </w:p>
        </w:tc>
        <w:tc>
          <w:tcPr>
            <w:tcW w:w="2339" w:type="dxa"/>
          </w:tcPr>
          <w:p w14:paraId="7F91F0FC">
            <w:pPr>
              <w:ind w:firstLine="0"/>
              <w:jc w:val="center"/>
              <w:rPr>
                <w:sz w:val="28"/>
                <w:szCs w:val="28"/>
              </w:rPr>
            </w:pPr>
            <w:r>
              <w:rPr>
                <w:rFonts w:ascii="Times New Roman" w:hAnsi="Times New Roman"/>
                <w:sz w:val="28"/>
                <w:szCs w:val="28"/>
              </w:rPr>
              <w:t>Устройство → SCADA</w:t>
            </w:r>
          </w:p>
        </w:tc>
        <w:tc>
          <w:tcPr>
            <w:tcW w:w="2339" w:type="dxa"/>
          </w:tcPr>
          <w:p w14:paraId="2E7682FB">
            <w:pPr>
              <w:ind w:firstLine="0"/>
              <w:jc w:val="center"/>
              <w:rPr>
                <w:sz w:val="28"/>
                <w:szCs w:val="28"/>
              </w:rPr>
            </w:pPr>
            <w:r>
              <w:rPr>
                <w:rFonts w:ascii="Times New Roman" w:hAnsi="Times New Roman"/>
                <w:sz w:val="28"/>
                <w:szCs w:val="28"/>
              </w:rPr>
              <w:t>Подтверждение включения, ток нагрузки</w:t>
            </w:r>
          </w:p>
        </w:tc>
        <w:tc>
          <w:tcPr>
            <w:tcW w:w="2339" w:type="dxa"/>
          </w:tcPr>
          <w:p w14:paraId="55A67CED">
            <w:pPr>
              <w:ind w:firstLine="0"/>
              <w:jc w:val="center"/>
              <w:rPr>
                <w:sz w:val="28"/>
                <w:szCs w:val="28"/>
              </w:rPr>
            </w:pPr>
            <w:r>
              <w:rPr>
                <w:rFonts w:ascii="Times New Roman" w:hAnsi="Times New Roman"/>
                <w:sz w:val="28"/>
                <w:szCs w:val="28"/>
              </w:rPr>
              <w:t>Реклоузер Р1</w:t>
            </w:r>
          </w:p>
        </w:tc>
      </w:tr>
      <w:tr w14:paraId="6A9EE1D5">
        <w:tc>
          <w:tcPr>
            <w:tcW w:w="2339" w:type="dxa"/>
          </w:tcPr>
          <w:p w14:paraId="265592D0">
            <w:pPr>
              <w:ind w:firstLine="0"/>
              <w:jc w:val="center"/>
              <w:rPr>
                <w:sz w:val="28"/>
                <w:szCs w:val="28"/>
              </w:rPr>
            </w:pPr>
            <w:r>
              <w:rPr>
                <w:rFonts w:ascii="Times New Roman" w:hAnsi="Times New Roman"/>
                <w:sz w:val="28"/>
                <w:szCs w:val="28"/>
              </w:rPr>
              <w:t>АВР нижележащих</w:t>
            </w:r>
          </w:p>
        </w:tc>
        <w:tc>
          <w:tcPr>
            <w:tcW w:w="2339" w:type="dxa"/>
          </w:tcPr>
          <w:p w14:paraId="7C72719E">
            <w:pPr>
              <w:ind w:firstLine="0"/>
              <w:jc w:val="center"/>
              <w:rPr>
                <w:sz w:val="28"/>
                <w:szCs w:val="28"/>
              </w:rPr>
            </w:pPr>
            <w:r>
              <w:rPr>
                <w:rFonts w:ascii="Times New Roman" w:hAnsi="Times New Roman"/>
                <w:sz w:val="28"/>
                <w:szCs w:val="28"/>
              </w:rPr>
              <w:t>SCADA → устройство</w:t>
            </w:r>
          </w:p>
        </w:tc>
        <w:tc>
          <w:tcPr>
            <w:tcW w:w="2339" w:type="dxa"/>
          </w:tcPr>
          <w:p w14:paraId="57D01FAA">
            <w:pPr>
              <w:ind w:firstLine="0"/>
              <w:jc w:val="center"/>
              <w:rPr>
                <w:sz w:val="28"/>
                <w:szCs w:val="28"/>
              </w:rPr>
            </w:pPr>
            <w:r>
              <w:rPr>
                <w:rFonts w:ascii="Times New Roman" w:hAnsi="Times New Roman"/>
                <w:sz w:val="28"/>
                <w:szCs w:val="28"/>
              </w:rPr>
              <w:t>Команда «Включить НР»</w:t>
            </w:r>
          </w:p>
        </w:tc>
        <w:tc>
          <w:tcPr>
            <w:tcW w:w="2339" w:type="dxa"/>
          </w:tcPr>
          <w:p w14:paraId="76639F21">
            <w:pPr>
              <w:ind w:firstLine="0"/>
              <w:jc w:val="center"/>
              <w:rPr>
                <w:sz w:val="28"/>
                <w:szCs w:val="28"/>
              </w:rPr>
            </w:pPr>
            <w:r>
              <w:rPr>
                <w:rFonts w:ascii="Times New Roman" w:hAnsi="Times New Roman"/>
                <w:sz w:val="28"/>
                <w:szCs w:val="28"/>
              </w:rPr>
              <w:t>ШУ НР</w:t>
            </w:r>
          </w:p>
        </w:tc>
      </w:tr>
      <w:tr w14:paraId="71F22D24">
        <w:tc>
          <w:tcPr>
            <w:tcW w:w="2339" w:type="dxa"/>
          </w:tcPr>
          <w:p w14:paraId="668F3045">
            <w:pPr>
              <w:ind w:firstLine="0"/>
              <w:jc w:val="center"/>
              <w:rPr>
                <w:sz w:val="28"/>
                <w:szCs w:val="28"/>
              </w:rPr>
            </w:pPr>
            <w:r>
              <w:rPr>
                <w:rFonts w:ascii="Times New Roman" w:hAnsi="Times New Roman"/>
                <w:sz w:val="28"/>
                <w:szCs w:val="28"/>
              </w:rPr>
              <w:t>АВР нижележащих</w:t>
            </w:r>
          </w:p>
        </w:tc>
        <w:tc>
          <w:tcPr>
            <w:tcW w:w="2339" w:type="dxa"/>
          </w:tcPr>
          <w:p w14:paraId="660CF8E0">
            <w:pPr>
              <w:ind w:firstLine="0"/>
              <w:jc w:val="center"/>
              <w:rPr>
                <w:sz w:val="28"/>
                <w:szCs w:val="28"/>
              </w:rPr>
            </w:pPr>
            <w:r>
              <w:rPr>
                <w:rFonts w:ascii="Times New Roman" w:hAnsi="Times New Roman"/>
                <w:sz w:val="28"/>
                <w:szCs w:val="28"/>
              </w:rPr>
              <w:t>Устройство → SCADA</w:t>
            </w:r>
          </w:p>
        </w:tc>
        <w:tc>
          <w:tcPr>
            <w:tcW w:w="2339" w:type="dxa"/>
          </w:tcPr>
          <w:p w14:paraId="5217CA5A">
            <w:pPr>
              <w:ind w:firstLine="0"/>
              <w:jc w:val="center"/>
              <w:rPr>
                <w:sz w:val="28"/>
                <w:szCs w:val="28"/>
              </w:rPr>
            </w:pPr>
            <w:r>
              <w:rPr>
                <w:rFonts w:ascii="Times New Roman" w:hAnsi="Times New Roman"/>
                <w:sz w:val="28"/>
                <w:szCs w:val="28"/>
              </w:rPr>
              <w:t>Квитанция: включён, напряжение, ток</w:t>
            </w:r>
          </w:p>
        </w:tc>
        <w:tc>
          <w:tcPr>
            <w:tcW w:w="2339" w:type="dxa"/>
          </w:tcPr>
          <w:p w14:paraId="7AC73A6E">
            <w:pPr>
              <w:ind w:firstLine="0"/>
              <w:jc w:val="center"/>
              <w:rPr>
                <w:sz w:val="28"/>
                <w:szCs w:val="28"/>
              </w:rPr>
            </w:pPr>
            <w:r>
              <w:rPr>
                <w:rFonts w:ascii="Times New Roman" w:hAnsi="Times New Roman"/>
                <w:sz w:val="28"/>
                <w:szCs w:val="28"/>
              </w:rPr>
              <w:t>ШУ НР</w:t>
            </w:r>
          </w:p>
        </w:tc>
      </w:tr>
      <w:tr w14:paraId="5BC0F661">
        <w:tc>
          <w:tcPr>
            <w:tcW w:w="2339" w:type="dxa"/>
          </w:tcPr>
          <w:p w14:paraId="4BB3A1C6">
            <w:pPr>
              <w:ind w:firstLine="0"/>
              <w:jc w:val="center"/>
              <w:rPr>
                <w:sz w:val="28"/>
                <w:szCs w:val="28"/>
              </w:rPr>
            </w:pPr>
            <w:r>
              <w:rPr>
                <w:rFonts w:ascii="Times New Roman" w:hAnsi="Times New Roman"/>
                <w:sz w:val="28"/>
                <w:szCs w:val="28"/>
              </w:rPr>
              <w:t>Контроль режима</w:t>
            </w:r>
          </w:p>
        </w:tc>
        <w:tc>
          <w:tcPr>
            <w:tcW w:w="2339" w:type="dxa"/>
          </w:tcPr>
          <w:p w14:paraId="6F85E82D">
            <w:pPr>
              <w:ind w:firstLine="0"/>
              <w:jc w:val="center"/>
              <w:rPr>
                <w:sz w:val="28"/>
                <w:szCs w:val="28"/>
              </w:rPr>
            </w:pPr>
            <w:r>
              <w:rPr>
                <w:rFonts w:ascii="Times New Roman" w:hAnsi="Times New Roman"/>
                <w:sz w:val="28"/>
                <w:szCs w:val="28"/>
              </w:rPr>
              <w:t>Устройство → SCADA</w:t>
            </w:r>
          </w:p>
        </w:tc>
        <w:tc>
          <w:tcPr>
            <w:tcW w:w="2339" w:type="dxa"/>
          </w:tcPr>
          <w:p w14:paraId="29B9D81F">
            <w:pPr>
              <w:ind w:firstLine="0"/>
              <w:jc w:val="center"/>
              <w:rPr>
                <w:sz w:val="28"/>
                <w:szCs w:val="28"/>
              </w:rPr>
            </w:pPr>
            <w:r>
              <w:rPr>
                <w:rFonts w:ascii="Times New Roman" w:hAnsi="Times New Roman"/>
                <w:sz w:val="28"/>
                <w:szCs w:val="28"/>
              </w:rPr>
              <w:t>Телеметрия: U, I, cos φ</w:t>
            </w:r>
          </w:p>
        </w:tc>
        <w:tc>
          <w:tcPr>
            <w:tcW w:w="2339" w:type="dxa"/>
          </w:tcPr>
          <w:p w14:paraId="29141B77">
            <w:pPr>
              <w:ind w:firstLine="0"/>
              <w:jc w:val="center"/>
              <w:rPr>
                <w:sz w:val="28"/>
                <w:szCs w:val="28"/>
              </w:rPr>
            </w:pPr>
            <w:r>
              <w:rPr>
                <w:rFonts w:ascii="Times New Roman" w:hAnsi="Times New Roman"/>
                <w:sz w:val="28"/>
                <w:szCs w:val="28"/>
              </w:rPr>
              <w:t>Все устройства фидера</w:t>
            </w:r>
          </w:p>
        </w:tc>
      </w:tr>
      <w:tr w14:paraId="522C8094">
        <w:tc>
          <w:tcPr>
            <w:tcW w:w="2339" w:type="dxa"/>
          </w:tcPr>
          <w:p w14:paraId="5035B5A2">
            <w:pPr>
              <w:ind w:firstLine="0"/>
              <w:jc w:val="center"/>
              <w:rPr>
                <w:sz w:val="28"/>
                <w:szCs w:val="28"/>
              </w:rPr>
            </w:pPr>
            <w:r>
              <w:rPr>
                <w:rFonts w:ascii="Times New Roman" w:hAnsi="Times New Roman"/>
                <w:sz w:val="28"/>
                <w:szCs w:val="28"/>
              </w:rPr>
              <w:t>АВНР</w:t>
            </w:r>
          </w:p>
        </w:tc>
        <w:tc>
          <w:tcPr>
            <w:tcW w:w="2339" w:type="dxa"/>
          </w:tcPr>
          <w:p w14:paraId="00CFADA2">
            <w:pPr>
              <w:ind w:firstLine="0"/>
              <w:jc w:val="center"/>
              <w:rPr>
                <w:sz w:val="28"/>
                <w:szCs w:val="28"/>
              </w:rPr>
            </w:pPr>
            <w:r>
              <w:rPr>
                <w:rFonts w:ascii="Times New Roman" w:hAnsi="Times New Roman"/>
                <w:sz w:val="28"/>
                <w:szCs w:val="28"/>
              </w:rPr>
              <w:t>SCADA → устройство</w:t>
            </w:r>
          </w:p>
        </w:tc>
        <w:tc>
          <w:tcPr>
            <w:tcW w:w="2339" w:type="dxa"/>
          </w:tcPr>
          <w:p w14:paraId="2B05F91A">
            <w:pPr>
              <w:ind w:firstLine="0"/>
              <w:jc w:val="center"/>
              <w:rPr>
                <w:sz w:val="28"/>
                <w:szCs w:val="28"/>
              </w:rPr>
            </w:pPr>
            <w:r>
              <w:rPr>
                <w:rFonts w:ascii="Times New Roman" w:hAnsi="Times New Roman"/>
                <w:sz w:val="28"/>
                <w:szCs w:val="28"/>
              </w:rPr>
              <w:t>Последовательность: откл. НР, вкл. РШ, вкл. Р1</w:t>
            </w:r>
          </w:p>
        </w:tc>
        <w:tc>
          <w:tcPr>
            <w:tcW w:w="2339" w:type="dxa"/>
          </w:tcPr>
          <w:p w14:paraId="4031C11D">
            <w:pPr>
              <w:ind w:firstLine="0"/>
              <w:jc w:val="center"/>
              <w:rPr>
                <w:sz w:val="28"/>
                <w:szCs w:val="28"/>
              </w:rPr>
            </w:pPr>
            <w:r>
              <w:rPr>
                <w:rFonts w:ascii="Times New Roman" w:hAnsi="Times New Roman"/>
                <w:sz w:val="28"/>
                <w:szCs w:val="28"/>
              </w:rPr>
              <w:t>ШУ НР, ШУ РШ, Р1</w:t>
            </w:r>
          </w:p>
        </w:tc>
      </w:tr>
    </w:tbl>
    <w:p w14:paraId="745D9DCD">
      <w:pPr>
        <w:spacing w:before="120"/>
        <w:ind w:firstLine="0"/>
      </w:pPr>
    </w:p>
    <w:p w14:paraId="6E2BB1AB">
      <w:pPr>
        <w:spacing w:line="360" w:lineRule="auto"/>
        <w:ind w:firstLine="709"/>
        <w:jc w:val="both"/>
      </w:pPr>
      <w:r>
        <w:rPr>
          <w:rFonts w:ascii="Times New Roman" w:hAnsi="Times New Roman"/>
          <w:sz w:val="28"/>
        </w:rPr>
        <w:t>Из таблицы 5.1 видно, что каждый этап восстановления сопровождается двусторонним обменом: SCADA передаёт команду и получает подтверждение выполнения. Переход к следующему этапу возможен только после получения положительной квитанции, что обеспечива</w:t>
      </w:r>
      <w:bookmarkStart w:id="0" w:name="_GoBack"/>
      <w:bookmarkEnd w:id="0"/>
      <w:r>
        <w:rPr>
          <w:rFonts w:ascii="Times New Roman" w:hAnsi="Times New Roman"/>
          <w:sz w:val="28"/>
        </w:rPr>
        <w:t>ет детерминированность и предсказуемость алгоритма.</w:t>
      </w:r>
    </w:p>
    <w:p w14:paraId="30F9C89C">
      <w:pPr>
        <w:spacing w:line="360" w:lineRule="auto"/>
        <w:ind w:firstLine="709"/>
        <w:jc w:val="both"/>
      </w:pPr>
      <w:r>
        <w:t>Совокупность алгоритмов секционирования (раздел 2.2) и восстановления (раздел 2.3) образует замкнутый цикл обработки аварийных ситуаций в распределительной сети 6–10 кВ: обнаружение и локализация повреждения, изоляция повреждённого участка, восстановление питания неповреждённых секций, возврат к нормальному режиму после ремонта. Автоматическое выполнение цикла сокращает время перерыва электроснабжения с нескольких часов до 20–60 с, что повышает показатели надёжности SAIDI и SAIFI на 40–60 % по сравнению с ручным секционированием.</w:t>
      </w:r>
    </w:p>
    <w:sectPr>
      <w:footerReference r:id="rId5" w:type="default"/>
      <w:pgSz w:w="11906" w:h="16838"/>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Times New Roman Bold">
    <w:panose1 w:val="02020603050405020304"/>
    <w:charset w:val="00"/>
    <w:family w:val="auto"/>
    <w:pitch w:val="default"/>
    <w:sig w:usb0="E0002AEF" w:usb1="C0007841" w:usb2="00000009" w:usb3="00000000" w:csb0="400001FF" w:csb1="FFF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35C8A">
    <w:pPr>
      <w:pStyle w:val="18"/>
      <w:ind w:firstLine="0"/>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FAE50C"/>
    <w:rsid w:val="B78FDC8C"/>
    <w:rsid w:val="FF0F0A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709"/>
      <w:jc w:val="both"/>
    </w:pPr>
    <w:rPr>
      <w:rFonts w:ascii="Times New Roman" w:hAnsi="Times New Roman" w:eastAsiaTheme="minorEastAsia" w:cstheme="minorBidi"/>
      <w:color w:val="000000"/>
      <w:sz w:val="2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2013-12-22T23:15:00Z</dcterms:created>
  <dc:creator>python-docx</dc:creator>
  <dc:description>generated by python-docx</dc:description>
  <cp:lastModifiedBy>m</cp:lastModifiedBy>
  <dcterms:modified xsi:type="dcterms:W3CDTF">2026-03-27T07:14:16Z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06F1B1561719E1CA1083C6692F4AD420_42</vt:lpwstr>
  </property>
</Properties>
</file>