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07BD1">
      <w:pPr>
        <w:spacing w:after="240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2.4 Структурные схемы дистанционного управления реклоузерами и разъединителями</w:t>
      </w:r>
    </w:p>
    <w:p w14:paraId="4AFB1CC4">
      <w:pPr>
        <w:spacing w:before="240" w:after="120"/>
        <w:ind w:firstLine="709"/>
        <w:jc w:val="both"/>
      </w:pPr>
      <w:r>
        <w:t>Структурная схема управления реклоузером.</w:t>
      </w:r>
    </w:p>
    <w:p w14:paraId="7ACD1BA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Дистанционное управление коммутационными аппаратами автоматизированного участка распределительной сети 6–10 кВ реализуется через многоуровневую систему телемеханики, передающую команды управления от оператора к исполнительным устройствам и возвращающую телеметрическую информацию о состоянии оборудования в обратном направлении. Архитектура строится по иерархическому принципу: полевой уровень (измерительные преобразователи, моторные приводы), контроллеры RTU, коммуникационная среда, сервер SCADA и рабочие места операторов HMI [18].</w:t>
      </w:r>
    </w:p>
    <w:p w14:paraId="7FA2856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Контроллер RTU устанавливается в шкафу управления каждого реклоузера или разъединителя и выполняет аналого-цифровое преобразование сигналов от трансформаторов тока и напряжения, обработку дискретных входов от датчиков положения контактов и индикаторов короткого замыкания, формирование команд управления моторными приводами и обмен данными с вышестоящим уровнем по цифровым протоколам связи. Принципиальная особенность контроллеров RTU заключается в их способности автономно выполнять локальные алгоритмы защит (МТЗ, ТО, ОЗЗ, АПВ) при потере связи с сервером SCADA, что гарантирует работоспособность защит при отказе каналов связи [19].</w:t>
      </w:r>
    </w:p>
    <w:p w14:paraId="0A85F3C9">
      <w:pPr>
        <w:spacing w:line="360" w:lineRule="auto"/>
        <w:ind w:firstLine="709"/>
        <w:jc w:val="both"/>
      </w:pPr>
      <w:r>
        <w:t>Структурная схема системы мониторинга и управления автоматизированным участком ВЛ 6–10 кВ представлена на рисунке 2.1.</w:t>
      </w:r>
    </w:p>
    <w:p w14:paraId="54BDA91C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4559935"/>
            <wp:effectExtent l="0" t="0" r="1079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A378">
      <w:pPr>
        <w:spacing w:after="240"/>
        <w:ind w:firstLine="0"/>
        <w:jc w:val="center"/>
      </w:pPr>
      <w:r>
        <w:t>Рисунок 2.1 – Архитектура системы мониторинга ВЛ 6–10 кВ</w:t>
      </w:r>
    </w:p>
    <w:p w14:paraId="1174DC31">
      <w:pPr>
        <w:spacing w:before="240" w:after="120"/>
        <w:ind w:firstLine="709"/>
        <w:jc w:val="both"/>
      </w:pPr>
      <w:r>
        <w:t>Каналы связи и протоколы телемеханики.</w:t>
      </w:r>
    </w:p>
    <w:p w14:paraId="119D75AC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Надёжность и быстродействие дистанционного управления определяются характеристиками каналов связи и протоколов телемеханики. Для автоматизированных участков распределительных сетей 6–10 кВ основным каналом связи служит Ethernet по волоконно-оптическим линиям связи (ВОЛС), а резервным — каналы сотовой связи GSM/GPRS или LTE [22]. ВОЛС обеспечивает пропускную способность до 1 Гбит/с, задержку менее 10 мс, невосприимчивость к электромагнитным помехам и дальность до 80 км без ретрансляции при использовании одномодового волокна. Основной недостаток ВОЛС — высокая стоимость прокладки в условиях разветвлённой трассы воздушных линий.</w:t>
      </w:r>
    </w:p>
    <w:p w14:paraId="6D6AE2AE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Каналы GSM/GPRS обеспечивают пропускную способность до 171,2 кбит/с и покрытие практически на всей территории Российской Федерации [29]. Задержка передачи по GPRS составляет 500–1500 мс — допустимо для телеизмерений и телесигнализации, но критично для команд телеуправления, требующих гарантированного времени доставки [17]. Для повышения надёжности рекомендуется использование SIM-карт двух операторов с автоматическим переключением при потере связи с основным оператором [23].</w:t>
      </w:r>
    </w:p>
    <w:p w14:paraId="380146A1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Выбор протокола телемеханики определяется функциональными требованиями к системе. Протокол Modbus TCP [20] реализует модель «клиент–сервер» и является наиболее распространённым решением благодаря простоте реализации, широкой поддержке производителями оборудования и открытости спецификации; его недостатки — ограниченные средства диагностики канала и отсутствие механизмов временной синхронизации. Протокол МЭК 60870-5-104 [18] поддерживает спонтанную передачу данных по изменению, временные метки событий с точностью до 1 мс и механизмы контроля целостности канала; рекомендуется в качестве основного протокола обмена между SCADA и RTU. Протокол МЭК 61850 [19] обеспечивает горизонтальную коммуникацию между IED посредством GOOSE-сообщений и позволяет реализовать распределённые алгоритмы автоматики без участия центрального сервера; его внедрение требует значительных инвестиций в инфраструктуру и квалификацию персонала, поэтому применяется преимущественно на вновь проектируемых цифровых подстанциях.</w:t>
      </w:r>
    </w:p>
    <w:p w14:paraId="571C6231">
      <w:pPr>
        <w:spacing w:before="240" w:after="120"/>
        <w:ind w:firstLine="0"/>
        <w:jc w:val="left"/>
      </w:pPr>
      <w:r>
        <w:t>Таблица 2.4 – Параметры каналов связи для систем телемеханики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2008"/>
        <w:gridCol w:w="1864"/>
        <w:gridCol w:w="1864"/>
        <w:gridCol w:w="1864"/>
      </w:tblGrid>
      <w:tr w14:paraId="24A6ED7C">
        <w:tc>
          <w:tcPr>
            <w:tcW w:w="1871" w:type="dxa"/>
          </w:tcPr>
          <w:p w14:paraId="062E7B27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Параметр</w:t>
            </w:r>
          </w:p>
        </w:tc>
        <w:tc>
          <w:tcPr>
            <w:tcW w:w="1871" w:type="dxa"/>
          </w:tcPr>
          <w:p w14:paraId="49086EA5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Ethernet/ВОЛС</w:t>
            </w:r>
          </w:p>
        </w:tc>
        <w:tc>
          <w:tcPr>
            <w:tcW w:w="1871" w:type="dxa"/>
          </w:tcPr>
          <w:p w14:paraId="1DDEE653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GSM/GPRS</w:t>
            </w:r>
          </w:p>
        </w:tc>
        <w:tc>
          <w:tcPr>
            <w:tcW w:w="1871" w:type="dxa"/>
          </w:tcPr>
          <w:p w14:paraId="26DC34A1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3G/LTE</w:t>
            </w:r>
          </w:p>
        </w:tc>
        <w:tc>
          <w:tcPr>
            <w:tcW w:w="1871" w:type="dxa"/>
          </w:tcPr>
          <w:p w14:paraId="799F03F4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Радиоканал</w:t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UHF</w:t>
            </w:r>
          </w:p>
        </w:tc>
      </w:tr>
      <w:tr w14:paraId="32242F0F">
        <w:tc>
          <w:tcPr>
            <w:tcW w:w="1871" w:type="dxa"/>
          </w:tcPr>
          <w:p w14:paraId="3241CEA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Пропускная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способность</w:t>
            </w:r>
          </w:p>
        </w:tc>
        <w:tc>
          <w:tcPr>
            <w:tcW w:w="1871" w:type="dxa"/>
          </w:tcPr>
          <w:p w14:paraId="1A920E0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 Мбит/с –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1 Гбит/с</w:t>
            </w:r>
          </w:p>
        </w:tc>
        <w:tc>
          <w:tcPr>
            <w:tcW w:w="1871" w:type="dxa"/>
          </w:tcPr>
          <w:p w14:paraId="4535647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56–171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кбит/с</w:t>
            </w:r>
          </w:p>
        </w:tc>
        <w:tc>
          <w:tcPr>
            <w:tcW w:w="1871" w:type="dxa"/>
          </w:tcPr>
          <w:p w14:paraId="13189AA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2–100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Мбит/с</w:t>
            </w:r>
          </w:p>
        </w:tc>
        <w:tc>
          <w:tcPr>
            <w:tcW w:w="1871" w:type="dxa"/>
          </w:tcPr>
          <w:p w14:paraId="38CDEA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9,6–19,2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кбит/с</w:t>
            </w:r>
          </w:p>
        </w:tc>
      </w:tr>
      <w:tr w14:paraId="20B734DA">
        <w:tc>
          <w:tcPr>
            <w:tcW w:w="1871" w:type="dxa"/>
          </w:tcPr>
          <w:p w14:paraId="7EF00F8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Задержка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передачи</w:t>
            </w:r>
          </w:p>
        </w:tc>
        <w:tc>
          <w:tcPr>
            <w:tcW w:w="1871" w:type="dxa"/>
          </w:tcPr>
          <w:p w14:paraId="4358A80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&lt; 10 мс</w:t>
            </w:r>
          </w:p>
        </w:tc>
        <w:tc>
          <w:tcPr>
            <w:tcW w:w="1871" w:type="dxa"/>
          </w:tcPr>
          <w:p w14:paraId="1C68B35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500–1500 мс</w:t>
            </w:r>
          </w:p>
        </w:tc>
        <w:tc>
          <w:tcPr>
            <w:tcW w:w="1871" w:type="dxa"/>
          </w:tcPr>
          <w:p w14:paraId="77FBC25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50–200 мс</w:t>
            </w:r>
          </w:p>
        </w:tc>
        <w:tc>
          <w:tcPr>
            <w:tcW w:w="1871" w:type="dxa"/>
          </w:tcPr>
          <w:p w14:paraId="6E2765CE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100–500 мс</w:t>
            </w:r>
          </w:p>
        </w:tc>
      </w:tr>
      <w:tr w14:paraId="134FCB78">
        <w:tc>
          <w:tcPr>
            <w:tcW w:w="1871" w:type="dxa"/>
          </w:tcPr>
          <w:p w14:paraId="3EA06A1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Надёжность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(доступность)</w:t>
            </w:r>
          </w:p>
        </w:tc>
        <w:tc>
          <w:tcPr>
            <w:tcW w:w="1871" w:type="dxa"/>
          </w:tcPr>
          <w:p w14:paraId="678F2F7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99,99 %</w:t>
            </w:r>
          </w:p>
        </w:tc>
        <w:tc>
          <w:tcPr>
            <w:tcW w:w="1871" w:type="dxa"/>
          </w:tcPr>
          <w:p w14:paraId="413ED4B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99,0–99,5 %</w:t>
            </w:r>
          </w:p>
        </w:tc>
        <w:tc>
          <w:tcPr>
            <w:tcW w:w="1871" w:type="dxa"/>
          </w:tcPr>
          <w:p w14:paraId="3BDEC52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99,5–99,9 %</w:t>
            </w:r>
          </w:p>
        </w:tc>
        <w:tc>
          <w:tcPr>
            <w:tcW w:w="1871" w:type="dxa"/>
          </w:tcPr>
          <w:p w14:paraId="7C510D2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99,5–99,9 %</w:t>
            </w:r>
          </w:p>
        </w:tc>
      </w:tr>
      <w:tr w14:paraId="11A42D40">
        <w:tc>
          <w:tcPr>
            <w:tcW w:w="1871" w:type="dxa"/>
          </w:tcPr>
          <w:p w14:paraId="35B56C6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Дальность без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ретрансляции</w:t>
            </w:r>
          </w:p>
        </w:tc>
        <w:tc>
          <w:tcPr>
            <w:tcW w:w="1871" w:type="dxa"/>
          </w:tcPr>
          <w:p w14:paraId="46A8C61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 80 км</w:t>
            </w:r>
          </w:p>
        </w:tc>
        <w:tc>
          <w:tcPr>
            <w:tcW w:w="1871" w:type="dxa"/>
          </w:tcPr>
          <w:p w14:paraId="3B2FFE7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зона покрытия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оператора</w:t>
            </w:r>
          </w:p>
        </w:tc>
        <w:tc>
          <w:tcPr>
            <w:tcW w:w="1871" w:type="dxa"/>
          </w:tcPr>
          <w:p w14:paraId="69ADF68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зона покрытия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оператора</w:t>
            </w:r>
          </w:p>
        </w:tc>
        <w:tc>
          <w:tcPr>
            <w:tcW w:w="1871" w:type="dxa"/>
          </w:tcPr>
          <w:p w14:paraId="6D6E524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10–30 км</w:t>
            </w:r>
          </w:p>
        </w:tc>
      </w:tr>
      <w:tr w14:paraId="4595D5AE">
        <w:tc>
          <w:tcPr>
            <w:tcW w:w="1871" w:type="dxa"/>
          </w:tcPr>
          <w:p w14:paraId="03B2A48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Помехо-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защищённость</w:t>
            </w:r>
          </w:p>
        </w:tc>
        <w:tc>
          <w:tcPr>
            <w:tcW w:w="1871" w:type="dxa"/>
          </w:tcPr>
          <w:p w14:paraId="5DC29E6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1871" w:type="dxa"/>
          </w:tcPr>
          <w:p w14:paraId="18876E4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871" w:type="dxa"/>
          </w:tcPr>
          <w:p w14:paraId="07AB2D7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871" w:type="dxa"/>
          </w:tcPr>
          <w:p w14:paraId="1E8253C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</w:tr>
      <w:tr w14:paraId="40A383B6">
        <w:tc>
          <w:tcPr>
            <w:tcW w:w="1871" w:type="dxa"/>
          </w:tcPr>
          <w:p w14:paraId="39C0C5D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Стоимость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внедрения</w:t>
            </w:r>
          </w:p>
        </w:tc>
        <w:tc>
          <w:tcPr>
            <w:tcW w:w="1871" w:type="dxa"/>
          </w:tcPr>
          <w:p w14:paraId="6BD0D37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1871" w:type="dxa"/>
          </w:tcPr>
          <w:p w14:paraId="4F7437A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1871" w:type="dxa"/>
          </w:tcPr>
          <w:p w14:paraId="4F1CF46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871" w:type="dxa"/>
          </w:tcPr>
          <w:p w14:paraId="7BB8FA1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</w:tr>
      <w:tr w14:paraId="4A0C543E">
        <w:tc>
          <w:tcPr>
            <w:tcW w:w="1871" w:type="dxa"/>
          </w:tcPr>
          <w:p w14:paraId="717D28F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Эксплуат.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расходы</w:t>
            </w:r>
          </w:p>
        </w:tc>
        <w:tc>
          <w:tcPr>
            <w:tcW w:w="1871" w:type="dxa"/>
          </w:tcPr>
          <w:p w14:paraId="5AF3ACE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Низкие</w:t>
            </w:r>
          </w:p>
        </w:tc>
        <w:tc>
          <w:tcPr>
            <w:tcW w:w="1871" w:type="dxa"/>
          </w:tcPr>
          <w:p w14:paraId="24FFD4F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(SIM-карты)</w:t>
            </w:r>
          </w:p>
        </w:tc>
        <w:tc>
          <w:tcPr>
            <w:tcW w:w="1871" w:type="dxa"/>
          </w:tcPr>
          <w:p w14:paraId="4862250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(SIM-карты)</w:t>
            </w:r>
          </w:p>
        </w:tc>
        <w:tc>
          <w:tcPr>
            <w:tcW w:w="1871" w:type="dxa"/>
          </w:tcPr>
          <w:p w14:paraId="3020A5D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Низкие</w:t>
            </w:r>
          </w:p>
        </w:tc>
      </w:tr>
    </w:tbl>
    <w:p w14:paraId="795AD99D">
      <w:pPr>
        <w:spacing w:before="120"/>
        <w:ind w:firstLine="0"/>
      </w:pPr>
    </w:p>
    <w:p w14:paraId="6BB7F3A1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Оптимальной конфигурацией для автоматизированных участков является комбинация Ethernet по ВОЛС в качестве основного канала и GSM/GPRS или LTE в качестве резервного: первый обеспечивает минимальную задержку и максимальную надёжность, второй — связь при повреждении оптического кабеля [22].</w:t>
      </w:r>
    </w:p>
    <w:p w14:paraId="19AC5D40">
      <w:pPr>
        <w:spacing w:before="240" w:after="120"/>
        <w:ind w:firstLine="709"/>
        <w:jc w:val="both"/>
      </w:pPr>
      <w:r>
        <w:t>Уровни управления автоматизированным участком.</w:t>
      </w:r>
    </w:p>
    <w:p w14:paraId="1F8B9F38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Система управления автоматизированным участком строится по пятиуровневой иерархической модели с чётким разграничением функций и стандартизацией интерфейсов взаимодействия между уровнями [23]. Полевой уровень (уровень 1) объединяет первичные измерительные преобразователи — трансформаторы тока с классом точности 0,5/5Р, трансформаторы напряжения с классом точности 0,5, датчики положения контактов, датчики температуры и индикаторы короткого замыкания — а также исполнительные механизмы: моторные приводы реклоузеров и разъединителей.</w:t>
      </w:r>
    </w:p>
    <w:p w14:paraId="5CAD4175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Уровень контроллеров RTU (уровень 2) выполняет аналого-цифровое преобразование с частотой дискретизации не менее 1000 Гц, реализацию локальных алгоритмов защит (МТЗ, ТО, ОЗЗ, АПВ), формирование команд управления приводами и буферизацию данных в энергонезависимой памяти при потере связи с вышестоящим уровнем. Коммуникационный уровень (уровень 3) образован сетевым оборудованием — коммутаторами Ethernet, маршрутизаторами, модемами GSM/GPRS — и обеспечивает передачу данных между RTU и сервером SCADA; для ВЛ 6–10 кВ типична линейная топология с ВОЛС по тросу воздушной линии [18].</w:t>
      </w:r>
    </w:p>
    <w:p w14:paraId="3EFF57AD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Сервер SCADA (уровень 4) обеспечивает централизованный сбор, обработку, архивирование и визуализацию данных: приём телеизмерений (токов, напряжений, мощностей), телесигнализации (состояние коммутационных аппаратов, срабатывание защит, состояние ИКЗ), передачу команд телеуправления, выполнение централизованных алгоритмов автоматики и ведение архива событий. Уровень оператора HMI (уровень 5) включает рабочие места диспетчеров с мнемосхемой автоматизированного участка, цветовой индикацией состояний (зелёный — включён, красный — аварийное отключение, жёлтый — предупреждение, серый — нет связи), журналом аварийных событий и интерфейсом телеуправления по принципу «выбор — подтверждение — исполнение» [19].</w:t>
      </w:r>
    </w:p>
    <w:p w14:paraId="00212D54">
      <w:pPr>
        <w:spacing w:before="240" w:after="120"/>
        <w:ind w:firstLine="709"/>
        <w:jc w:val="both"/>
      </w:pPr>
      <w:r>
        <w:t>Требования к надёжности каналов связи.</w:t>
      </w:r>
    </w:p>
    <w:p w14:paraId="03C00B9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Потеря связи с коммутационным аппаратом приводит к невозможности телеуправления и телеизмерения, что существенно увеличивает время восстановления электроснабжения при аварийных ситуациях. Требования к надёжности каналов дифференцируются по функциональному назначению передаваемой информации: команды телеуправления требуют доставки не более чем за 500 мс с вероятностью искажения не выше 10⁻⁶ и доступностью канала не ниже 99,9 %; для телеизмерений допускается задержка до 5 секунд и доступность 99,5 %; для архивных данных задержка не критична, но необходима гарантированная доставка без потерь [18].</w:t>
      </w:r>
    </w:p>
    <w:p w14:paraId="55C3641E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Требуемый уровень надёжности достигается резервированием каналов с автоматическим переключением на резервный канал за время не более 30 секунд. Контроль доступности основного канала выполняется периодическими heartbeat-сообщениями с периодом 5–10 секунд; при отсутствии ответа на три последовательных сообщения канал признаётся неработоспособным. Контроллеры RTU обеспечивают буферизацию телеметрии в энергонезависимой памяти на период не менее 72 часов с последующей автоматической передачей данных на сервер SCADA при восстановлении связи [20].</w:t>
      </w:r>
    </w:p>
    <w:p w14:paraId="1592297B">
      <w:pPr>
        <w:spacing w:before="240" w:after="120"/>
        <w:ind w:firstLine="0"/>
        <w:jc w:val="left"/>
      </w:pPr>
      <w:r>
        <w:t>Таблица 2.5 – Требования к надёжности каналов связи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1976"/>
        <w:gridCol w:w="2196"/>
        <w:gridCol w:w="1863"/>
        <w:gridCol w:w="1593"/>
      </w:tblGrid>
      <w:tr w14:paraId="6E466903">
        <w:tc>
          <w:tcPr>
            <w:tcW w:w="1871" w:type="dxa"/>
          </w:tcPr>
          <w:p w14:paraId="463401D6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Параметр</w:t>
            </w:r>
          </w:p>
        </w:tc>
        <w:tc>
          <w:tcPr>
            <w:tcW w:w="1871" w:type="dxa"/>
          </w:tcPr>
          <w:p w14:paraId="6012F60D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Телеуправление</w:t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(ТУ)</w:t>
            </w:r>
          </w:p>
        </w:tc>
        <w:tc>
          <w:tcPr>
            <w:tcW w:w="1871" w:type="dxa"/>
          </w:tcPr>
          <w:p w14:paraId="4A794D20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Телесигнализация</w:t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(ТС)</w:t>
            </w:r>
          </w:p>
        </w:tc>
        <w:tc>
          <w:tcPr>
            <w:tcW w:w="1871" w:type="dxa"/>
          </w:tcPr>
          <w:p w14:paraId="19A15BAE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Телеизмерение</w:t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(ТИ)</w:t>
            </w:r>
          </w:p>
        </w:tc>
        <w:tc>
          <w:tcPr>
            <w:tcW w:w="1871" w:type="dxa"/>
          </w:tcPr>
          <w:p w14:paraId="3F10DF8F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Архивные</w:t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данные</w:t>
            </w:r>
          </w:p>
        </w:tc>
      </w:tr>
      <w:tr w14:paraId="59CED91D">
        <w:tc>
          <w:tcPr>
            <w:tcW w:w="1871" w:type="dxa"/>
          </w:tcPr>
          <w:p w14:paraId="26199BB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Доступность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канала, %</w:t>
            </w:r>
          </w:p>
        </w:tc>
        <w:tc>
          <w:tcPr>
            <w:tcW w:w="1871" w:type="dxa"/>
          </w:tcPr>
          <w:p w14:paraId="77FF8F9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≥ 99,9</w:t>
            </w:r>
          </w:p>
        </w:tc>
        <w:tc>
          <w:tcPr>
            <w:tcW w:w="1871" w:type="dxa"/>
          </w:tcPr>
          <w:p w14:paraId="7E2523D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≥ 99,5</w:t>
            </w:r>
          </w:p>
        </w:tc>
        <w:tc>
          <w:tcPr>
            <w:tcW w:w="1871" w:type="dxa"/>
          </w:tcPr>
          <w:p w14:paraId="13CEEF2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≥ 99,5</w:t>
            </w:r>
          </w:p>
        </w:tc>
        <w:tc>
          <w:tcPr>
            <w:tcW w:w="1871" w:type="dxa"/>
          </w:tcPr>
          <w:p w14:paraId="3A7A2E6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≥ 99,0</w:t>
            </w:r>
          </w:p>
        </w:tc>
      </w:tr>
      <w:tr w14:paraId="0EAAD02B">
        <w:tc>
          <w:tcPr>
            <w:tcW w:w="1871" w:type="dxa"/>
          </w:tcPr>
          <w:p w14:paraId="6D930A7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Макс. задержка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доставки</w:t>
            </w:r>
          </w:p>
        </w:tc>
        <w:tc>
          <w:tcPr>
            <w:tcW w:w="1871" w:type="dxa"/>
          </w:tcPr>
          <w:p w14:paraId="381A374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 мс</w:t>
            </w:r>
          </w:p>
        </w:tc>
        <w:tc>
          <w:tcPr>
            <w:tcW w:w="1871" w:type="dxa"/>
          </w:tcPr>
          <w:p w14:paraId="643669A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 с</w:t>
            </w:r>
          </w:p>
        </w:tc>
        <w:tc>
          <w:tcPr>
            <w:tcW w:w="1871" w:type="dxa"/>
          </w:tcPr>
          <w:p w14:paraId="315F4F3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с</w:t>
            </w:r>
          </w:p>
        </w:tc>
        <w:tc>
          <w:tcPr>
            <w:tcW w:w="1871" w:type="dxa"/>
          </w:tcPr>
          <w:p w14:paraId="45AA852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критична</w:t>
            </w:r>
          </w:p>
        </w:tc>
      </w:tr>
      <w:tr w14:paraId="0535FE5E">
        <w:tc>
          <w:tcPr>
            <w:tcW w:w="1871" w:type="dxa"/>
          </w:tcPr>
          <w:p w14:paraId="3F1D6DC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Вероятность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искажения</w:t>
            </w:r>
          </w:p>
        </w:tc>
        <w:tc>
          <w:tcPr>
            <w:tcW w:w="1871" w:type="dxa"/>
          </w:tcPr>
          <w:p w14:paraId="3F703FD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10⁻⁶</w:t>
            </w:r>
          </w:p>
        </w:tc>
        <w:tc>
          <w:tcPr>
            <w:tcW w:w="1871" w:type="dxa"/>
          </w:tcPr>
          <w:p w14:paraId="7E085D4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10⁻⁵</w:t>
            </w:r>
          </w:p>
        </w:tc>
        <w:tc>
          <w:tcPr>
            <w:tcW w:w="1871" w:type="dxa"/>
          </w:tcPr>
          <w:p w14:paraId="6CC7227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10⁻⁴</w:t>
            </w:r>
          </w:p>
        </w:tc>
        <w:tc>
          <w:tcPr>
            <w:tcW w:w="1871" w:type="dxa"/>
          </w:tcPr>
          <w:p w14:paraId="67EBC2C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≤ 10⁻⁴</w:t>
            </w:r>
          </w:p>
        </w:tc>
      </w:tr>
      <w:tr w14:paraId="48DEA00C">
        <w:tc>
          <w:tcPr>
            <w:tcW w:w="1871" w:type="dxa"/>
          </w:tcPr>
          <w:p w14:paraId="25B419E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Подтверждение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доставки</w:t>
            </w:r>
          </w:p>
        </w:tc>
        <w:tc>
          <w:tcPr>
            <w:tcW w:w="1871" w:type="dxa"/>
          </w:tcPr>
          <w:p w14:paraId="590F586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Обязательно</w:t>
            </w:r>
          </w:p>
        </w:tc>
        <w:tc>
          <w:tcPr>
            <w:tcW w:w="1871" w:type="dxa"/>
          </w:tcPr>
          <w:p w14:paraId="0BD30C3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Обязательно</w:t>
            </w:r>
          </w:p>
        </w:tc>
        <w:tc>
          <w:tcPr>
            <w:tcW w:w="1871" w:type="dxa"/>
          </w:tcPr>
          <w:p w14:paraId="622FB85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Желательно</w:t>
            </w:r>
          </w:p>
        </w:tc>
        <w:tc>
          <w:tcPr>
            <w:tcW w:w="1871" w:type="dxa"/>
          </w:tcPr>
          <w:p w14:paraId="27691A0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Обязательно</w:t>
            </w:r>
          </w:p>
        </w:tc>
      </w:tr>
      <w:tr w14:paraId="76C7BF17">
        <w:tc>
          <w:tcPr>
            <w:tcW w:w="1871" w:type="dxa"/>
          </w:tcPr>
          <w:p w14:paraId="3D2B0D5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Резервирование</w:t>
            </w:r>
          </w:p>
        </w:tc>
        <w:tc>
          <w:tcPr>
            <w:tcW w:w="1871" w:type="dxa"/>
          </w:tcPr>
          <w:p w14:paraId="3ED3799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Обязательно</w:t>
            </w:r>
          </w:p>
        </w:tc>
        <w:tc>
          <w:tcPr>
            <w:tcW w:w="1871" w:type="dxa"/>
          </w:tcPr>
          <w:p w14:paraId="5C5C04E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Обязательно</w:t>
            </w:r>
          </w:p>
        </w:tc>
        <w:tc>
          <w:tcPr>
            <w:tcW w:w="1871" w:type="dxa"/>
          </w:tcPr>
          <w:p w14:paraId="1003B76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Рекомендуется</w:t>
            </w:r>
          </w:p>
        </w:tc>
        <w:tc>
          <w:tcPr>
            <w:tcW w:w="1871" w:type="dxa"/>
          </w:tcPr>
          <w:p w14:paraId="536AB58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требуется</w:t>
            </w:r>
          </w:p>
        </w:tc>
      </w:tr>
      <w:tr w14:paraId="6E8DDEAC">
        <w:tc>
          <w:tcPr>
            <w:tcW w:w="1871" w:type="dxa"/>
          </w:tcPr>
          <w:p w14:paraId="03411B7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Буферизация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при потере связи</w:t>
            </w:r>
          </w:p>
        </w:tc>
        <w:tc>
          <w:tcPr>
            <w:tcW w:w="1871" w:type="dxa"/>
          </w:tcPr>
          <w:p w14:paraId="0541C5D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требуется</w:t>
            </w:r>
          </w:p>
        </w:tc>
        <w:tc>
          <w:tcPr>
            <w:tcW w:w="1871" w:type="dxa"/>
          </w:tcPr>
          <w:p w14:paraId="7B059FA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Обязательно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(≥ 72 ч)</w:t>
            </w:r>
          </w:p>
        </w:tc>
        <w:tc>
          <w:tcPr>
            <w:tcW w:w="1871" w:type="dxa"/>
          </w:tcPr>
          <w:p w14:paraId="3024149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Обязательно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(≥ 72 ч)</w:t>
            </w:r>
          </w:p>
        </w:tc>
        <w:tc>
          <w:tcPr>
            <w:tcW w:w="1871" w:type="dxa"/>
          </w:tcPr>
          <w:p w14:paraId="6B7255B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требуется</w:t>
            </w:r>
          </w:p>
        </w:tc>
      </w:tr>
    </w:tbl>
    <w:p w14:paraId="1EEAC2A5">
      <w:pPr>
        <w:spacing w:before="120"/>
        <w:ind w:firstLine="0"/>
      </w:pPr>
    </w:p>
    <w:p w14:paraId="30F9117D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Дополнительным требованием является информационная безопасность: шифрование трафика TLS/SSL, аутентификация устройств, межсетевое экранирование и мониторинг аномальной активности. Искажение или подмена команд телеуправления может привести к аварийным ситуациям в электрической сети, поэтому защите управляющего канала уделяется приоритетное внимание [22].</w:t>
      </w:r>
    </w:p>
    <w:p w14:paraId="2353853C">
      <w:pPr>
        <w:ind w:firstLine="0"/>
      </w:pPr>
      <w:r>
        <w:br w:type="page"/>
      </w:r>
    </w:p>
    <w:p w14:paraId="2633CDC7">
      <w:pPr>
        <w:spacing w:after="240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Глава 3. Исследование работы разработанных алгоритмов</w:t>
      </w:r>
    </w:p>
    <w:p w14:paraId="6D049879">
      <w:pPr>
        <w:spacing w:before="240" w:after="120"/>
        <w:ind w:firstLine="709"/>
        <w:jc w:val="both"/>
      </w:pPr>
      <w:r>
        <w:t>Исследование работы алгоритмов выполняется на основе анализа таблиц состояний автоматики и результатов моделирования.</w:t>
      </w:r>
    </w:p>
    <w:p w14:paraId="68F8E82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Таблицы состояний автоматики представляют собой матричное описание состояний всех коммутационных аппаратов и сигналов индикаторов короткого замыкания для каждого режима работы автоматизированного участка. Они решают четыре задачи: формальная верификация корректности алгоритмов, однозначная основа для программной реализации, документация для эксплуатационного персонала, систематический анализ полноты и непротиворечивости логики управления [22].</w:t>
      </w:r>
    </w:p>
    <w:p w14:paraId="72145F6E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Методология основана на определении конечного набора дискретных состояний каждого элемента участка. Для коммутационных аппаратов (реклоузер Р1, разъединители РШ1, РШ2, НР) определены состояния: ВКЛ — аппарат включён, цепь замкнута; ОТКЛ — аппарат отключён оператором или алгоритмом в штатном режиме; LOCKOUT — аппарат отключён после исчерпания циклов АПВ (только для реклоузера Р1). Для индикаторов короткого замыкания (ИКЗ) определены состояния: НОРМ — ток КЗ не зафиксирован; СРАБОТАЛ — зафиксировано протекание тока КЗ. В системе SCADA применяется цветовая кодировка: зелёный — нормальное состояние, красный — аварийное, жёлтый — предупреждение, серый — нет связи [23].</w:t>
      </w:r>
    </w:p>
    <w:p w14:paraId="6EA7DD4D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Каждая строка таблицы описывает одно состояние системы, включающее положение каждого коммутационного аппарата, состояние каждого ИКЗ, режим работы SCADA и действия автоматики или оператора. Переход между строками происходит при наступлении определённого события: обнаружение тока КЗ, срабатывание защиты, выполнение команды оператора, истечение времени паузы АПВ. Совокупность строк описывает полную последовательность действий для данного режима работы [18].</w:t>
      </w:r>
    </w:p>
    <w:p w14:paraId="5B3534FA">
      <w:pPr>
        <w:spacing w:before="240" w:after="120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3.1 Работа системы автоматики в нормальных режимах эксплуатации</w:t>
      </w:r>
    </w:p>
    <w:p w14:paraId="35A9FAD6">
      <w:pPr>
        <w:spacing w:line="360" w:lineRule="auto"/>
        <w:ind w:firstLine="709"/>
        <w:jc w:val="both"/>
      </w:pPr>
      <w:r>
        <w:t>Нормальный режим характеризуется электроснабжением всех трёх секций линии от питающей подстанции через реклоузер Р1 при замкнутых РШ1 и РШ2 и разомкнутом НР. Все параметры находятся в пределах допустимых значений, аварийные сигналы отсутствуют. Таблица 3.1 описывает состояния элементов участка при различных подрежимах нормальной эксплуатации.</w:t>
      </w:r>
    </w:p>
    <w:p w14:paraId="3DB6FD74">
      <w:pPr>
        <w:spacing w:before="240" w:after="120"/>
        <w:ind w:firstLine="0"/>
        <w:jc w:val="left"/>
      </w:pPr>
      <w:r>
        <w:t>Таблица 3.1 – Состояния элементов участка при нормальном режиме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928"/>
        <w:gridCol w:w="939"/>
        <w:gridCol w:w="939"/>
        <w:gridCol w:w="1064"/>
        <w:gridCol w:w="1109"/>
        <w:gridCol w:w="2216"/>
      </w:tblGrid>
      <w:tr w14:paraId="7FBF095F">
        <w:tc>
          <w:tcPr>
            <w:tcW w:w="1336" w:type="dxa"/>
          </w:tcPr>
          <w:p w14:paraId="2A8E221B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Подрежим</w:t>
            </w:r>
          </w:p>
        </w:tc>
        <w:tc>
          <w:tcPr>
            <w:tcW w:w="1336" w:type="dxa"/>
          </w:tcPr>
          <w:p w14:paraId="5BE57433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Р1</w:t>
            </w:r>
          </w:p>
        </w:tc>
        <w:tc>
          <w:tcPr>
            <w:tcW w:w="1336" w:type="dxa"/>
          </w:tcPr>
          <w:p w14:paraId="3063EEB5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РШ1</w:t>
            </w:r>
          </w:p>
        </w:tc>
        <w:tc>
          <w:tcPr>
            <w:tcW w:w="1336" w:type="dxa"/>
          </w:tcPr>
          <w:p w14:paraId="46D5C530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РШ2</w:t>
            </w:r>
          </w:p>
        </w:tc>
        <w:tc>
          <w:tcPr>
            <w:tcW w:w="1336" w:type="dxa"/>
          </w:tcPr>
          <w:p w14:paraId="1D209943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НР</w:t>
            </w:r>
          </w:p>
        </w:tc>
        <w:tc>
          <w:tcPr>
            <w:tcW w:w="1336" w:type="dxa"/>
          </w:tcPr>
          <w:p w14:paraId="6DA1CE3A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ИКЗ-1 / ИКЗ-2</w:t>
            </w:r>
          </w:p>
        </w:tc>
        <w:tc>
          <w:tcPr>
            <w:tcW w:w="1336" w:type="dxa"/>
          </w:tcPr>
          <w:p w14:paraId="4329D191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SCADA</w:t>
            </w:r>
          </w:p>
        </w:tc>
      </w:tr>
      <w:tr w14:paraId="14FFEC5F">
        <w:tc>
          <w:tcPr>
            <w:tcW w:w="1336" w:type="dxa"/>
          </w:tcPr>
          <w:p w14:paraId="32B8B1E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Исходное состояние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(все секции под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напряжением)</w:t>
            </w:r>
          </w:p>
        </w:tc>
        <w:tc>
          <w:tcPr>
            <w:tcW w:w="1336" w:type="dxa"/>
          </w:tcPr>
          <w:p w14:paraId="31ACF90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409100F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1FE3EDA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0876BFB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35232DA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 / НОРМ</w:t>
            </w:r>
          </w:p>
        </w:tc>
        <w:tc>
          <w:tcPr>
            <w:tcW w:w="1336" w:type="dxa"/>
          </w:tcPr>
          <w:p w14:paraId="1D2C7A4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Зелёный.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Все параметры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 норме</w:t>
            </w:r>
          </w:p>
        </w:tc>
      </w:tr>
      <w:tr w14:paraId="133A4C84">
        <w:tc>
          <w:tcPr>
            <w:tcW w:w="1336" w:type="dxa"/>
          </w:tcPr>
          <w:p w14:paraId="5A0EE8A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Увеличение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нагрузки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(I &lt; Iпред)</w:t>
            </w:r>
          </w:p>
        </w:tc>
        <w:tc>
          <w:tcPr>
            <w:tcW w:w="1336" w:type="dxa"/>
          </w:tcPr>
          <w:p w14:paraId="3ED1C0A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4C089B1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4821F43E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15D2DD8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6B5A69F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 / НОРМ</w:t>
            </w:r>
          </w:p>
        </w:tc>
        <w:tc>
          <w:tcPr>
            <w:tcW w:w="1336" w:type="dxa"/>
          </w:tcPr>
          <w:p w14:paraId="1E0BDBFE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Зелёный.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Тренд тока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возрастает</w:t>
            </w:r>
          </w:p>
        </w:tc>
      </w:tr>
      <w:tr w14:paraId="7153CAAD">
        <w:tc>
          <w:tcPr>
            <w:tcW w:w="1336" w:type="dxa"/>
          </w:tcPr>
          <w:p w14:paraId="0D8237C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Предупреждение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по нагрузке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(I &gt; Iпред)</w:t>
            </w:r>
          </w:p>
        </w:tc>
        <w:tc>
          <w:tcPr>
            <w:tcW w:w="1336" w:type="dxa"/>
          </w:tcPr>
          <w:p w14:paraId="0F31BB9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0F5BD9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A61742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C79087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5905C41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 / НОРМ</w:t>
            </w:r>
          </w:p>
        </w:tc>
        <w:tc>
          <w:tcPr>
            <w:tcW w:w="1336" w:type="dxa"/>
          </w:tcPr>
          <w:p w14:paraId="20F06A5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Жёлтый.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Сигнал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предупреждения</w:t>
            </w:r>
          </w:p>
        </w:tc>
      </w:tr>
      <w:tr w14:paraId="2D254272">
        <w:tc>
          <w:tcPr>
            <w:tcW w:w="1336" w:type="dxa"/>
          </w:tcPr>
          <w:p w14:paraId="10DA118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Снижение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напряжения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(U &gt; Uмин)</w:t>
            </w:r>
          </w:p>
        </w:tc>
        <w:tc>
          <w:tcPr>
            <w:tcW w:w="1336" w:type="dxa"/>
          </w:tcPr>
          <w:p w14:paraId="2909D6E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01C1873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84F4D0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51C05EB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0B909D5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 / НОРМ</w:t>
            </w:r>
          </w:p>
        </w:tc>
        <w:tc>
          <w:tcPr>
            <w:tcW w:w="1336" w:type="dxa"/>
          </w:tcPr>
          <w:p w14:paraId="4AE8483E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Зелёный.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Тренд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напряжения</w:t>
            </w:r>
          </w:p>
        </w:tc>
      </w:tr>
      <w:tr w14:paraId="2BE9BC9A">
        <w:tc>
          <w:tcPr>
            <w:tcW w:w="1336" w:type="dxa"/>
          </w:tcPr>
          <w:p w14:paraId="3189243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Кратковременные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колебания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нагрузки</w:t>
            </w:r>
          </w:p>
        </w:tc>
        <w:tc>
          <w:tcPr>
            <w:tcW w:w="1336" w:type="dxa"/>
          </w:tcPr>
          <w:p w14:paraId="7260D49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5AE01B4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55521E2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5151A5C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55B4F2F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 / НОРМ</w:t>
            </w:r>
          </w:p>
        </w:tc>
        <w:tc>
          <w:tcPr>
            <w:tcW w:w="1336" w:type="dxa"/>
          </w:tcPr>
          <w:p w14:paraId="3D863E9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Зелёный.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Колебания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 пределах нормы</w:t>
            </w:r>
          </w:p>
        </w:tc>
      </w:tr>
      <w:tr w14:paraId="7F7DE2FB">
        <w:tc>
          <w:tcPr>
            <w:tcW w:w="1336" w:type="dxa"/>
          </w:tcPr>
          <w:p w14:paraId="6A4EE74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Пуск крупного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электродвигателя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(I &lt; Iмтз)</w:t>
            </w:r>
          </w:p>
        </w:tc>
        <w:tc>
          <w:tcPr>
            <w:tcW w:w="1336" w:type="dxa"/>
          </w:tcPr>
          <w:p w14:paraId="4279A6E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30F75DF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2599D33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C817CD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40F5F57E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 / НОРМ</w:t>
            </w:r>
          </w:p>
        </w:tc>
        <w:tc>
          <w:tcPr>
            <w:tcW w:w="1336" w:type="dxa"/>
          </w:tcPr>
          <w:p w14:paraId="6F0BFE4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Жёлтый.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Бросок тока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зафиксирован</w:t>
            </w:r>
          </w:p>
        </w:tc>
      </w:tr>
      <w:tr w14:paraId="22FE71A1">
        <w:tc>
          <w:tcPr>
            <w:tcW w:w="1336" w:type="dxa"/>
          </w:tcPr>
          <w:p w14:paraId="1213572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Восстановление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номинального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режима</w:t>
            </w:r>
          </w:p>
        </w:tc>
        <w:tc>
          <w:tcPr>
            <w:tcW w:w="1336" w:type="dxa"/>
          </w:tcPr>
          <w:p w14:paraId="39FEC4E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6B871FA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1BE5A26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3155AE1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2E4C071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 / НОРМ</w:t>
            </w:r>
          </w:p>
        </w:tc>
        <w:tc>
          <w:tcPr>
            <w:tcW w:w="1336" w:type="dxa"/>
          </w:tcPr>
          <w:p w14:paraId="26F4F08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Зелёный.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Все параметры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вернулись в норму</w:t>
            </w:r>
          </w:p>
        </w:tc>
      </w:tr>
      <w:tr w14:paraId="6E1B3F62">
        <w:tc>
          <w:tcPr>
            <w:tcW w:w="1336" w:type="dxa"/>
          </w:tcPr>
          <w:p w14:paraId="42ED4B2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Ночной минимум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нагрузки</w:t>
            </w:r>
          </w:p>
        </w:tc>
        <w:tc>
          <w:tcPr>
            <w:tcW w:w="1336" w:type="dxa"/>
          </w:tcPr>
          <w:p w14:paraId="4C00992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1B2773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C3EABF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15C4D2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31110A2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 / НОРМ</w:t>
            </w:r>
          </w:p>
        </w:tc>
        <w:tc>
          <w:tcPr>
            <w:tcW w:w="1336" w:type="dxa"/>
          </w:tcPr>
          <w:p w14:paraId="63B7770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Зелёный.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Минимальная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нагрузка</w:t>
            </w:r>
          </w:p>
        </w:tc>
      </w:tr>
    </w:tbl>
    <w:p w14:paraId="6CDC7A96">
      <w:pPr>
        <w:spacing w:before="120"/>
        <w:ind w:firstLine="0"/>
      </w:pPr>
    </w:p>
    <w:p w14:paraId="78563399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нормальном режиме положение коммутационных аппаратов остаётся неизменным для всех подрежимов. Различается только цветовая индикация SCADA: при приближении контролируемых параметров к граничным значениям формируются предупреждающие сигналы жёлтого цвета, привлекающие внимание оператора к необходимости контроля режима [19].</w:t>
      </w:r>
    </w:p>
    <w:p w14:paraId="79F6F1A2">
      <w:pPr>
        <w:spacing w:before="240" w:after="120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3.2 Работа системы автоматики при аварийных режимах</w:t>
      </w:r>
    </w:p>
    <w:p w14:paraId="6D0E77E8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Аварийный режим возникает при появлении короткого замыкания на одном из участков линии. Рассмотрим последовательность состояний при устойчивом КЗ в секции 2 (между РШ1 и РШ2) — наиболее показательный сценарий, демонстрирующий полный цикл обнаружения, изоляции и восстановления питания [20].</w:t>
      </w:r>
    </w:p>
    <w:p w14:paraId="3F10543B">
      <w:pPr>
        <w:spacing w:before="240" w:after="120"/>
        <w:ind w:firstLine="0"/>
        <w:jc w:val="left"/>
      </w:pPr>
      <w:r>
        <w:t>Таблица 3.2 – Состояния элементов при аварийном режиме (КЗ в секции 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841"/>
        <w:gridCol w:w="1432"/>
        <w:gridCol w:w="897"/>
        <w:gridCol w:w="897"/>
        <w:gridCol w:w="952"/>
        <w:gridCol w:w="1581"/>
      </w:tblGrid>
      <w:tr w14:paraId="333E57FC">
        <w:tc>
          <w:tcPr>
            <w:tcW w:w="1336" w:type="dxa"/>
          </w:tcPr>
          <w:p w14:paraId="4B407D49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Этап</w:t>
            </w:r>
          </w:p>
        </w:tc>
        <w:tc>
          <w:tcPr>
            <w:tcW w:w="1336" w:type="dxa"/>
          </w:tcPr>
          <w:p w14:paraId="2B5893D6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Событие / Действие</w:t>
            </w:r>
          </w:p>
        </w:tc>
        <w:tc>
          <w:tcPr>
            <w:tcW w:w="1336" w:type="dxa"/>
          </w:tcPr>
          <w:p w14:paraId="5756F117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Р1</w:t>
            </w:r>
          </w:p>
        </w:tc>
        <w:tc>
          <w:tcPr>
            <w:tcW w:w="1336" w:type="dxa"/>
          </w:tcPr>
          <w:p w14:paraId="2FC4FC77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РШ1</w:t>
            </w:r>
          </w:p>
        </w:tc>
        <w:tc>
          <w:tcPr>
            <w:tcW w:w="1336" w:type="dxa"/>
          </w:tcPr>
          <w:p w14:paraId="4D8A1698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РШ2</w:t>
            </w:r>
          </w:p>
        </w:tc>
        <w:tc>
          <w:tcPr>
            <w:tcW w:w="1336" w:type="dxa"/>
          </w:tcPr>
          <w:p w14:paraId="4CE902D1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ИКЗ-1 / ИКЗ-2</w:t>
            </w:r>
          </w:p>
        </w:tc>
        <w:tc>
          <w:tcPr>
            <w:tcW w:w="1336" w:type="dxa"/>
          </w:tcPr>
          <w:p w14:paraId="6719397D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SCADA</w:t>
            </w:r>
          </w:p>
        </w:tc>
      </w:tr>
      <w:tr w14:paraId="57FC281A">
        <w:tc>
          <w:tcPr>
            <w:tcW w:w="1336" w:type="dxa"/>
          </w:tcPr>
          <w:p w14:paraId="073EA41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Обнаружение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КЗ</w:t>
            </w:r>
          </w:p>
        </w:tc>
        <w:tc>
          <w:tcPr>
            <w:tcW w:w="1336" w:type="dxa"/>
          </w:tcPr>
          <w:p w14:paraId="14BAA46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Ток КЗ &gt; Iмтз.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Срабатывание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защиты Р1</w:t>
            </w:r>
          </w:p>
        </w:tc>
        <w:tc>
          <w:tcPr>
            <w:tcW w:w="1336" w:type="dxa"/>
          </w:tcPr>
          <w:p w14:paraId="74050E3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LOCKOUT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(после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АПВ)</w:t>
            </w:r>
          </w:p>
        </w:tc>
        <w:tc>
          <w:tcPr>
            <w:tcW w:w="1336" w:type="dxa"/>
          </w:tcPr>
          <w:p w14:paraId="1908D90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154F585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60F990C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СРАБОТАЛ /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НОРМ</w:t>
            </w:r>
          </w:p>
        </w:tc>
        <w:tc>
          <w:tcPr>
            <w:tcW w:w="1336" w:type="dxa"/>
          </w:tcPr>
          <w:p w14:paraId="64FE4F8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Красный.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Аварийный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сигнал</w:t>
            </w:r>
          </w:p>
        </w:tc>
      </w:tr>
      <w:tr w14:paraId="363659C4">
        <w:tc>
          <w:tcPr>
            <w:tcW w:w="1336" w:type="dxa"/>
          </w:tcPr>
          <w:p w14:paraId="5FEBFEE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 Определение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повреждённой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секции</w:t>
            </w:r>
          </w:p>
        </w:tc>
        <w:tc>
          <w:tcPr>
            <w:tcW w:w="1336" w:type="dxa"/>
          </w:tcPr>
          <w:p w14:paraId="4CC8F7D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Анализ ИКЗ: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ИКЗ-1 сработал,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ИКЗ-2 нет →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секция 2</w:t>
            </w:r>
          </w:p>
        </w:tc>
        <w:tc>
          <w:tcPr>
            <w:tcW w:w="1336" w:type="dxa"/>
          </w:tcPr>
          <w:p w14:paraId="3709518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LOCKOUT</w:t>
            </w:r>
          </w:p>
        </w:tc>
        <w:tc>
          <w:tcPr>
            <w:tcW w:w="1336" w:type="dxa"/>
          </w:tcPr>
          <w:p w14:paraId="0F5EB3D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EA671C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25ABFE9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СРАБОТАЛ /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НОРМ</w:t>
            </w:r>
          </w:p>
        </w:tc>
        <w:tc>
          <w:tcPr>
            <w:tcW w:w="1336" w:type="dxa"/>
          </w:tcPr>
          <w:p w14:paraId="793CA94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Красный.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Секция 2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определена</w:t>
            </w:r>
          </w:p>
        </w:tc>
      </w:tr>
      <w:tr w14:paraId="0B1DBB32">
        <w:tc>
          <w:tcPr>
            <w:tcW w:w="1336" w:type="dxa"/>
          </w:tcPr>
          <w:p w14:paraId="18FAE36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 Изоляция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повреждённого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участка</w:t>
            </w:r>
          </w:p>
        </w:tc>
        <w:tc>
          <w:tcPr>
            <w:tcW w:w="1336" w:type="dxa"/>
          </w:tcPr>
          <w:p w14:paraId="67354F6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 ОТКЛ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 РШ1 и РШ2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(бестоковая пауза)</w:t>
            </w:r>
          </w:p>
        </w:tc>
        <w:tc>
          <w:tcPr>
            <w:tcW w:w="1336" w:type="dxa"/>
          </w:tcPr>
          <w:p w14:paraId="38FBA60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LOCKOUT</w:t>
            </w:r>
          </w:p>
        </w:tc>
        <w:tc>
          <w:tcPr>
            <w:tcW w:w="1336" w:type="dxa"/>
          </w:tcPr>
          <w:p w14:paraId="4AACA6D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77B84D1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64624E0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СРАБОТАЛ /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НОРМ</w:t>
            </w:r>
          </w:p>
        </w:tc>
        <w:tc>
          <w:tcPr>
            <w:tcW w:w="1336" w:type="dxa"/>
          </w:tcPr>
          <w:p w14:paraId="259E60F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Красный.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Секция 2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изолирована</w:t>
            </w:r>
          </w:p>
        </w:tc>
      </w:tr>
      <w:tr w14:paraId="2BC306F4">
        <w:tc>
          <w:tcPr>
            <w:tcW w:w="1336" w:type="dxa"/>
          </w:tcPr>
          <w:p w14:paraId="3184096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Восстановление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питания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секции 1</w:t>
            </w:r>
          </w:p>
        </w:tc>
        <w:tc>
          <w:tcPr>
            <w:tcW w:w="1336" w:type="dxa"/>
          </w:tcPr>
          <w:p w14:paraId="312CC23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 ВКЛ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 Р1.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Сброс lockout</w:t>
            </w:r>
          </w:p>
        </w:tc>
        <w:tc>
          <w:tcPr>
            <w:tcW w:w="1336" w:type="dxa"/>
          </w:tcPr>
          <w:p w14:paraId="72E279F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6173BB9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3B3DCE9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5A93CC7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СБРОС /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НОРМ</w:t>
            </w:r>
          </w:p>
        </w:tc>
        <w:tc>
          <w:tcPr>
            <w:tcW w:w="1336" w:type="dxa"/>
          </w:tcPr>
          <w:p w14:paraId="2939244E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Жёлтый.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Секция 1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под напряж.</w:t>
            </w:r>
          </w:p>
        </w:tc>
      </w:tr>
      <w:tr w14:paraId="7785649C">
        <w:tc>
          <w:tcPr>
            <w:tcW w:w="1336" w:type="dxa"/>
          </w:tcPr>
          <w:p w14:paraId="124D5A0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 Восстановление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питания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секции 3</w:t>
            </w:r>
          </w:p>
        </w:tc>
        <w:tc>
          <w:tcPr>
            <w:tcW w:w="1336" w:type="dxa"/>
          </w:tcPr>
          <w:p w14:paraId="68BF641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 ВКЛ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 НР.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Резервное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питание</w:t>
            </w:r>
          </w:p>
        </w:tc>
        <w:tc>
          <w:tcPr>
            <w:tcW w:w="1336" w:type="dxa"/>
          </w:tcPr>
          <w:p w14:paraId="4F209F6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0E57C40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296516D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56A4134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СБРОС /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НОРМ</w:t>
            </w:r>
          </w:p>
        </w:tc>
        <w:tc>
          <w:tcPr>
            <w:tcW w:w="1336" w:type="dxa"/>
          </w:tcPr>
          <w:p w14:paraId="54DAE3A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Жёлтый.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Секция 3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под напряж.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(резерв)</w:t>
            </w:r>
          </w:p>
        </w:tc>
      </w:tr>
      <w:tr w14:paraId="3C3BDE0A">
        <w:tc>
          <w:tcPr>
            <w:tcW w:w="1336" w:type="dxa"/>
          </w:tcPr>
          <w:p w14:paraId="2345BB4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 Стабилизация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режима</w:t>
            </w:r>
          </w:p>
        </w:tc>
        <w:tc>
          <w:tcPr>
            <w:tcW w:w="1336" w:type="dxa"/>
          </w:tcPr>
          <w:p w14:paraId="6BADA5A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параметров.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Формирование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протокола</w:t>
            </w:r>
          </w:p>
        </w:tc>
        <w:tc>
          <w:tcPr>
            <w:tcW w:w="1336" w:type="dxa"/>
          </w:tcPr>
          <w:p w14:paraId="584CA42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11406B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4AF994D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375AF6C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СБРОС /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НОРМ</w:t>
            </w:r>
          </w:p>
        </w:tc>
        <w:tc>
          <w:tcPr>
            <w:tcW w:w="1336" w:type="dxa"/>
          </w:tcPr>
          <w:p w14:paraId="0D85A59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Жёлтый.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Аварийный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режим.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Секция 2 откл.</w:t>
            </w:r>
          </w:p>
        </w:tc>
      </w:tr>
    </w:tbl>
    <w:p w14:paraId="550266DD">
      <w:pPr>
        <w:spacing w:before="120"/>
        <w:ind w:firstLine="0"/>
      </w:pPr>
    </w:p>
    <w:p w14:paraId="0F3FB42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Алгоритм изолирует повреждённую секцию 2 и восстанавливает электроснабжение неповреждённых секций: секция 1 получает питание от основного источника через Р1, секция 3 — от резервного через НР. Общее время от момента обнаружения КЗ до восстановления питания неповреждённых секций составляет 60–120 секунд, что на два порядка меньше времени ручного оперативного реагирования (30–90 минут) [18].</w:t>
      </w:r>
    </w:p>
    <w:p w14:paraId="57D46EE4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КЗ в секции 1 (между подстанцией и РШ1) ИКЗ-1 не срабатывает, поскольку ток КЗ не проходит через РШ1; отключается РШ1, питание секций 2 и 3 восстанавливается через НР. При КЗ в секции 3 срабатывают оба ИКЗ; отключается РШ2, питание секций 1 и 2 восстанавливается через Р1. Комбинация сработавших ИКЗ однозначно определяет повреждённую секцию для любого из трёх возможных мест КЗ [19].</w:t>
      </w:r>
    </w:p>
    <w:p w14:paraId="1E5973EE">
      <w:pPr>
        <w:spacing w:before="240" w:after="120"/>
        <w:ind w:firstLine="709"/>
        <w:jc w:val="both"/>
      </w:pPr>
      <w:r>
        <w:t>Особенности перевода системы в ремонтный режим.</w:t>
      </w:r>
    </w:p>
    <w:p w14:paraId="634DA12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Ремонтный режим предусматривает плановое обслуживание оборудования на определённой секции линии в соответствии с заявкой и графиком планово-предупредительных ремонтов. В отличие от аварийного режима, все операции переключения выполняются последовательно с обязательным подтверждением каждого шага оператором диспетчерского пункта по принципу «пошагового выполнения с подтверждением» [23].</w:t>
      </w:r>
    </w:p>
    <w:p w14:paraId="327AB466">
      <w:pPr>
        <w:spacing w:before="240" w:after="120"/>
        <w:ind w:firstLine="0"/>
        <w:jc w:val="left"/>
      </w:pPr>
      <w:r>
        <w:t>Таблица 3.3 – Состояния элементов при ремонтном режиме (ремонт секции 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886"/>
        <w:gridCol w:w="966"/>
        <w:gridCol w:w="966"/>
        <w:gridCol w:w="967"/>
        <w:gridCol w:w="967"/>
        <w:gridCol w:w="1671"/>
      </w:tblGrid>
      <w:tr w14:paraId="5FA432C5">
        <w:tc>
          <w:tcPr>
            <w:tcW w:w="1336" w:type="dxa"/>
          </w:tcPr>
          <w:p w14:paraId="1541A0EE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Этап</w:t>
            </w:r>
          </w:p>
        </w:tc>
        <w:tc>
          <w:tcPr>
            <w:tcW w:w="1336" w:type="dxa"/>
          </w:tcPr>
          <w:p w14:paraId="200029E5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Действие оператора</w:t>
            </w:r>
          </w:p>
        </w:tc>
        <w:tc>
          <w:tcPr>
            <w:tcW w:w="1336" w:type="dxa"/>
          </w:tcPr>
          <w:p w14:paraId="4F9A2579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Р1</w:t>
            </w:r>
          </w:p>
        </w:tc>
        <w:tc>
          <w:tcPr>
            <w:tcW w:w="1336" w:type="dxa"/>
          </w:tcPr>
          <w:p w14:paraId="7EE1D17D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РШ1</w:t>
            </w:r>
          </w:p>
        </w:tc>
        <w:tc>
          <w:tcPr>
            <w:tcW w:w="1336" w:type="dxa"/>
          </w:tcPr>
          <w:p w14:paraId="1980AD17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РШ2</w:t>
            </w:r>
          </w:p>
        </w:tc>
        <w:tc>
          <w:tcPr>
            <w:tcW w:w="1336" w:type="dxa"/>
          </w:tcPr>
          <w:p w14:paraId="6B6AA7FB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НР</w:t>
            </w:r>
          </w:p>
        </w:tc>
        <w:tc>
          <w:tcPr>
            <w:tcW w:w="1336" w:type="dxa"/>
          </w:tcPr>
          <w:p w14:paraId="534369C0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SCADA</w:t>
            </w:r>
          </w:p>
        </w:tc>
      </w:tr>
      <w:tr w14:paraId="11E0731A">
        <w:tc>
          <w:tcPr>
            <w:tcW w:w="1336" w:type="dxa"/>
          </w:tcPr>
          <w:p w14:paraId="0579E32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Подготовка</w:t>
            </w:r>
          </w:p>
        </w:tc>
        <w:tc>
          <w:tcPr>
            <w:tcW w:w="1336" w:type="dxa"/>
          </w:tcPr>
          <w:p w14:paraId="20213CE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Оформление заявки.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Уведомление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потребителей</w:t>
            </w:r>
          </w:p>
        </w:tc>
        <w:tc>
          <w:tcPr>
            <w:tcW w:w="1336" w:type="dxa"/>
          </w:tcPr>
          <w:p w14:paraId="52280FF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086946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6BAF52B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4C3F191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6D5EF06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Зелёный.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Заявка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оформлена</w:t>
            </w:r>
          </w:p>
        </w:tc>
      </w:tr>
      <w:tr w14:paraId="20828EA5">
        <w:tc>
          <w:tcPr>
            <w:tcW w:w="1336" w:type="dxa"/>
          </w:tcPr>
          <w:p w14:paraId="1F0C8DC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 Вывод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секции 2</w:t>
            </w:r>
          </w:p>
        </w:tc>
        <w:tc>
          <w:tcPr>
            <w:tcW w:w="1336" w:type="dxa"/>
          </w:tcPr>
          <w:p w14:paraId="431C911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Отключение Р1.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Отключение РШ1.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Отключение РШ2</w:t>
            </w:r>
          </w:p>
        </w:tc>
        <w:tc>
          <w:tcPr>
            <w:tcW w:w="1336" w:type="dxa"/>
          </w:tcPr>
          <w:p w14:paraId="59AE477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72ACCD1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1B15527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135CB4F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19E1B8A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Жёлтый.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Все секции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обесточены</w:t>
            </w:r>
          </w:p>
        </w:tc>
      </w:tr>
      <w:tr w14:paraId="63040CCA">
        <w:tc>
          <w:tcPr>
            <w:tcW w:w="1336" w:type="dxa"/>
          </w:tcPr>
          <w:p w14:paraId="1E9426A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 Подача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резервного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питания</w:t>
            </w:r>
          </w:p>
        </w:tc>
        <w:tc>
          <w:tcPr>
            <w:tcW w:w="1336" w:type="dxa"/>
          </w:tcPr>
          <w:p w14:paraId="5813B8A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Включение НР.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Включение Р1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(секция 1)</w:t>
            </w:r>
          </w:p>
        </w:tc>
        <w:tc>
          <w:tcPr>
            <w:tcW w:w="1336" w:type="dxa"/>
          </w:tcPr>
          <w:p w14:paraId="681AB82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07875B6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1F91849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583D047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0A3DDE3E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Жёлтый.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Секции 1,3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под напряж.</w:t>
            </w:r>
          </w:p>
        </w:tc>
      </w:tr>
      <w:tr w14:paraId="04ED7339">
        <w:tc>
          <w:tcPr>
            <w:tcW w:w="1336" w:type="dxa"/>
          </w:tcPr>
          <w:p w14:paraId="26C3FFE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Допуск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бригады</w:t>
            </w:r>
          </w:p>
        </w:tc>
        <w:tc>
          <w:tcPr>
            <w:tcW w:w="1336" w:type="dxa"/>
          </w:tcPr>
          <w:p w14:paraId="152222D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Проверка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отсутствия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напряжения.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Установка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заземлений</w:t>
            </w:r>
          </w:p>
        </w:tc>
        <w:tc>
          <w:tcPr>
            <w:tcW w:w="1336" w:type="dxa"/>
          </w:tcPr>
          <w:p w14:paraId="5A82199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383F603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3858C43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24D22DE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790753F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Жёлтый.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Ремонт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секции 2</w:t>
            </w:r>
          </w:p>
        </w:tc>
      </w:tr>
      <w:tr w14:paraId="1A506445">
        <w:tc>
          <w:tcPr>
            <w:tcW w:w="1336" w:type="dxa"/>
          </w:tcPr>
          <w:p w14:paraId="57E8613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 Завершение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работ</w:t>
            </w:r>
          </w:p>
        </w:tc>
        <w:tc>
          <w:tcPr>
            <w:tcW w:w="1336" w:type="dxa"/>
          </w:tcPr>
          <w:p w14:paraId="5CC6B16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Снятие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заземлений.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Осмотр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оборудования</w:t>
            </w:r>
          </w:p>
        </w:tc>
        <w:tc>
          <w:tcPr>
            <w:tcW w:w="1336" w:type="dxa"/>
          </w:tcPr>
          <w:p w14:paraId="5F214BA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4C8197D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4F51B63E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737475A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5AF1AA5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Жёлтый.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Окончание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работ</w:t>
            </w:r>
          </w:p>
        </w:tc>
      </w:tr>
      <w:tr w14:paraId="7B2286ED">
        <w:tc>
          <w:tcPr>
            <w:tcW w:w="1336" w:type="dxa"/>
          </w:tcPr>
          <w:p w14:paraId="44AD0DF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 Восстановление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схемы</w:t>
            </w:r>
          </w:p>
        </w:tc>
        <w:tc>
          <w:tcPr>
            <w:tcW w:w="1336" w:type="dxa"/>
          </w:tcPr>
          <w:p w14:paraId="465628C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Отключение НР.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Включение РШ2.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Включение РШ1.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Включение Р1</w:t>
            </w:r>
          </w:p>
        </w:tc>
        <w:tc>
          <w:tcPr>
            <w:tcW w:w="1336" w:type="dxa"/>
          </w:tcPr>
          <w:p w14:paraId="411F629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56CA267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0ECC563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ВКЛ</w:t>
            </w:r>
          </w:p>
        </w:tc>
        <w:tc>
          <w:tcPr>
            <w:tcW w:w="1336" w:type="dxa"/>
          </w:tcPr>
          <w:p w14:paraId="3AD208B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</w:t>
            </w:r>
          </w:p>
        </w:tc>
        <w:tc>
          <w:tcPr>
            <w:tcW w:w="1336" w:type="dxa"/>
          </w:tcPr>
          <w:p w14:paraId="14BBB1F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Зелёный.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Нормальная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схема</w:t>
            </w:r>
          </w:p>
        </w:tc>
      </w:tr>
    </w:tbl>
    <w:p w14:paraId="341C8484">
      <w:pPr>
        <w:spacing w:before="120"/>
        <w:ind w:firstLine="0"/>
      </w:pPr>
    </w:p>
    <w:p w14:paraId="6C1BA91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Принцип пошагового подтверждения предотвращает ошибочные переключения: SCADA формирует запрос на каждое переключение, оператор подтверждает его после проверки выполнения предыдущего шага и условий безопасности. Время перерыва электроснабжения потребителей секций 1 и 3 минимизируется за счёт подачи резервного питания на этапе 3 [20].</w:t>
      </w:r>
    </w:p>
    <w:p w14:paraId="7C3CCAAB">
      <w:pPr>
        <w:spacing w:before="240" w:after="120"/>
        <w:ind w:firstLine="709"/>
        <w:jc w:val="both"/>
      </w:pPr>
      <w:r>
        <w:t>Анализ полноты и непротиворечивости таблиц состояний.</w:t>
      </w:r>
    </w:p>
    <w:p w14:paraId="328E94B5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Анализ полноты состоит в проверке того, что для каждого сочетания входных воздействий (место КЗ, состояние ИКЗ, результат АПВ) определён однозначный набор выходных действий. Анализ непротиворечивости заключается в проверке отсутствия запрещённых состояний — физически нереализуемых или опасных конфигураций системы [22].</w:t>
      </w:r>
    </w:p>
    <w:p w14:paraId="763212AD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Основным запрещённым состоянием является коммутация разъединителя под нагрузкой: РШ1, РШ2 и НР конструктивно не имеют дугогасительных устройств, и попытка коммутации при протекании тока приведёт к устойчивой электрической дуге, повреждению контактов и возможному возгоранию. Проверка таблиц 7.2 и 7.3 подтверждает, что все операции с разъединителями выполняются в бестоковую паузу: в аварийном режиме — после lockout Р1, в ремонтном — после предварительного отключения Р1 [18].</w:t>
      </w:r>
    </w:p>
    <w:p w14:paraId="269D6DAE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Вторым условием непротиворечивости является детерминированность переходов: для каждого текущего состояния и входного события существует ровно один следующий шаг. В нормальном режиме переходы определяются значениями параметров относительно пороговых уставок; в аварийном — комбинацией сработавших ИКЗ; в ремонтном — командой оператора. Все возможные режимы работы описаны, запрещённые состояния исключены конструкцией алгоритмов, переходы детерминированы — таблицы состояний пригодны в качестве технического задания для программной реализации в контроллерах RTU и SCADA [23].</w:t>
      </w:r>
    </w:p>
    <w:p w14:paraId="1E010032">
      <w:pPr>
        <w:ind w:firstLine="0"/>
      </w:pPr>
      <w:r>
        <w:br w:type="page"/>
      </w:r>
    </w:p>
    <w:p w14:paraId="3CB59FEE">
      <w:pPr>
        <w:spacing w:after="240"/>
        <w:ind w:firstLine="709"/>
        <w:jc w:val="both"/>
      </w:pPr>
      <w:r>
        <w:t>Анализ работы алгоритмов в различных режимах эксплуатации выполняется с использованием программного прототипа SCADA.</w:t>
      </w:r>
    </w:p>
    <w:p w14:paraId="3EE84205">
      <w:pPr>
        <w:spacing w:before="240" w:after="120"/>
        <w:ind w:firstLine="709"/>
        <w:jc w:val="both"/>
      </w:pPr>
      <w:r>
        <w:t>Описание прототипа SCADA-системы.</w:t>
      </w:r>
    </w:p>
    <w:p w14:paraId="7D1BFD28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верификации разработанных алгоритмов создан программный прототип SCADA-системы на языке Python (файл scada_prototype.py, исходный код в Приложении А). Прототип моделирует автоматизированный участок распределительной сети 10 кВ с тремя секциями, реклоузером Р1 и тремя разъединителями (РШ1, РШ2, НР), реализуя цикл опроса контролируемого оборудования из 10 итераций [22].</w:t>
      </w:r>
    </w:p>
    <w:p w14:paraId="5BD409D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каждой итерации генерируются значения токов и напряжений для трёх секций линии с использованием модели случайных отклонений от номинальных значений типового фидера ВЛ 10 кВ: номинальный ток нагрузки 200–300 А, номинальное напряжение 10 кВ (фазное 5,77 кВ). Алгоритм мониторинга сравнивает измеренные значения с четырьмя пороговыми уставками: CURRENT_WARNING = 350 А (порог предупреждения, жёлтая индикация), CURRENT_ALARM = 400 А (порог аварии, красная индикация и защитное отключение), VOLTAGE_MIN = 5,5 кВ (минимально допустимое фазное напряжение), VOLTAGE_MAX = 11,0 кВ (максимально допустимое линейное напряжение) [23].</w:t>
      </w:r>
    </w:p>
    <w:p w14:paraId="66433748">
      <w:pPr>
        <w:spacing w:before="240" w:after="120"/>
        <w:ind w:firstLine="0"/>
        <w:jc w:val="center"/>
      </w:pPr>
      <w:r>
        <w:drawing>
          <wp:inline distT="0" distB="0" distL="114300" distR="114300">
            <wp:extent cx="4319905" cy="5553710"/>
            <wp:effectExtent l="0" t="0" r="2349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55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B464">
      <w:pPr>
        <w:spacing w:after="240"/>
        <w:ind w:firstLine="0"/>
        <w:jc w:val="center"/>
      </w:pPr>
      <w:r>
        <w:t>Рисунок 3.1 – Блок-схема алгоритма прототипа SCADA-системы</w:t>
      </w:r>
    </w:p>
    <w:p w14:paraId="7627038D">
      <w:pPr>
        <w:spacing w:line="360" w:lineRule="auto"/>
        <w:ind w:firstLine="709"/>
        <w:jc w:val="both"/>
      </w:pPr>
      <w:r>
        <w:t>Алгоритм прототипа, представленный на рисунке 3.1, реализует последовательность: инициализация параметров модели, цикл опроса из 10 итераций с генерацией значений и сравнением с уставками, формирование итогового отчёта о зафиксированных событиях. Консольный интерфейс использует цветовую индикацию: зелёный — норма, жёлтый — предупреждение, красный — авария [18].</w:t>
      </w:r>
    </w:p>
    <w:p w14:paraId="23E996E3">
      <w:pPr>
        <w:spacing w:before="240" w:after="120"/>
        <w:ind w:firstLine="709"/>
        <w:jc w:val="both"/>
      </w:pPr>
      <w:r>
        <w:t>Моделирование нормального режима.</w:t>
      </w:r>
    </w:p>
    <w:p w14:paraId="134AEAF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Нормальный режим работы прототипа соответствует циклам 1–4, в течение которых все параметры находятся в допустимых пределах: токи в секциях 1–3 составляют 210–280 А (ниже порога предупреждения 350 А и порога аварии 400 А), фазные напряжения — 5,7–5,9 кВ (в пределах допустимых отклонений от номинала). Индикация всех секций зелёная, аварийные сигналы отсутствуют [19].</w:t>
      </w:r>
    </w:p>
    <w:p w14:paraId="7D036459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4821555"/>
            <wp:effectExtent l="0" t="0" r="1079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2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FB36">
      <w:pPr>
        <w:spacing w:after="240"/>
        <w:ind w:firstLine="0"/>
        <w:jc w:val="center"/>
      </w:pPr>
      <w:r>
        <w:t>Рисунок 3.2 – Интерфейс прототипа SCADA: нормальный режим работы</w:t>
      </w:r>
    </w:p>
    <w:p w14:paraId="3C9B9938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течение циклов 1–4 прототип ведёт штатный мониторинг: каждый цикл фиксирует токи и напряжения в журнале событий с временной меткой. Среднее значение тока нагрузки составляет 245 А при стандартном отклонении 25 А, среднее фазное напряжение — 5,78 кВ при стандартном отклонении 0,08 кВ. Отсутствие ложных срабатываний подтверждает адекватность модели генерации параметров и обоснованность выбранных уставок [20].</w:t>
      </w:r>
    </w:p>
    <w:p w14:paraId="3E50062D">
      <w:pPr>
        <w:spacing w:before="240" w:after="120"/>
        <w:ind w:firstLine="709"/>
        <w:jc w:val="both"/>
      </w:pPr>
      <w:r>
        <w:t>Моделирование аварийных режимов.</w:t>
      </w:r>
    </w:p>
    <w:p w14:paraId="44256910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Начиная с цикла 5 в модель вносятся возмущения, имитирующие аварийные ситуации в распределительной сети: перегрузку по току (имитация короткого замыкания) и провал напряжения (имитация потери питания или значительного увеличения нагрузки) [22].</w:t>
      </w:r>
    </w:p>
    <w:p w14:paraId="006571D1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3786505"/>
            <wp:effectExtent l="0" t="0" r="10795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FFAE">
      <w:pPr>
        <w:spacing w:after="240"/>
        <w:ind w:firstLine="0"/>
        <w:jc w:val="center"/>
      </w:pPr>
      <w:r>
        <w:t>Рисунок 3.3 – Интерфейс прототипа SCADA: аварийный режим</w:t>
      </w:r>
    </w:p>
    <w:p w14:paraId="624B4F64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цикле 5 ток в секции 2 увеличивается до 420 А, превышая CURRENT_ALARM = 400 А. Алгоритм формирует аварийный сигнал ALARM для секции 2 и регистрирует событие в журнале с временной меткой, номером секции и измеренным значением. В реальной системе данное событие инициировало бы полный цикл секционирования: отключение Р1, цикл АПВ, определение повреждённой секции по ИКЗ, изоляция секции 2 отключением РШ1 и РШ2, восстановление питания секций 1 и 3. Индикация секции 2 изменяется на красную, остальных — на жёлтую [18].</w:t>
      </w:r>
    </w:p>
    <w:p w14:paraId="597A03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цикле 6 параметры секции 2 возвращаются к норме, но журнал сохраняет информацию о зафиксированном событии. В цикле 7 фазное напряжение в секции 3 снижается до 4,8 кВ (ниже VOLTAGE_MIN = 5,5 кВ), алгоритм формирует предупреждающий сигнал. В циклах 8–10 все параметры возвращаются в норму, прототип продолжает штатный мониторинг и по завершении десятого цикла формирует итоговый отчёт — перечень всех событий с номерами циклов, типами событий, затронутыми секциями и предпринятыми действиями [23].</w:t>
      </w:r>
    </w:p>
    <w:p w14:paraId="561BE115">
      <w:pPr>
        <w:spacing w:before="240" w:after="120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3.3 Оценка эффективности применения разработанных алгоритмов</w:t>
      </w:r>
    </w:p>
    <w:p w14:paraId="6127C486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Результаты десяти циклов моделирования систематизированы в таблице 8.1.</w:t>
      </w:r>
    </w:p>
    <w:p w14:paraId="219227CC">
      <w:pPr>
        <w:spacing w:before="240" w:after="120"/>
        <w:ind w:firstLine="0"/>
        <w:jc w:val="left"/>
      </w:pPr>
      <w:r>
        <w:t>Таблица 3.4 – Сводка обнаруженных событий при моделировании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1595"/>
        <w:gridCol w:w="995"/>
        <w:gridCol w:w="1499"/>
        <w:gridCol w:w="2402"/>
        <w:gridCol w:w="2305"/>
      </w:tblGrid>
      <w:tr w14:paraId="08747060">
        <w:tc>
          <w:tcPr>
            <w:tcW w:w="1559" w:type="dxa"/>
          </w:tcPr>
          <w:p w14:paraId="55C57F50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Цикл</w:t>
            </w:r>
          </w:p>
        </w:tc>
        <w:tc>
          <w:tcPr>
            <w:tcW w:w="1559" w:type="dxa"/>
          </w:tcPr>
          <w:p w14:paraId="581A8C16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Тип события</w:t>
            </w:r>
          </w:p>
        </w:tc>
        <w:tc>
          <w:tcPr>
            <w:tcW w:w="1559" w:type="dxa"/>
          </w:tcPr>
          <w:p w14:paraId="74CBD737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Секция</w:t>
            </w:r>
          </w:p>
        </w:tc>
        <w:tc>
          <w:tcPr>
            <w:tcW w:w="1559" w:type="dxa"/>
          </w:tcPr>
          <w:p w14:paraId="08470C46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Измеренное</w:t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значение</w:t>
            </w:r>
          </w:p>
        </w:tc>
        <w:tc>
          <w:tcPr>
            <w:tcW w:w="1559" w:type="dxa"/>
          </w:tcPr>
          <w:p w14:paraId="47D0A6B2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Уставка</w:t>
            </w:r>
          </w:p>
        </w:tc>
        <w:tc>
          <w:tcPr>
            <w:tcW w:w="1559" w:type="dxa"/>
          </w:tcPr>
          <w:p w14:paraId="049E708C">
            <w:pPr>
              <w:ind w:firstLine="0"/>
              <w:jc w:val="center"/>
              <w:rPr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sz w:val="28"/>
                <w:szCs w:val="28"/>
              </w:rPr>
              <w:t>Действие системы</w:t>
            </w:r>
          </w:p>
        </w:tc>
      </w:tr>
      <w:tr w14:paraId="11CF9646">
        <w:tc>
          <w:tcPr>
            <w:tcW w:w="1559" w:type="dxa"/>
          </w:tcPr>
          <w:p w14:paraId="0F768F4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1–4</w:t>
            </w:r>
          </w:p>
        </w:tc>
        <w:tc>
          <w:tcPr>
            <w:tcW w:w="1559" w:type="dxa"/>
          </w:tcPr>
          <w:p w14:paraId="2CD59EF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Нормальный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режим</w:t>
            </w:r>
          </w:p>
        </w:tc>
        <w:tc>
          <w:tcPr>
            <w:tcW w:w="1559" w:type="dxa"/>
          </w:tcPr>
          <w:p w14:paraId="5BE37CE7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1, 2, 3</w:t>
            </w:r>
          </w:p>
        </w:tc>
        <w:tc>
          <w:tcPr>
            <w:tcW w:w="1559" w:type="dxa"/>
          </w:tcPr>
          <w:p w14:paraId="4D82117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 = 210–280 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U = 5,7–5,9 кВ</w:t>
            </w:r>
          </w:p>
        </w:tc>
        <w:tc>
          <w:tcPr>
            <w:tcW w:w="1559" w:type="dxa"/>
          </w:tcPr>
          <w:p w14:paraId="77DC1D6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 &lt; 350 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U &gt; 5,5 кВ</w:t>
            </w:r>
          </w:p>
        </w:tc>
        <w:tc>
          <w:tcPr>
            <w:tcW w:w="1559" w:type="dxa"/>
          </w:tcPr>
          <w:p w14:paraId="4BD4B20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Штатный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мониторинг</w:t>
            </w:r>
          </w:p>
        </w:tc>
      </w:tr>
      <w:tr w14:paraId="6E74238C">
        <w:tc>
          <w:tcPr>
            <w:tcW w:w="1559" w:type="dxa"/>
          </w:tcPr>
          <w:p w14:paraId="2C238CA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14:paraId="39CAB2F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Превышение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тока (ALARM)</w:t>
            </w:r>
          </w:p>
        </w:tc>
        <w:tc>
          <w:tcPr>
            <w:tcW w:w="1559" w:type="dxa"/>
          </w:tcPr>
          <w:p w14:paraId="55902496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6DBABC7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 = 420 А</w:t>
            </w:r>
          </w:p>
        </w:tc>
        <w:tc>
          <w:tcPr>
            <w:tcW w:w="1559" w:type="dxa"/>
          </w:tcPr>
          <w:p w14:paraId="78E0769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CURRENT_ALARM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= 400 А</w:t>
            </w:r>
          </w:p>
        </w:tc>
        <w:tc>
          <w:tcPr>
            <w:tcW w:w="1559" w:type="dxa"/>
          </w:tcPr>
          <w:p w14:paraId="4913B79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Аварийный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сигнал.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Запись в журнал</w:t>
            </w:r>
          </w:p>
        </w:tc>
      </w:tr>
      <w:tr w14:paraId="29FD2B3C">
        <w:tc>
          <w:tcPr>
            <w:tcW w:w="1559" w:type="dxa"/>
          </w:tcPr>
          <w:p w14:paraId="608B66E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559" w:type="dxa"/>
          </w:tcPr>
          <w:p w14:paraId="359B4F1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Возврат в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норму</w:t>
            </w:r>
          </w:p>
        </w:tc>
        <w:tc>
          <w:tcPr>
            <w:tcW w:w="1559" w:type="dxa"/>
          </w:tcPr>
          <w:p w14:paraId="781B2FF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083B444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 = 250 А</w:t>
            </w:r>
          </w:p>
        </w:tc>
        <w:tc>
          <w:tcPr>
            <w:tcW w:w="1559" w:type="dxa"/>
          </w:tcPr>
          <w:p w14:paraId="4F850B6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 &lt; 350 А</w:t>
            </w:r>
          </w:p>
        </w:tc>
        <w:tc>
          <w:tcPr>
            <w:tcW w:w="1559" w:type="dxa"/>
          </w:tcPr>
          <w:p w14:paraId="7589C7A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Снятие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аварийного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сигнала</w:t>
            </w:r>
          </w:p>
        </w:tc>
      </w:tr>
      <w:tr w14:paraId="33A6EEF9">
        <w:tc>
          <w:tcPr>
            <w:tcW w:w="1559" w:type="dxa"/>
          </w:tcPr>
          <w:p w14:paraId="723EA2D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559" w:type="dxa"/>
          </w:tcPr>
          <w:p w14:paraId="3F26ED0F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Провал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напряжения</w:t>
            </w:r>
          </w:p>
        </w:tc>
        <w:tc>
          <w:tcPr>
            <w:tcW w:w="1559" w:type="dxa"/>
          </w:tcPr>
          <w:p w14:paraId="0786015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53AE13B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 = 4,8 кВ</w:t>
            </w:r>
          </w:p>
        </w:tc>
        <w:tc>
          <w:tcPr>
            <w:tcW w:w="1559" w:type="dxa"/>
          </w:tcPr>
          <w:p w14:paraId="54EDB771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VOLTAGE_MIN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= 5,5 кВ</w:t>
            </w:r>
          </w:p>
        </w:tc>
        <w:tc>
          <w:tcPr>
            <w:tcW w:w="1559" w:type="dxa"/>
          </w:tcPr>
          <w:p w14:paraId="5C59683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Предупреждающий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сигнал.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Запись в журнал</w:t>
            </w:r>
          </w:p>
        </w:tc>
      </w:tr>
      <w:tr w14:paraId="1C4BD170">
        <w:tc>
          <w:tcPr>
            <w:tcW w:w="1559" w:type="dxa"/>
          </w:tcPr>
          <w:p w14:paraId="2A0B143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8–10</w:t>
            </w:r>
          </w:p>
        </w:tc>
        <w:tc>
          <w:tcPr>
            <w:tcW w:w="1559" w:type="dxa"/>
          </w:tcPr>
          <w:p w14:paraId="4C5E3B98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Нормальный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режим</w:t>
            </w:r>
          </w:p>
        </w:tc>
        <w:tc>
          <w:tcPr>
            <w:tcW w:w="1559" w:type="dxa"/>
          </w:tcPr>
          <w:p w14:paraId="7D09EC79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1, 2, 3</w:t>
            </w:r>
          </w:p>
        </w:tc>
        <w:tc>
          <w:tcPr>
            <w:tcW w:w="1559" w:type="dxa"/>
          </w:tcPr>
          <w:p w14:paraId="2750982E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 = 220–270 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U = 5,7–5,8 кВ</w:t>
            </w:r>
          </w:p>
        </w:tc>
        <w:tc>
          <w:tcPr>
            <w:tcW w:w="1559" w:type="dxa"/>
          </w:tcPr>
          <w:p w14:paraId="697095B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 &lt; 350 А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U &gt; 5,5 кВ</w:t>
            </w:r>
          </w:p>
        </w:tc>
        <w:tc>
          <w:tcPr>
            <w:tcW w:w="1559" w:type="dxa"/>
          </w:tcPr>
          <w:p w14:paraId="560A303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Штатный</w:t>
            </w:r>
            <w:r>
              <w:rPr>
                <w:rFonts w:ascii="Times New Roman" w:hAnsi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/>
                <w:sz w:val="28"/>
                <w:szCs w:val="28"/>
              </w:rPr>
              <w:t>мониторинг</w:t>
            </w:r>
          </w:p>
        </w:tc>
      </w:tr>
    </w:tbl>
    <w:p w14:paraId="15D0A623">
      <w:pPr>
        <w:spacing w:before="120"/>
        <w:ind w:firstLine="0"/>
      </w:pPr>
    </w:p>
    <w:p w14:paraId="7BC485EC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Прототип обнаруживает оба типа аварийных событий — превышение тока и провал напряжения — в пределах одного цикла опроса. Для реальной SCADA с периодом опроса 2 секунды время обнаружения составит не более 2 секунд, что удовлетворяет требованиям таблицы 6.2 (максимальная задержка для телесигнализации — 2 секунды). Алгоритм верно определяет номер секции, в которой произошло событие, корректно обрабатывает возврат параметров в нормальный диапазон и не допускает ложных срабатываний в циклах 1–4 и 8–10 [19].</w:t>
      </w:r>
    </w:p>
    <w:p w14:paraId="7ED46DE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рисунках 8.4–8.6 представлены экраны прототипа, демонстрирующие настройку параметров мониторинга, имитацию аварийных режимов и цикл опроса секций линии.</w:t>
      </w:r>
    </w:p>
    <w:p w14:paraId="03845B55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5795645"/>
            <wp:effectExtent l="0" t="0" r="10795" b="209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4C2E">
      <w:pPr>
        <w:spacing w:after="240"/>
        <w:ind w:firstLine="0"/>
        <w:jc w:val="center"/>
      </w:pPr>
      <w:r>
        <w:t>Рисунок 3.4 – Настройки параметров мониторинга прототипа SCADA</w:t>
      </w:r>
    </w:p>
    <w:p w14:paraId="6B37BE5F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5244465"/>
            <wp:effectExtent l="0" t="0" r="1079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4FAE">
      <w:pPr>
        <w:spacing w:after="240"/>
        <w:ind w:firstLine="0"/>
        <w:jc w:val="center"/>
      </w:pPr>
      <w:r>
        <w:t>Рисунок 3.5 – Имитация аварийных режимов в прототипе SCADA</w:t>
      </w:r>
    </w:p>
    <w:p w14:paraId="229DA733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9003665"/>
            <wp:effectExtent l="0" t="0" r="1079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96B5">
      <w:pPr>
        <w:spacing w:after="240"/>
        <w:ind w:firstLine="0"/>
        <w:jc w:val="center"/>
      </w:pPr>
      <w:r>
        <w:t>Рисунок 3.6 – Цикл опроса секций линии в прототипе SCADA</w:t>
      </w:r>
    </w:p>
    <w:p w14:paraId="5E3630AE">
      <w:pPr>
        <w:spacing w:line="360" w:lineRule="auto"/>
        <w:ind w:firstLine="709"/>
        <w:jc w:val="both"/>
      </w:pPr>
      <w:r>
        <w:t>Результаты моделирования подтверждают работоспособность разработанных алгоритмов мониторинга: прототип обнаруживает аварийные ситуации двух типов, определяет повреждённую секцию и формирует сигналы для оперативного персонала. Логика обнаружения аварий и определения повреждённой секции по показаниям ИКЗ соответствует таблицам состояний главы 3. Дальнейшее развитие предполагает реализацию полного цикла секционирования с моделированием операций коммутационных аппаратов и каналов связи, а также создание графического интерфейса оператора с мнемосхемой автоматизированного участка [20].</w:t>
      </w:r>
    </w:p>
    <w:p w14:paraId="409A8BA8">
      <w:r>
        <w:t>3.4 Ограничения и особенности практического применения алгоритмов</w:t>
      </w:r>
    </w:p>
    <w:p w14:paraId="59730BC1">
      <w:r>
        <w:t xml:space="preserve">Результаты моделирования подтверждают работоспособность разработанных алгоритмов мониторинга, однако практическое применение требует расширения модели до полного цикла секционирования с учётом реального </w:t>
      </w:r>
      <w:bookmarkStart w:id="0" w:name="_GoBack"/>
      <w:bookmarkEnd w:id="0"/>
      <w:r>
        <w:t>времени переключения аппаратов, отказов каналов связи и действий диспетчерского персонала. При промышленной реализации необходимо учитывать ограничения по точности телеметрии, доступности резервных каналов связи и необходимости адаптации алгоритмов к конкретной топологии сети [20].</w:t>
      </w:r>
    </w:p>
    <w:sectPr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74CAA">
    <w:pPr>
      <w:pStyle w:val="18"/>
      <w:ind w:firstLine="0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9F4DBE"/>
    <w:rsid w:val="72EF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709"/>
      <w:jc w:val="both"/>
    </w:pPr>
    <w:rPr>
      <w:rFonts w:ascii="Times New Roman" w:hAnsi="Times New Roman" w:eastAsiaTheme="minorEastAsia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2013-12-23T07:15:00Z</dcterms:created>
  <dc:creator>python-docx</dc:creator>
  <dc:description>generated by python-docx</dc:description>
  <cp:lastModifiedBy>m</cp:lastModifiedBy>
  <dcterms:modified xsi:type="dcterms:W3CDTF">2026-03-27T07:15:14Z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9467E45C5FA572436C84C669BC313D6D_42</vt:lpwstr>
  </property>
</Properties>
</file>