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0AA3B">
      <w:pPr>
        <w:spacing w:after="24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Глава 4. Ориентация разработанных алгоритмов на промышленное внедрение</w:t>
      </w:r>
    </w:p>
    <w:p w14:paraId="5AA0B3E1">
      <w:pPr>
        <w:spacing w:before="240" w:after="120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4.1 Требования сетевых организаций к системам автоматики распределительных сетей</w:t>
      </w:r>
    </w:p>
    <w:p w14:paraId="734CE18A">
      <w:pPr>
        <w:spacing w:line="360" w:lineRule="auto"/>
        <w:ind w:firstLine="709"/>
        <w:jc w:val="both"/>
      </w:pPr>
      <w:r>
        <w:t>Сетевые организации предъявляют к системам автоматики распределительных сетей требования по надёжности, селективности, быстродействию и наблюдаемости всех коммутационных операций. Для автоматизированных участков ВЛ 6–10 кВ принципиально важно обеспечить локализацию повреждения без избыточного отключения нагрузки, ведение журнала событий и возможность дистанционного управления в составе диспетчерских комплексов [2], [5].</w:t>
      </w:r>
    </w:p>
    <w:p w14:paraId="0C1BA8D1">
      <w:pPr>
        <w:spacing w:line="360" w:lineRule="auto"/>
        <w:ind w:firstLine="709"/>
        <w:jc w:val="both"/>
      </w:pPr>
      <w:r>
        <w:t>Дополнительно требуется соблюдение нормативов по времени восстановления электроснабжения, устойчивости каналов связи и информационной безопасности управляющих команд. Алгоритмы должны допускать настройку под различные схемы фидеров и обеспечивать контроль блокировок при переключениях.</w:t>
      </w:r>
    </w:p>
    <w:p w14:paraId="71C6403C">
      <w:pPr>
        <w:spacing w:line="360" w:lineRule="auto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4.2 Совместимость разработанных алгоритмов с существующим оборудованием и системами управления</w:t>
      </w:r>
    </w:p>
    <w:p w14:paraId="4C8225FF">
      <w:pPr>
        <w:spacing w:before="240" w:after="120"/>
        <w:ind w:firstLine="709"/>
        <w:jc w:val="both"/>
      </w:pPr>
      <w:r>
        <w:t>Разработанные алгоритмы ориентированы на применение с реклоузерами, разъединителями с моторным приводом, индикаторами короткого замыкания и контроллерами RTU, поддерживающими типовые протоколы телемеханики Modbus TCP и МЭК 60870-5-104. Это обеспечивает возможность интеграции с действующими SCADA- и DMS-платформами без полного переоснащения сетевого участка [18], [20].</w:t>
      </w:r>
    </w:p>
    <w:p w14:paraId="1F3347B8">
      <w:pPr>
        <w:spacing w:line="360" w:lineRule="auto"/>
        <w:ind w:firstLine="709"/>
        <w:jc w:val="both"/>
      </w:pPr>
      <w:r>
        <w:t>Совместимость также определяется возможностью адаптации уставок и логики конечного автомата к оборудованию разных производителей. Для практического внедрения важна поддержка стандартных интерфейсов обмена, архивирования телеметрии и подтверждения команд телеуправления.</w:t>
      </w:r>
    </w:p>
    <w:p w14:paraId="59090276">
      <w:pPr>
        <w:spacing w:line="360" w:lineRule="auto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4.3 Вопросы внедрения алгоритмов в действующие распределительные сети 6–10 кВ</w:t>
      </w:r>
    </w:p>
    <w:p w14:paraId="5260F9EB">
      <w:pPr>
        <w:spacing w:line="360" w:lineRule="auto"/>
        <w:ind w:firstLine="709"/>
        <w:jc w:val="both"/>
      </w:pPr>
      <w:r>
        <w:t>Внедрение алгоритмов в действующие сети требует поэтапной настройки уставок, проверки каналов связи, верификации работы ИКЗ и проведения опытной эксплуатации на типовом фидере. Полный цикл секционирования от момента короткого замыкания до восстановления питания неповреждённых секций должен укладываться в нормативные интервалы и сопровождаться протоколированием всех действий [30].</w:t>
      </w:r>
    </w:p>
    <w:p w14:paraId="3D5489D7">
      <w:pPr>
        <w:spacing w:before="240" w:after="120"/>
        <w:ind w:firstLine="709"/>
        <w:jc w:val="both"/>
      </w:pPr>
      <w:r>
        <w:t>На этапе внедрения необходимо учитывать неоднородность существующего парка оборудования, особенности трассы ВЛ, наличие резервных источников питания и готовность диспетчерского персонала к работе с автоматизированными сценариями. Существенное значение имеет и организация резервирования каналов связи с переходом на резерв за время не более 30 секунд.</w:t>
      </w:r>
    </w:p>
    <w:p w14:paraId="38CB900D">
      <w:pPr>
        <w:spacing w:line="360" w:lineRule="auto"/>
        <w:ind w:firstLine="709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4.4 Перспективы применения разработанных решений в промышленных условиях</w:t>
      </w:r>
    </w:p>
    <w:p w14:paraId="15E1577B">
      <w:pPr>
        <w:spacing w:line="360" w:lineRule="auto"/>
        <w:ind w:firstLine="709"/>
        <w:jc w:val="both"/>
      </w:pPr>
      <w:r>
        <w:t>Перспективы промышленного применения связаны с расширением алгоритмов FLISR на сети со сложной топологией, интеграцией с DMS/OMS и использованием предиктивной аналитики для предупреждения аварийных режимов. Практическая значимость разработанных решений проявляется в сокращении SAIDI и SAIFI, снижении объёма недоотпущенной электроэнергии и уменьшении количества оперативных выездов [12], [26].</w:t>
      </w:r>
    </w:p>
    <w:p w14:paraId="7914E08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Третье — применение машинного обучения для прогнозирования аварий по данным телеметрии. Анализ трендов токов и напряжений позволяет выявлять деградацию изоляции до наступления повреждения [25].</w:t>
      </w:r>
    </w:p>
    <w:p w14:paraId="47B03B2F">
      <w:pPr>
        <w:ind w:firstLine="0"/>
      </w:pPr>
      <w:r>
        <w:br w:type="page"/>
      </w:r>
    </w:p>
    <w:p w14:paraId="41C47DD6">
      <w:pPr>
        <w:spacing w:after="240"/>
        <w:ind w:firstLine="0"/>
        <w:jc w:val="center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ЗАКЛЮЧЕНИЕ</w:t>
      </w:r>
    </w:p>
    <w:p w14:paraId="03826C3F">
      <w:pPr>
        <w:spacing w:line="360" w:lineRule="auto"/>
        <w:ind w:firstLine="709"/>
        <w:jc w:val="both"/>
      </w:pPr>
      <w:r>
        <w:t>В результате выполнения работы решены все поставленные задачи и сформирована структура исследования в соответствии с новым оглавлением.</w:t>
      </w:r>
    </w:p>
    <w:p w14:paraId="28254AF8">
      <w:pPr>
        <w:spacing w:line="360" w:lineRule="auto"/>
        <w:ind w:firstLine="709"/>
        <w:jc w:val="both"/>
      </w:pPr>
      <w:r>
        <w:t>В главе 1 проанализированы устройства и структура системы автоматики автоматизированных ВЛ 6–10 кВ, включая назначение реклоузеров, разъединителей, требования нормативной базы и схемы дистанционного управления.</w:t>
      </w:r>
    </w:p>
    <w:p w14:paraId="789B15FC">
      <w:pPr>
        <w:spacing w:line="360" w:lineRule="auto"/>
        <w:ind w:firstLine="709"/>
        <w:jc w:val="both"/>
      </w:pPr>
      <w:r>
        <w:t>В главе 2 разработаны алгоритмы обнаружения аварийных режимов на воздушной линии, автоматического секционирования, восстановления электроснабжения после аварии и дистанционного управления автоматизированным участком ВЛ.</w:t>
      </w:r>
    </w:p>
    <w:p w14:paraId="7E6F03DA">
      <w:pPr>
        <w:spacing w:line="360" w:lineRule="auto"/>
        <w:ind w:firstLine="709"/>
        <w:jc w:val="both"/>
      </w:pPr>
      <w:r>
        <w:t>В главе 3 исследована работа разработанных алгоритмов в нормальных и аварийных режимах эксплуатации, выполнена оценка их эффективности и определены ограничения практического применения.</w:t>
      </w:r>
    </w:p>
    <w:p w14:paraId="6C1CB3BC">
      <w:pPr>
        <w:spacing w:line="360" w:lineRule="auto"/>
        <w:ind w:firstLine="709"/>
        <w:jc w:val="both"/>
      </w:pPr>
      <w:r>
        <w:t>В главе 4 рассмотрены требования сетевых организаций, вопросы совместимости с действующим оборудованием и системами управления, а также особенности и перспективы промышленного внедрения разработанных решений.</w:t>
      </w:r>
    </w:p>
    <w:p w14:paraId="187D5C11">
      <w:pPr>
        <w:spacing w:line="360" w:lineRule="auto"/>
        <w:ind w:firstLine="709"/>
        <w:jc w:val="both"/>
      </w:pPr>
      <w:r>
        <w:t>Разработанные алгоритмы обеспечивают сокращение времени локализации повреждения и восстановление электроснабжения неповреждённых секций, а программный прототип SCADA подтверждает реализуемость предложенного подхода.</w:t>
      </w:r>
    </w:p>
    <w:p w14:paraId="12E45AA6">
      <w:pPr>
        <w:spacing w:line="360" w:lineRule="auto"/>
        <w:ind w:firstLine="709"/>
        <w:jc w:val="both"/>
      </w:pPr>
      <w:r>
        <w:t>Практическая ценность работы заключается в возможности использования предложенных алгоритмов в проектах автоматизации распределительных сетей 6–10 кВ с ориентацией на промышленное внедрение.</w:t>
      </w:r>
    </w:p>
    <w:p w14:paraId="3C1FA42B">
      <w:pPr>
        <w:ind w:firstLine="0"/>
      </w:pPr>
      <w:r>
        <w:br w:type="page"/>
      </w:r>
    </w:p>
    <w:p w14:paraId="74B9701F">
      <w:pPr>
        <w:spacing w:after="240"/>
        <w:ind w:firstLine="0"/>
        <w:jc w:val="center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СПИСОК ЛИТЕРАТУРЫ</w:t>
      </w:r>
    </w:p>
    <w:p w14:paraId="729D00F5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Правила устройства электроустановок. ПУЭ. 7-е изд., с изм. и доп. Разделы 1–7. – М.: НЦ ЭНАС, 2003. – 552 с.</w:t>
      </w:r>
    </w:p>
    <w:p w14:paraId="6608AC9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Стандарты ПАО «Россети» по автоматизации распределительных сетей 6–10 кВ. – М.: ПАО «Россети», 2017–2022.</w:t>
      </w:r>
    </w:p>
    <w:p w14:paraId="73E87D0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Централизованное решение по автоматике распределительных сетей 6–10 кВ с использованием «умных» разъединителей и выключателей нагрузки // Электроэнергия. Передача и распределение, 2025.</w:t>
      </w:r>
    </w:p>
    <w:p w14:paraId="15A19D6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СТО 34.01-23.1-001-2017. Объём и нормы испытаний электрооборудования. – М.: ПАО «Россети», 2017.</w:t>
      </w:r>
    </w:p>
    <w:p w14:paraId="3060ED2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СТО 34.01-3.2-004-2016. Реклоузеры 6–35 кВ. Общие технические требования. – М.: ПАО «Россети», 2016.</w:t>
      </w:r>
    </w:p>
    <w:p w14:paraId="21AD90B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РД 153-34.3-35.613-00. Правила технического обслуживания устройств релейной защиты и электроавтоматики электрических сетей 0,4–35 кВ. – М.: ОАО «ОРГРЭС», 2000.</w:t>
      </w:r>
    </w:p>
    <w:p w14:paraId="78323E8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Секционирование электрических сетей 10(6) кВ при помощи реклоузеров // НВ Журнал, 2024.</w:t>
      </w:r>
    </w:p>
    <w:p w14:paraId="79155091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Решения для воздушных ЛЭП 6–10 кВ. – Prosoft Systems, 2024.</w:t>
      </w:r>
    </w:p>
    <w:p w14:paraId="1D8C955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Шабад М.А. Расчёты релейной защиты и автоматики распределительных сетей. – СПб.: ПЭИПК, 2003. – 350 с.</w:t>
      </w:r>
    </w:p>
    <w:p w14:paraId="2E8A770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Федосеев А.М. Релейная защита электроэнергетических систем. – М.: Энергоатомиздат, 1984. – 520 с.</w:t>
      </w:r>
    </w:p>
    <w:p w14:paraId="47512DD0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11. IEEE Std C37.60-2012. IEEE Standard for High-Voltage Switchgear. – New York: IEEE, 2012.</w:t>
      </w:r>
    </w:p>
    <w:p w14:paraId="7778626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12. IEEE Std 1366-2012. IEEE Guide for Electric Power Distribution Reliability Indices. – New York: IEEE, 2012.</w:t>
      </w:r>
    </w:p>
    <w:p w14:paraId="3F63F764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13. Каталог продукции АО «Таврида Электрик». Реклоузеры PBA/TEL-10. – М.: Таврида Электрик, 2023.</w:t>
      </w:r>
    </w:p>
    <w:p w14:paraId="340AC39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14. ГОСТ Р 52735-2007. Короткие замыкания в электроустановках. Методы расчёта в электроустановках переменного тока напряжением свыше 1 кВ. – М.: Стандартинформ, 2007.</w:t>
      </w:r>
    </w:p>
    <w:p w14:paraId="381DF4BF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15. Андреев В.А. Релейная защита и автоматика систем электроснабжения. – М.: Высш. шк., 2006. – 639 с.</w:t>
      </w:r>
    </w:p>
    <w:p w14:paraId="19B1CC4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16. ГОСТ 32144-2013. Электрическая энергия. Совместимость технических средств электромагнитная. Нормы качества электрической энергии в системах электроснабжения общего назначения. – М.: Стандартинформ, 2014.</w:t>
      </w:r>
    </w:p>
    <w:p w14:paraId="3430B1F9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17. Гуревич В.И. Интеллектуальные сети: новые перспективы или новые проблемы? // Электротехнический рынок. – 2010. – № 6. – С. 50–55.</w:t>
      </w:r>
    </w:p>
    <w:p w14:paraId="2224F4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18. МЭК 60870-5-104:2006. Протоколы телемеханики. Стандарт-компаньон для сетей TCP/IP. – Женева: МЭК, 2006.</w:t>
      </w:r>
    </w:p>
    <w:p w14:paraId="56E37EC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19. МЭК 61850:2013. Сети и системы связи на подстанциях. – Женева: МЭК, 2013.</w:t>
      </w:r>
    </w:p>
    <w:p w14:paraId="6385B47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20. Modbus Application Protocol Specification V1.1b3. – Modbus Organization, 2012.</w:t>
      </w:r>
    </w:p>
    <w:p w14:paraId="68FAFA6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21. ГОСТ Р 59109-2020. Единая энергетическая система и изолированно работающие энергосистемы. Релейная защита и автоматика. Автоматика ликвидации асинхронного режима. – М.: Стандартинформ, 2020.</w:t>
      </w:r>
    </w:p>
    <w:p w14:paraId="42CF3C6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22. Распоряжение Правительства РФ от 03.04.2013 № 511-р. Стратегия развития электросетевого комплекса Российской Федерации.</w:t>
      </w:r>
    </w:p>
    <w:p w14:paraId="34217A2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23. Концепция «Цифровая трансформация 2030» ПАО «Россети». – М.: ПАО «Россети», 2018.</w:t>
      </w:r>
    </w:p>
    <w:p w14:paraId="50B1EDE6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24. Нагай В.И. Релейная защита. Алгоритмы и схемы. – Ростов-на-Дону: СКНЦ ВШ, 2005. – 312 с.</w:t>
      </w:r>
    </w:p>
    <w:p w14:paraId="4141C3AB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25. Справочник по проектированию электрических сетей / Под ред. Д.Л. Файбисовича. – М.: ЭНАС, 2012. – 376 с.</w:t>
      </w:r>
    </w:p>
    <w:p w14:paraId="1FFAABA1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26. Программа повышения надёжности электрических сетей ПАО «Россети» на 2022–2027 гг. – М.: ПАО «Россети», 2022.</w:t>
      </w:r>
    </w:p>
    <w:p w14:paraId="2CBAA42F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27. Герасименко А.А., Федин В.Т. Передача и распределение электрической энергии. – М.: КНОРУС, 2014. – 648 с.</w:t>
      </w:r>
    </w:p>
    <w:p w14:paraId="1BDF30BD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28. ГОСТ Р 7.0.5-2008. Библиографическая ссылка. Общие требования и правила составления. – М.: Стандартинформ, 2009.</w:t>
      </w:r>
    </w:p>
    <w:p w14:paraId="7474DF16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29. Кузнецов О.Н. Компьютерные сети. Принципы, технологии, протоколы. – СПб.: Питер, 2022. – 1008 с.</w:t>
      </w:r>
    </w:p>
    <w:p w14:paraId="238CEC1E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30. Постановление Правительства РФ от 13.08.2018 № 937. Об утверждении Правил технологического функционирования электроэнергетически</w:t>
      </w:r>
      <w:bookmarkStart w:id="0" w:name="_GoBack"/>
      <w:bookmarkEnd w:id="0"/>
      <w:r>
        <w:rPr>
          <w:rFonts w:ascii="Times New Roman" w:hAnsi="Times New Roman"/>
          <w:sz w:val="28"/>
        </w:rPr>
        <w:t>х систем.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E251E">
    <w:pPr>
      <w:pStyle w:val="18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BFDA2F"/>
    <w:rsid w:val="5B63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m</cp:lastModifiedBy>
  <dcterms:modified xsi:type="dcterms:W3CDTF">2026-03-27T07:15:34Z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D51AA3D3F1648D9BAE84C66951723B7A_42</vt:lpwstr>
  </property>
</Properties>
</file>