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D19E3">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0" w:name="_Toc1123589725"/>
      <w:bookmarkStart w:id="1" w:name="_Toc1355177484"/>
      <w:r>
        <w:rPr>
          <w:rFonts w:ascii="Times New Roman" w:hAnsi="Times New Roman" w:eastAsia="Times New Roman" w:cs="Times New Roman"/>
          <w:b/>
          <w:sz w:val="28"/>
        </w:rPr>
        <w:t>АННОТАЦИЯ</w:t>
      </w:r>
      <w:bookmarkEnd w:id="0"/>
      <w:bookmarkEnd w:id="1"/>
    </w:p>
    <w:p w14:paraId="0310F1B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6–10 кВ. Проведён анализ устройств и систем автоматики воздушных линий, рассмотрены функции реклоузеров и разъединителей с дистанционным управлением, а также нормативные требования ПУЭ и стандартов ПАО «Россети». Разработаны алгоритмы обнаружения и отключения коротких замыканий, секционирования повреждённого участка, автоматического восстановления питания неповреждённых секций. Предложены схемы дистанционного управления с использованием протоколов Modbus TCP и МЭК 60870-5-104. Создан программный прототип SCADA-системы на языке Python, подтверждающий работоспособность разработанных алгоритмов.</w:t>
      </w:r>
    </w:p>
    <w:p w14:paraId="6638689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содержит 4 главы, 9 таблиц, 10 рисунков, 2 приложения. Список использованных источников включает 30 наименований.</w:t>
      </w:r>
    </w:p>
    <w:p w14:paraId="088FE0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Ключевые слова: распределительные сети 6–10 кВ, реклоузер, разъединитель, FLISR, секционирование, автоматическое повторное включение, SCADA, телемеханика, релейная защита.</w:t>
      </w:r>
    </w:p>
    <w:p w14:paraId="6127EB0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sz w:val="28"/>
          <w:szCs w:val="28"/>
        </w:rPr>
        <w:t>СОДЕРЖАНИЕ</w:t>
      </w:r>
    </w:p>
    <w:p w14:paraId="7F5025F5">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TOC \h \z \u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_Toc1355177484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АННОТАЦИЯ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_Toc1355177484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80E2920">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_Toc256413506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СПИСОК СОКРАЩЕНИЙ И УСЛОВНЫХ ОБОЗНАЧЕНИЙ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_Toc256413506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B31CD97">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_Toc1689599460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ТЕРМИНЫ И ОПРЕДЕЛЕНИЯ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_Toc1689599460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B947D4A">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_Toc921859939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ВВЕДЕНИЕ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_Toc921859939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B79D76">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_Toc1752965315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 Устройства и структура системы автоматики автоматизированных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_Toc1752965315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EF9F1D4">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_Toc759896012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 Назначение и задачи автоматики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_Toc759896012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B79C9A5">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_Toc487024975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 Классификация устройств и систем автоматики 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_Toc487024975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10</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B6FE80F">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_Toc1368576108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1.3 Особенности применения автоматики на воздушных линиях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_Toc1368576108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99348F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_Toc2108787786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 Нормативные требования к системам автоматики и дистанционного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_Toc2108787786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2E3FD8B">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_Toc326209214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 Назначение и функции реклоузеров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_Toc326209214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05F4DA">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_Toc72508907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1.6 Назначение и функции разъединителей с дистанционным управлением</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_Toc72508907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F78CCD1">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_Toc1033972100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1.7 Структура системы автоматики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_Toc1033972100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9E1727">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_Toc531413176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1.8 Взаимодействие реклоузеров и разъединителей в автоматизированной сети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_Toc531413176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4F44E0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_Toc76761159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_Toc76761159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808C171">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_Toc1634611113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 Разработка алгоритмов автоматики и дистанционного управления автоматизированным участком ВЛ</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_Toc1634611113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28BF33">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_Toc150680120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 Алгоритмы обнаружения аварийных режимов на воздушной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_Toc150680120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DBB64AF">
      <w:pPr>
        <w:pStyle w:val="8"/>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_Toc597557027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2.1.1 Расчёт уставок релейной защиты реклоузера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_Toc597557027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76370A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_Toc1507419417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2.2 Алгоритмы автоматического секционирования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_Toc1507419417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74F97F8">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_Toc1333557860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2.3 Алгоритмы восстановления электроснабжения после аварии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_Toc1333557860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7C354C8">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_Toc1967612928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2.4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_Toc1967612928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B755B6A">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_Toc569800743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 Исследование работы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_Toc569800743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5D8AC21">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_Toc1011505628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3.1 Работа системы автоматики в нормальных режимах эксплуатации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_Toc1011505628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33A4A92">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_Toc894540144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3.2 Работа системы автоматики при аварийных режимах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_Toc894540144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01161D3">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_Toc3187561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3.3 Оценка эффективности применения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_Toc3187561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FBC0A7E">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_Toc2033730199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3.4 Ограничения и особенности практического применения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_Toc2033730199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142985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_Toc1553728941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 Ориентация разработанных алгоритмов на промышленное внедрение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_Toc1553728941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748645">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_Toc121163867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4.1 Требования сетевых организаций к системам автоматики распределительных сетей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_Toc121163867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0A73790">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_Toc586615313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4.2 Совместимость разработанных алгоритмов с существующим оборудованием и системами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_Toc586615313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CCF0AD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_Toc146142214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4.3 Вопросы внедрения алгоритмов в действующие распределительные сети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_Toc146142214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3E7122">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_Toc1638382177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4.4 Перспективы применения разработанных решений в промышленных условиях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_Toc1638382177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A249D7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_Toc1253927005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ЗАКЛЮЧЕНИЕ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_Toc1253927005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F5A748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t>СПИСОК ИСПОЛЬЗОВАННЫХ ИСТОЧНИКОВ</w:t>
      </w:r>
      <w:r>
        <w:rPr>
          <w:rFonts w:ascii="Times New Roman" w:hAnsi="Times New Roman" w:eastAsia="Times New Roman" w:cs="Times New Roman"/>
          <w:b w:val="0"/>
          <w:sz w:val="28"/>
        </w:rPr>
        <w:tab/>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p>
    <w:p w14:paraId="7BD6AC9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2" w:name="_Toc256413506"/>
      <w:bookmarkStart w:id="3" w:name="_Toc1348800004"/>
      <w:r>
        <w:rPr>
          <w:rFonts w:ascii="Times New Roman" w:hAnsi="Times New Roman" w:eastAsia="Times New Roman" w:cs="Times New Roman"/>
          <w:b/>
          <w:sz w:val="28"/>
        </w:rPr>
        <w:t>СПИСОК СОКРАЩЕНИЙ И УСЛОВНЫХ ОБОЗНАЧЕНИЙ</w:t>
      </w:r>
      <w:bookmarkEnd w:id="2"/>
      <w:bookmarkEnd w:id="3"/>
    </w:p>
    <w:p w14:paraId="5F568738">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АВР – автоматическое включение резерва</w:t>
      </w:r>
    </w:p>
    <w:p w14:paraId="18ECC38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АВНР – автоматический возврат к нормальному режиму</w:t>
      </w:r>
    </w:p>
    <w:p w14:paraId="1189C45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АПВ – автоматическое повторное включение</w:t>
      </w:r>
    </w:p>
    <w:p w14:paraId="7D05ED79">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ВЛ – воздушная линия электропередачи</w:t>
      </w:r>
    </w:p>
    <w:p w14:paraId="56E3969D">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ИКЗ – индикатор короткого замыкания</w:t>
      </w:r>
    </w:p>
    <w:p w14:paraId="60501B11">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КЗ – короткое замыкание</w:t>
      </w:r>
    </w:p>
    <w:p w14:paraId="5E68E24A">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МТЗ – максимальная токовая защита</w:t>
      </w:r>
    </w:p>
    <w:p w14:paraId="278D80A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МЭК – Международная электротехническая комиссия</w:t>
      </w:r>
    </w:p>
    <w:p w14:paraId="2B90FD01">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ОВБ – оперативно-выездная бригада</w:t>
      </w:r>
      <w:bookmarkStart w:id="47" w:name="_GoBack"/>
      <w:bookmarkEnd w:id="47"/>
    </w:p>
    <w:p w14:paraId="272C56B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ОЗЗ – однофазное замыкание на землю</w:t>
      </w:r>
    </w:p>
    <w:p w14:paraId="5D17502F">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ПС – подстанция</w:t>
      </w:r>
    </w:p>
    <w:p w14:paraId="79FD3178">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ПУЭ – Правила устройства электроустановок</w:t>
      </w:r>
    </w:p>
    <w:p w14:paraId="79570909">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РЗА – релейная защита и автоматика</w:t>
      </w:r>
    </w:p>
    <w:p w14:paraId="3CBDDB8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СТО – стандарт организации</w:t>
      </w:r>
    </w:p>
    <w:p w14:paraId="653EEB36">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ТО – токовая отсечка</w:t>
      </w:r>
    </w:p>
    <w:p w14:paraId="72D7662F">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ТП – трансформаторная подстанция</w:t>
      </w:r>
    </w:p>
    <w:p w14:paraId="758E6F4D">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DMS – Distribution Management System</w:t>
      </w:r>
    </w:p>
    <w:p w14:paraId="175AE4EA">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FLISR – Fault Location, Isolation and Service Restoration</w:t>
      </w:r>
    </w:p>
    <w:p w14:paraId="04A52085">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GPRS – General Packet Radio Service</w:t>
      </w:r>
    </w:p>
    <w:p w14:paraId="684F2537">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GSM – Global System for Mobile Communications</w:t>
      </w:r>
    </w:p>
    <w:p w14:paraId="71912BCC">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IEC – International Electrotechnical Commission</w:t>
      </w:r>
    </w:p>
    <w:p w14:paraId="77D2B9CB">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IEEE – Institute of Electrical and Electronics Engineers</w:t>
      </w:r>
    </w:p>
    <w:p w14:paraId="500D95DC">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RTU – Remote Terminal Unit</w:t>
      </w:r>
    </w:p>
    <w:p w14:paraId="2B8DB4C6">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SAIDI – System Average Interruption Duration Index</w:t>
      </w:r>
    </w:p>
    <w:p w14:paraId="406DC3A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SAIFI – System Average Interruption Frequency Index</w:t>
      </w:r>
    </w:p>
    <w:p w14:paraId="7851B690">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SCADA – Supervisory Control and Data Acquisition</w:t>
      </w:r>
    </w:p>
    <w:p w14:paraId="4F6A4598">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4" w:name="_Toc1689599460"/>
      <w:r>
        <w:rPr>
          <w:rFonts w:ascii="Times New Roman" w:hAnsi="Times New Roman" w:eastAsia="Times New Roman" w:cs="Times New Roman"/>
          <w:b/>
          <w:sz w:val="28"/>
        </w:rPr>
        <w:t>ТЕРМИНЫ И ОПРЕДЕЛЕНИЯ</w:t>
      </w:r>
      <w:bookmarkEnd w:id="4"/>
    </w:p>
    <w:p w14:paraId="26F65B2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разделение ВЛ на отдельные участки с помощью коммутационных аппаратов для минимизации зоны отключения при аварии.</w:t>
      </w:r>
    </w:p>
    <w:p w14:paraId="16770B5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Индикатор короткого замыкания (ИКЗ) – устройство, фиксирующее протекание тока КЗ через контролируемый участок линии и передающее информацию в SCADA.</w:t>
      </w:r>
    </w:p>
    <w:p w14:paraId="5A20609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Короткое замыкание (КЗ) – замыкание между фазами или замыкание фазы на землю, приводящее к протеканию сверхтоков.</w:t>
      </w:r>
    </w:p>
    <w:p w14:paraId="028021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Максимальная токовая защита (МТЗ) – токовая защита с выдержкой времени, срабатывающая при превышении тока заданной уставки.</w:t>
      </w:r>
    </w:p>
    <w:p w14:paraId="0EB70E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Реклоузер – автоматический выключатель наружной установки для ВЛ 6–10 кВ с функциями РЗА и АПВ.</w:t>
      </w:r>
    </w:p>
    <w:p w14:paraId="5DE6C3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Разъединитель – коммутационный аппарат для создания видимого разрыва цепи в бестоковую паузу.</w:t>
      </w:r>
    </w:p>
    <w:p w14:paraId="450217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 система диспетчерского управления и сбора данных.</w:t>
      </w:r>
    </w:p>
    <w:p w14:paraId="321F7A3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Токовая отсечка (ТО) – быстродействующая токовая защита мгновенного действия.</w:t>
      </w:r>
    </w:p>
    <w:p w14:paraId="604F198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FLISR – технология автоматического обнаружения повреждения, изоляции и восстановления электроснабжения.</w:t>
      </w:r>
    </w:p>
    <w:p w14:paraId="637F9720">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5" w:name="_Toc444289496"/>
      <w:bookmarkStart w:id="6" w:name="_Toc921859939"/>
      <w:r>
        <w:rPr>
          <w:rFonts w:ascii="Times New Roman" w:hAnsi="Times New Roman" w:eastAsia="Times New Roman" w:cs="Times New Roman"/>
          <w:b/>
          <w:sz w:val="28"/>
        </w:rPr>
        <w:t>ВВЕДЕНИЕ</w:t>
      </w:r>
      <w:bookmarkEnd w:id="5"/>
      <w:bookmarkEnd w:id="6"/>
    </w:p>
    <w:p w14:paraId="73CA9FE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Распределительные сети 6–10 кВ — наиболее протяжённый элемент электроэнергетической системы России. Их суммарная протяжённость превышает 2,5 млн км, причём значительная часть линий выполнена воздушными и эксплуатируется в сложных климатических условиях [1]. По данным ПАО «Россети», до 70–80 % отключений потребителей приходится на аварии именно в сетях 6–10 кВ [2].</w:t>
      </w:r>
    </w:p>
    <w:p w14:paraId="3C637E9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Концепция «Цифровая трансформация 2030» ПАО «Россети» [23] предусматривает внедрение средств интеллектуального управления распределительными сетями: реклоузеров, разъединителей с дистанционным управлением, индикаторов КЗ и систем телемеханики. Ключевой технологией при этом выступает FLISR — автоматическое определение места повреждения, изоляция аварийного участка и восстановление электроснабжения неповреждённых секций [3].</w:t>
      </w:r>
    </w:p>
    <w:p w14:paraId="7DEF1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Состояние распределительных сетей 6–10 кВ в РФ характеризуется износом: от 50 до 70 % ВЛ эксплуатируются за пределами нормативного срока [2]. Показатель SAIDI в ряде регионов превышает 300–500 мин/год, тогда как в Германии и Японии он составляет 15–30 мин [12]. Разрыв во многом вызван отсутствием автоматического секционирования и восстановления питания на уровне ВЛ 6–10 кВ.</w:t>
      </w:r>
    </w:p>
    <w:p w14:paraId="7EE5CDD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на неавтоматизированной ВЛ 6–10 кВ восстановление питания включает: срабатывание защит головного выключателя и отключение всей линии; направление ОВБ; обход линии для поиска места повреждения; ручное переключение разъединителей. Время восстановления составляет от 2 до 8 часов, при этом обесточиваются все потребители фидера [1]. Внедрение автоматики на базе реклоузеров и разъединителей с дистанционным управлением позволяет сократить это время до 1–2 минут.</w:t>
      </w:r>
    </w:p>
    <w:p w14:paraId="645A1A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Цель работы —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6–10 кВ.</w:t>
      </w:r>
    </w:p>
    <w:p w14:paraId="774088A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Задачи:</w:t>
      </w:r>
    </w:p>
    <w:p w14:paraId="29364F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Проанализировать устройства и структуру системы автоматики автоматизированных ВЛ 6–10 кВ.</w:t>
      </w:r>
    </w:p>
    <w:p w14:paraId="32E7FC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Разработать алгоритмы обнаружения аварийных режимов, секционирования и восстановления электроснабжения автоматизированного участка ВЛ.</w:t>
      </w:r>
    </w:p>
    <w:p w14:paraId="600B2D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Исследовать работу разработанных алгоритмов в нормальных и аварийных режимах эксплуатации.</w:t>
      </w:r>
    </w:p>
    <w:p w14:paraId="28BEB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Оценить требования и перспективы промышленного внедрения разработанных решений.</w:t>
      </w:r>
    </w:p>
    <w:p w14:paraId="089860D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Объект исследования — автоматизированный участок ВЛ 6–10 кВ, оснащённый реклоузерами, разъединителями с дистанционным управлением и ИКЗ.</w:t>
      </w:r>
    </w:p>
    <w:p w14:paraId="04C203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Предмет исследования — алгоритмы автоматики (обнаружение КЗ, секционирование, восстановление питания) и схемы дистанционного управления коммутационными аппаратами.</w:t>
      </w:r>
    </w:p>
    <w:p w14:paraId="765430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исследования: анализ нормативно-технической документации (ПУЭ, ГОСТ Р, СТО «Россети»); анализ оборудования и схем автоматизации; разработка алгоритмов на основе конечных автоматов; программное моделирование в прототипе SCADA-системы.</w:t>
      </w:r>
    </w:p>
    <w:p w14:paraId="2951E0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Научная новизна состоит в разработке комплексного подхода к алгоритмам FLISR для российских ВЛ 6–10 кВ с учётом специфики воздушных линий — высокой доли неустойчивых повреждений, радиально-магистральной топологии и требований ПУЭ.</w:t>
      </w:r>
    </w:p>
    <w:p w14:paraId="191FE5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значимость определяется ориентацией на промышленное внедрение. Разработанный прототип SCADA-системы подтверждает работоспособность алгоритмов и может служить основой для создания промышленного ПО автоматизации распределительных сетей.</w:t>
      </w:r>
    </w:p>
    <w:p w14:paraId="770E610E">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pPr>
      <w:bookmarkStart w:id="7" w:name="_Toc1752965315"/>
      <w:r>
        <w:rPr>
          <w:rFonts w:ascii="Times New Roman" w:hAnsi="Times New Roman" w:eastAsia="Times New Roman" w:cs="Times New Roman"/>
          <w:b/>
          <w:sz w:val="28"/>
        </w:rPr>
        <w:t>1 Устройства и структура системы автоматики автоматизированных ВЛ 6-10 кВ</w:t>
      </w:r>
      <w:bookmarkEnd w:id="7"/>
    </w:p>
    <w:p w14:paraId="7DAE566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Автоматика управления распределительными сетями 6-10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 особенно в сетях с воздушными линиями значительной протяжённости. </w:t>
      </w:r>
    </w:p>
    <w:p w14:paraId="2436E65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действующих нормативных документах (ПУЭ, СТО «Россети», РД по РЗА) подчёркивается, что выбор схемы сети, состава коммутационной аппаратуры и структуры автоматики должен обеспечивать локализацию повреждений, возможность автоматического восстановления электроснабжения и безопасное выполнение переключений.</w:t>
      </w:r>
    </w:p>
    <w:p w14:paraId="4C10FC4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распределительных сетей 6-10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 Для таких сетей характерен переход от традиционного «реактивного» управления, основанного на выездах оперативного персонала и локальных переключениях, к активному режиму, при котором система автоматически распознаёт аварийные состояния, выполняет секционирование и реконфигурацию схемы питания с минимальным участием диспетчера.</w:t>
      </w:r>
    </w:p>
    <w:p w14:paraId="42EAB02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Автоматическое секционирование распределительных сетей 6-10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w:t>
      </w:r>
    </w:p>
    <w:p w14:paraId="6A11AA7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6–10 кВ, и в современные подходы к цифровизации распределительных сетей. На фоне традиционных решений в виде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и плавких предохранителей реклоузер выступает как «интеллектуальный» аппарат, совмещающий функции быстродействующего выключателя, устройства релейной защиты и узла сбора диагностической информации, что позволяет не только отключать повреждённый участок, но и поддерживать работоспособность сети при кратковременных отклонениях параметров, автоматически восстанавливая питание там, где это возможно.</w:t>
      </w:r>
    </w:p>
    <w:p w14:paraId="6930A2B3">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8" w:name="_Toc759896012"/>
      <w:r>
        <w:rPr>
          <w:rFonts w:ascii="Times New Roman" w:hAnsi="Times New Roman" w:eastAsia="Times New Roman" w:cs="Times New Roman"/>
          <w:b/>
          <w:sz w:val="28"/>
        </w:rPr>
        <w:t>1.1 Назначение и задачи автоматики в распределительных сетях 6-10 кВ</w:t>
      </w:r>
      <w:bookmarkEnd w:id="8"/>
    </w:p>
    <w:p w14:paraId="09DEA5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Распределительные сети 6-10 кВ обеспечивают питание потребителей всех трёх категорий по надёжности, поэтому режимы их работы жёстко увязаны с требованиями ПУЭ по обеспечению непрерывности электроснабжения и допустимой длительности перерывов. В главе 1.2 ПУЭ [1] указывается, что при проектировании систем электроснабжения необходимо учитывать ремонтные, аварийные и послеаварийные режимы, а также предусматривать технические мероприятия, обеспечивающие надёжность и резервирование питания потребителей.​</w:t>
      </w:r>
    </w:p>
    <w:p w14:paraId="3D74EFF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автоматики управления на уровне сетей 6-10 кВ заключается в автоматическом реагировании на изменения состояния сети (повреждения, перегрузки, изменение схемы) без участия оперативного персонала, с сохранением питания максимально возможного числа потребителей. Основные задачи такой автоматики можно сформулировать следующим образом:</w:t>
      </w:r>
    </w:p>
    <w:p w14:paraId="4A25DCE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обнаружение и локализация аварийных режимов (межфазные КЗ, однофазные замыкания на землю, перегрузки) по параметрам тока и напряжения, с обеспечением селективного отключения только повреждённого участка сети;</w:t>
      </w:r>
    </w:p>
    <w:p w14:paraId="2998300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автоматическое восстановление электроснабжения за счёт АПВ реклоузеров и/или автоматического включения резервных связей (АВР по сети), с учётом требований ПУЭ к категориям электроприёмников и независимым источникам питания;</w:t>
      </w:r>
    </w:p>
    <w:p w14:paraId="4E78746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обеспечение безопасного выполнения коммутаций (отключение и включение участков ВЛ, перевод нагрузки, выделение участка в ремонт) при соблюдении блокировок и условий бестоковой паузы, требуемых нормативными документами.</w:t>
      </w:r>
    </w:p>
    <w:p w14:paraId="7E15B1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отраслевых стандартах «Россетей» [2], регламентирующих применение секционирующих пунктов с реклоузерами 6-10 кВ, назначение автоматики дополнительно увязывается с улучшением нормативных показателей надёжности SAIDI и SAIFI для распределительных сетей.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 что прямо отражается на значениях этих индексов.</w:t>
      </w:r>
    </w:p>
    <w:p w14:paraId="214C927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9" w:name="_Toc487024975"/>
      <w:r>
        <w:rPr>
          <w:rFonts w:ascii="Times New Roman" w:hAnsi="Times New Roman" w:eastAsia="Times New Roman" w:cs="Times New Roman"/>
          <w:b/>
          <w:sz w:val="28"/>
        </w:rPr>
        <w:t>1.2 Классификация устройств и систем автоматики и управления</w:t>
      </w:r>
      <w:bookmarkEnd w:id="9"/>
    </w:p>
    <w:p w14:paraId="119C51A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Систему автоматики управления в распределительных сетях 6-10 кВ целесообразно рассматривать в двух плоскостях: по функциональному назначению и по архитектуре (локальная или централизованная). </w:t>
      </w:r>
    </w:p>
    <w:p w14:paraId="34F431E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функциональному назначению можно выделить следующие группы устройств и алгоритмов:</w:t>
      </w:r>
    </w:p>
    <w:p w14:paraId="172B4F6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защитная автоматика (релейные защиты линий и трансформаторов, защита от замыканий на землю, максимальные токовые защиты, дистанционные и направленные защиты), обеспечивающая отключение повреждённых элементов сети в соответствии с требованиями раздела 3 ПУЭ «Защита и автоматика»;</w:t>
      </w:r>
    </w:p>
    <w:p w14:paraId="7391C5C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оперативно-восстановительная автоматика (АПВ, АВР, автоматическое секционирование фидеров), реализующая автоматические переключения для восстановления питания и изменения схемы сети без участия оперативного персонала;</w:t>
      </w:r>
    </w:p>
    <w:p w14:paraId="3A5D7FA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информационно-диагностическая автоматика (регистрация аварийных событий, измерение токов и напряжений, диагностика состояния устройств РЗА и коммутационной аппаратуры, самодиагностика микропроцессорных терминалов), обеспечивающая персонал необходимыми данными для анализа работы сети.</w:t>
      </w:r>
    </w:p>
    <w:p w14:paraId="2FF7A04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архитектуре, в соответствии с современными решениями для распределительных сетей 6-10 кВ, автоматику можно разделить на локальную и централизованную:</w:t>
      </w:r>
    </w:p>
    <w:p w14:paraId="49CBD55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локальная автоматика реализуется непосредственно в терминалах РЗА реклоузеров и контроллерах «умных» разъединителей, выполняющих отключение, АПВ и простейшее секционирование по заранее заданным уставкам и логике;</w:t>
      </w:r>
    </w:p>
    <w:p w14:paraId="2BC49B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централизованная автоматика реализуется на уровне АСДУ (SCADA) или специализированных контроллеров распределительной сети, которые на основе телеметрии от реклоузеров и разъединителей формируют оптимальные команды по реконфигурации сети, АВР по сети, ограничению нагрузки и другим действиям.</w:t>
      </w:r>
    </w:p>
    <w:p w14:paraId="3083455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и разъединители с дистанционным управлением в этом контексте выступают как исполнительные устройства, совмещающие функции коммутационной аппаратуры и элемента системы автоматики и телемеханики [3]. Для них нормативные документы устанавливают требования как к электрическим параметрам и коммутационной способности, так и к наличию встроенной РЗА, поддержке телемеханики и возможности работы в составе централизованных систем управления.</w:t>
      </w:r>
    </w:p>
    <w:p w14:paraId="370771C5">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0" w:name="_Toc1368576108"/>
      <w:r>
        <w:rPr>
          <w:rFonts w:ascii="Times New Roman" w:hAnsi="Times New Roman" w:eastAsia="Times New Roman" w:cs="Times New Roman"/>
          <w:b/>
          <w:sz w:val="28"/>
        </w:rPr>
        <w:t>1.3 Особенности применения автоматики на воздушных линиях 6-10 кВ</w:t>
      </w:r>
      <w:bookmarkEnd w:id="10"/>
    </w:p>
    <w:p w14:paraId="33A46C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Воздушные линии 6-10 кВ по сравнению с кабельными участками характеризуются более высокой частотой повреждений, значительной долей неустойчивых КЗ (например, перекрытий из</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за веток, гололёда, грозовых перенапряжений) и большой протяжённостью, что увеличивает время поиска места повреждения. ПУЭ допускает работу сетей 2-35 кВ с изолированной или компенсированной нейтралью,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w:t>
      </w:r>
    </w:p>
    <w:p w14:paraId="45E8431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этих условиях применение реклоузеров на ВЛ 6-10 кВ позволяет реализовать несколько ключевых возможностей:</w:t>
      </w:r>
    </w:p>
    <w:p w14:paraId="7A61B0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выполнение автоматического повторного включения для самоустраняющихся повреждений, что существенно снижает число длительных отключений потребителей при грозовых и временных перекрытиях;</w:t>
      </w:r>
    </w:p>
    <w:p w14:paraId="10B18A3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w:t>
      </w:r>
    </w:p>
    <w:p w14:paraId="06112DC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уменьшение времени поиска и устранения повреждения за счёт того, что участок, на котором зафиксировано отключение реклоузера, непосредственно указывает на зону дефекта.</w:t>
      </w:r>
    </w:p>
    <w:p w14:paraId="5C1659E0">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«Умные» разъединители на опорах ВЛ дополняют реклоузеры, обеспечивая дистанционное разделение линий, изменение схемы питания, выделение участков в ремонт и создание временных схем электроснабжения без выезда оперативного персонала. При этом ПУЭ и отраслевые стандарты требуют, чтобы коммутирование нагрузочных токов и токов КЗ осуществлялось выключателями или реклоузерами, тогда как разъединители должны работать в бестоковую паузу, что учитывается при разработке алгоритмов совместной работы этих аппаратов.</w:t>
      </w:r>
    </w:p>
    <w:p w14:paraId="6082C8C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1" w:name="_Toc2108787786"/>
      <w:r>
        <w:rPr>
          <w:rFonts w:ascii="Times New Roman" w:hAnsi="Times New Roman" w:eastAsia="Times New Roman" w:cs="Times New Roman"/>
          <w:b/>
          <w:sz w:val="28"/>
        </w:rPr>
        <w:t>1.4 Нормативные требования к системам автоматики и дистанционного управления</w:t>
      </w:r>
      <w:bookmarkEnd w:id="11"/>
    </w:p>
    <w:p w14:paraId="145C80EA">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Нормативные требования к системам автоматики и дистанционного управления реклоузерами и разъединителями в распределительных сетях 6-10 кВ формируются на основе нескольких уровней документов. ПУЭ задаёт общие принципы построения систем электроснабжения, требования к защите, автоматике и телемеханике, а также к выбору схем сетей, резервированию и обеспечению электробезопасности. В главе 3.3 ПУЭ устанавливается, что автоматика и телемеханика должны обеспечивать выполнение переключений, необходимое для нормальной и послеаварийной работы электроустановки, с требуемой надёжностью и селективностью.</w:t>
      </w:r>
    </w:p>
    <w:p w14:paraId="3BCA3A98">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23.1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2017 [4] (и родственные ему стандарты «Россетей») регламентируют применение секционирующих пунктов с реклоузерами в сетях 6-10 кВ, определяют типовые схемы включения реклоузеров, их место в структуре сети и требования к функциям автоматики, включая АПВ, автоматическое секционирование и взаимодействие с АСДУ.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6-35 кВ. Общие технические требования» [5] устанавливает требования к функционалу реклоузера как устройства РЗА и коммутации: наличие встроенных защит, заданного числа циклов АПВ, средств регистрации аварийных событий, интерфейсов связи и устойчивости к воздействиям окружающей среды.</w:t>
      </w:r>
    </w:p>
    <w:p w14:paraId="5836ABCA">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«Правила технического обслуживания устройств РЗА и электроавтоматики электрических сетей 0,4-35 кВ» [6] определяет требования к надёжности устройств автоматики, видам и периодичности их технического обслуживания, испытаний и опробований, а также к организации контроля и самодиагностики, что критично для бесперебойной работы функций автоматики на реклоузерах и разъединителях. В совокупности эти документы задают рамки,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6-10 кВ.</w:t>
      </w:r>
    </w:p>
    <w:p w14:paraId="7575EC2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2" w:name="_Toc326209214"/>
      <w:r>
        <w:rPr>
          <w:rFonts w:ascii="Times New Roman" w:hAnsi="Times New Roman" w:eastAsia="Times New Roman" w:cs="Times New Roman"/>
          <w:b/>
          <w:sz w:val="28"/>
        </w:rPr>
        <w:t>1.5 Назначение и функции реклоузеров в распределительных сетях 6-10 кВ</w:t>
      </w:r>
      <w:bookmarkEnd w:id="12"/>
    </w:p>
    <w:p w14:paraId="47F163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в распределительных сетях 6-10 кВ выполняют функции быстродействующих коммутационных аппаратов с встроенной релейной защитой и автоматикой, предназначенных для коммутации, пропускания, автоматического отключения и повторного включения цепи по заранее заданной последовательности циклов. В соответствии со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должны обеспечивать работу в составе распределительных сетей 6-35 кВ, выполнять заданное число циклов АПВ, иметь средства дистанционного управления и регистрации аварийных событий.</w:t>
      </w:r>
    </w:p>
    <w:p w14:paraId="2A53385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Современный реклоузер для ВЛ 6-10 кВ, помимо базовых функций МТЗ и АПВ, как правило, реализует целый набор защит и автоматик: направленную МТЗ, защиту минимального и максимального напряжения, автоматический ввод резервного питания (АВР), автоматическое восстановление нормального режима (АВНР), а также функции автоматического и ручного переконфигурирования сети. Наличие встроенных средств регистрации аварийных событий, осциллографирования и контроля ресурса коммутационного аппарата позволяет использовать реклоузер не только как силовой аппарат, но и как полноценный элемент цифровой сети, обеспечивающий сбор и передачу диагностической информации в систему верхнего уровня.</w:t>
      </w:r>
    </w:p>
    <w:p w14:paraId="1294E5C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условиях распределительных сетей 6-10 кВ основными задачами реклоузеров являются:</w:t>
      </w:r>
    </w:p>
    <w:p w14:paraId="7540D8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защита воздушных и смешанных линий от токов короткого замыкания и перегрузки с обеспечением селективного отключения повреждённых участков;</w:t>
      </w:r>
    </w:p>
    <w:p w14:paraId="53D0605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реализация автоматического повторного включения для самоустраняющихся повреждений, характернсых для ВЛ 6-10 кВ;</w:t>
      </w:r>
    </w:p>
    <w:p w14:paraId="7C0D8129">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секционирование фидеров с целью ограничения зоны отключения и сокращения времени поиска повреждений;</w:t>
      </w:r>
    </w:p>
    <w:p w14:paraId="2D20F6A2">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обеспечение дистанционного управления и наблюдаемости линии со стороны АСДУ или централизованного контроллера сети.</w:t>
      </w:r>
    </w:p>
    <w:p w14:paraId="07BB42FE">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На примере вакуумного реклоузера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РВ можно отметить,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 автоматики, блоком питания и интерфейсами связи. Это позволяет реализовать полный комплекс функций: отключение и включение линии, АПВ, регистрацию аварийных событий, измерение токов и напряжений, передачу данных в систему верхнего уровня, а также выполнение оперативных переключений на ВЛ без выезда оперативного персонала.</w:t>
      </w:r>
    </w:p>
    <w:p w14:paraId="152557E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 в автоматизированной ВЛ 6–10 кВ фактически выполняет функции пункта секционирования, совмещая в себе защиту линии, коммутацию в нормальных и аварийных режимах, автоматическое секционирование и резервирование, а также дистанционное управление. В отличие от традиционных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выносной реклоузер размещается непосредственно на опоре ВЛ, что сокращает объём строительных работ, уменьшает длину секций и позволяет точнее адаптировать расположение аппарата к фактической конфигурации нагрузки и статистике повреждений.</w:t>
      </w:r>
    </w:p>
    <w:p w14:paraId="48E31DF9">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3" w:name="_Toc72508907"/>
      <w:r>
        <w:rPr>
          <w:rFonts w:ascii="Times New Roman" w:hAnsi="Times New Roman" w:eastAsia="Times New Roman" w:cs="Times New Roman"/>
          <w:b/>
          <w:sz w:val="28"/>
        </w:rPr>
        <w:t>1.6 Назначение и функции разъединителей с дистанционным управлением</w:t>
      </w:r>
      <w:bookmarkEnd w:id="13"/>
    </w:p>
    <w:p w14:paraId="4C01B2D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Разъединители в распределительных сетях 6-10 кВ традиционно используются для создания видимого разрыва, изменения схемы сети и обеспечения безопасного вывода оборудования в ремонт, при этом по ПУЭ и типовым руководствам они не предназначены для отключения токов нагрузки и токов короткого замыкания. В современных проектах автоматизации ВЛ используются «умные» разъединители с дистанционным управлением и встроенными индикаторами токов короткого замыкания, которые сохраняют коммутационные ограничения классического разъединителя, но дополняются средствами автоматики и телемеханики.</w:t>
      </w:r>
    </w:p>
    <w:p w14:paraId="7836FD0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таких разъединителей в автоматизированных сетях 6-10 кВ заключается в:</w:t>
      </w:r>
    </w:p>
    <w:p w14:paraId="7096F4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дистанционном выполнении операций включения и отключения в бестоковую паузу, создаваемую реклоузером или выключателем, с обеспечением видимого разрыва и возможностью заземления отключённого участка;</w:t>
      </w:r>
    </w:p>
    <w:p w14:paraId="6A233A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участии в автоматизированном секционировании линий и изменении схемы сети (включение/отключение ответвлений, перемычек, обходных линий) по командам АСДУ или сетевого контроллера;</w:t>
      </w:r>
    </w:p>
    <w:p w14:paraId="6499177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повышении наблюдаемости сети за счёт передачи в систему верхнего уровня информации о состоянии разъединителя, наличии токов КЗ и однофазных замыканий на землю, а также регистрации аварийных событий.</w:t>
      </w:r>
    </w:p>
    <w:p w14:paraId="60267AA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кабельных линиях сложной топологии и гарантированно передавать информацию в системы верхнего уровня. При этом сами коммутационные операции по отключению токов КЗ выполняются реклоузерами или выключателями, а разъединители задействуются только после создания бестоковой паузы, что соответствует требованиям ПУЭ и отраслевых стандартов.</w:t>
      </w:r>
    </w:p>
    <w:p w14:paraId="7B7B3F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Интеллектуальные разъединители 6-10 кВ с автоматизированным приводом и встроенными индикаторами короткого замыкания (ИКЗ) превращают обычный линейный разъединитель в активный элемент системы автоматики. Такие устройства не только выполняют секционирование линии в бестоковую паузу, но и фиксируют факты и направление протекания токов КЗ и ОЗЗ, передают информацию в шкаф управления и далее в АСДУ, что резко сокращает время поиска повреждённого участка и позволяет выполнять дистанционное секционирование без выезда оперативной бригады.</w:t>
      </w:r>
    </w:p>
    <w:p w14:paraId="3F3D83D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4" w:name="_Toc1033972100"/>
      <w:r>
        <w:rPr>
          <w:rFonts w:ascii="Times New Roman" w:hAnsi="Times New Roman" w:eastAsia="Times New Roman" w:cs="Times New Roman"/>
          <w:b/>
          <w:sz w:val="28"/>
        </w:rPr>
        <w:t>1.7 Структура системы автоматики автоматизированного участка ВЛ 6-10 кВ</w:t>
      </w:r>
      <w:bookmarkEnd w:id="14"/>
    </w:p>
    <w:p w14:paraId="35F770AD">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Система автоматики автоматизированного участка ВЛ 6-10 кВ представляет</w:t>
      </w:r>
      <w:r>
        <w:rPr>
          <w:rFonts w:ascii="Times New Roman" w:hAnsi="Times New Roman" w:eastAsia="Times New Roman" w:cs="Times New Roman"/>
          <w:b w:val="0"/>
          <w:sz w:val="28"/>
        </w:rPr>
        <w:t xml:space="preserve"> </w:t>
      </w:r>
      <w:r>
        <w:rPr>
          <w:rFonts w:ascii="Times New Roman" w:hAnsi="Times New Roman" w:eastAsia="Times New Roman" w:cs="Times New Roman"/>
          <w:b w:val="0"/>
          <w:sz w:val="28"/>
          <w:szCs w:val="28"/>
        </w:rPr>
        <w:t>собой совокупность устройств релейной защиты и автоматики, коммутационной аппаратуры (реклоузеров и разъединителей), контроллеров и систем диспетчерского управления, объединённых каналами связи. На нижнем уровне находятся реклоузеры с встроенными терминалами РЗА, шкафы управления разъединителями и индикаторы коротких замыканий, обеспечивающие локальное выполнение защитных и переключательных функций.</w:t>
      </w:r>
    </w:p>
    <w:p w14:paraId="70AA5EB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верхнем уровне система включает:</w:t>
      </w:r>
    </w:p>
    <w:p w14:paraId="530038F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АСДУ (SCADA) или сетевой контроллер распределительной сети, осуществляющий сбор телеметрии, визуализацию схемы сети, формирование команд дистанционного управления и реализацию централизованных алгоритмов секционирования и восстановления электроснабжения;</w:t>
      </w:r>
    </w:p>
    <w:p w14:paraId="4A9750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серверы архивирования и анализа данных, обеспечивающие хранение и обработку информации о режимах работы сети, аварийных событиях и действиях автоматики;</w:t>
      </w:r>
    </w:p>
    <w:p w14:paraId="29EC8BE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рабочие места оперативного персонала, на которых отображается топология сети, состояние реклоузеров и разъединителей, а также результаты срабатывания защит и автоматики.</w:t>
      </w:r>
    </w:p>
    <w:p w14:paraId="72BFA2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и типовые решения ПАО «Россети» предусматривают, что структура системы автоматики должна обеспечивать селективность срабатывания устройств, координацию локальных алгоритмов АПВ и секционирования с централизованными функциями АСДУ, а также возможность резервного местного управления оборудованием в случае отказа каналов связи или верхнего уровня. При этом устройства РЗА и автоматики подлежат техническому обслуживанию и проверкам в соответствии с требованиями 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что учитывается при проектировании структуры системы.</w:t>
      </w:r>
    </w:p>
    <w:p w14:paraId="039865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Современные решения по автоматизации ВЛ 6-10 кВ всё чаще реализуют технологию FLISR (Fault Location, Isolation and Service Restoration) [8], в рамках которой система должна выполнить три последовательных действия: обнаружить и локализовать участок с повреждением, изолировать его с помощью коммутационных аппаратов и восстановить электроснабжение по неповреждённой части сети. В этой логике реклоузер выступает основным устройством автоматического отключения и повторного включения линии, а интеллектуальные разъединители с ИКЗ обеспечивают точное выделение повреждённого участка и возможность его изоляции и последующего вывода в ремонт.</w:t>
      </w:r>
    </w:p>
    <w:p w14:paraId="6C78C46D">
      <w:pPr>
        <w:spacing w:before="0" w:after="0" w:line="360" w:lineRule="auto"/>
        <w:ind w:firstLine="709"/>
        <w:jc w:val="both"/>
      </w:pPr>
      <w:r>
        <w:rPr>
          <w:rFonts w:ascii="Times New Roman" w:hAnsi="Times New Roman" w:eastAsia="Times New Roman" w:cs="Times New Roman"/>
          <w:b w:val="0"/>
          <w:sz w:val="28"/>
        </w:rPr>
        <w:t>На рисунке 1.1 представлена структурная схема автоматизированного участка ВЛ 6–10 кВ с выделением ключевых элементов автоматики и телемеханики, обеспечивающих реализацию функций секционирования, дистанционного управления и диспетчерского контроля.</w:t>
      </w:r>
    </w:p>
    <w:p w14:paraId="7BBA9661">
      <w:pPr>
        <w:spacing w:before="0" w:after="0" w:line="360" w:lineRule="auto"/>
        <w:ind w:firstLine="0"/>
        <w:jc w:val="left"/>
      </w:pPr>
      <w:r>
        <w:rPr>
          <w:rFonts w:ascii="Times New Roman" w:hAnsi="Times New Roman" w:eastAsia="Times New Roman" w:cs="Times New Roman"/>
          <w:b w:val="0"/>
          <w:sz w:val="28"/>
        </w:rPr>
        <w:drawing>
          <wp:inline distT="0" distB="0" distL="114300" distR="114300">
            <wp:extent cx="5486400" cy="548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7"/>
                    <a:stretch>
                      <a:fillRect/>
                    </a:stretch>
                  </pic:blipFill>
                  <pic:spPr>
                    <a:xfrm>
                      <a:off x="0" y="0"/>
                      <a:ext cx="5486400" cy="5486400"/>
                    </a:xfrm>
                    <a:prstGeom prst="rect">
                      <a:avLst/>
                    </a:prstGeom>
                  </pic:spPr>
                </pic:pic>
              </a:graphicData>
            </a:graphic>
          </wp:inline>
        </w:drawing>
      </w:r>
    </w:p>
    <w:p w14:paraId="0A06B2F9">
      <w:pPr>
        <w:spacing w:before="0" w:after="0" w:line="360" w:lineRule="auto"/>
        <w:ind w:firstLine="0"/>
        <w:jc w:val="center"/>
      </w:pPr>
      <w:r>
        <w:rPr>
          <w:rFonts w:ascii="Times New Roman" w:hAnsi="Times New Roman" w:eastAsia="Times New Roman" w:cs="Times New Roman"/>
          <w:b w:val="0"/>
          <w:sz w:val="28"/>
        </w:rPr>
        <w:t>Рисунок 1.1 – Структурная схема автоматизированного участка ВЛ 6–10 кВ</w:t>
      </w:r>
    </w:p>
    <w:p w14:paraId="23D25DA4">
      <w:pPr>
        <w:spacing w:before="0" w:after="0" w:line="360" w:lineRule="auto"/>
        <w:ind w:firstLine="709"/>
        <w:jc w:val="both"/>
      </w:pPr>
      <w:r>
        <w:rPr>
          <w:rFonts w:ascii="Times New Roman" w:hAnsi="Times New Roman" w:eastAsia="Times New Roman" w:cs="Times New Roman"/>
          <w:b w:val="0"/>
          <w:sz w:val="28"/>
        </w:rPr>
        <w:t>На схеме показаны реклоузеры, разъединители с дистанционным управлением, шкафы телемеханики и связи, каналы передачи данных, а также диспетчерский пункт SCADA. Такое построение структуры соответствует логике автоматизированного секционирования и последующего восстановления электроснабжения неповреждённых участков линии, рассматриваемой в данной работе.</w:t>
      </w:r>
    </w:p>
    <w:p w14:paraId="3CBA144A">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5" w:name="_Toc531413176"/>
      <w:r>
        <w:rPr>
          <w:rFonts w:ascii="Times New Roman" w:hAnsi="Times New Roman" w:eastAsia="Times New Roman" w:cs="Times New Roman"/>
          <w:b/>
          <w:sz w:val="28"/>
        </w:rPr>
        <w:t>1.8 Взаимодействие реклоузеров и разъединителей в автоматизированной сети</w:t>
      </w:r>
      <w:bookmarkEnd w:id="15"/>
    </w:p>
    <w:p w14:paraId="49A91CB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Эффективность автоматизации распределительных сетей 6-10 кВ достигается за счёт согласованной работы реклоузеров и разъединителей с дистанционным управлением, при которой каждый тип аппарата выполняет строго определённые функции. Реклоузеры выполняют отключение токов короткого замыкания и реализацию АПВ, а разъединители обеспечивают последующее секционирование, изменение схемы питания и выделение участков в ремонт при соблюдении требований по коммутации в бестоковую паузу.</w:t>
      </w:r>
    </w:p>
    <w:p w14:paraId="77C0984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Можно выделить несколько типовых сценариев взаимодействия:</w:t>
      </w:r>
    </w:p>
    <w:p w14:paraId="329E2A1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аварийного отключения и АПВ: при возникновении повреждения на удалённом участке ВЛ реклоузер отключает линию и выполняет один или несколько циклов АПВ; при стойком повреждении соответствующая секция остаётся отключённой, а неповреждённые участки линии продолжают работу, при необходимости разъединители используются для дополнительного разделения сети;</w:t>
      </w:r>
    </w:p>
    <w:p w14:paraId="78C28A6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автоматического секционирования: в кольцевых или радиальных схемах с несколькими реклоузерами и «умными» разъединителями при аварии отключается только минимальный по протяжённости участок, ограниченный ближайшими к месту повреждения аппаратами, при этом по командам АСДУ возможен ввод резервного питания с другой стороны кольца;</w:t>
      </w:r>
    </w:p>
    <w:p w14:paraId="5A44728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реконфигурации сети и вывода в ремонт: разъединители используются для пофидерного и посекционного отключения участков, переводов нагрузки и формирования временных схем, в то время как реклоузеры обеспечивают отключение токов нагрузки и создание бестоковой паузы для безопасной работы разъединителей.</w:t>
      </w:r>
    </w:p>
    <w:p w14:paraId="0EEA681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Такая логика взаимодействия соответствует требованиям ПУЭ к коммутационной аппаратуре и устройствам автоматического включения и отключения, а также принципам, заложенным в отраслевые стандарты по применению реклоузеров и секционирующих пунктов в сетях 6-10 кВ.</w:t>
      </w:r>
    </w:p>
    <w:p w14:paraId="51A89D1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6" w:name="_Toc76761159"/>
      <w:r>
        <w:rPr>
          <w:rFonts w:ascii="Times New Roman" w:hAnsi="Times New Roman" w:eastAsia="Times New Roman" w:cs="Times New Roman"/>
          <w:b/>
          <w:sz w:val="28"/>
        </w:rPr>
        <w:t>1.9 Структурные схемы дистанционного управления реклоузерами и разъединителями</w:t>
      </w:r>
      <w:bookmarkEnd w:id="16"/>
    </w:p>
    <w:p w14:paraId="1589086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Структурные схемы дистанционного управления реклоузерами и разъединителями в автоматизированных ВЛ 6-10 кВ строятся на основе типовых решений ПАО «Россети» и технической документации производителей оборудования, таких как АО «РИМ» (решения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Цифра»). В общем виде схема включает: реклоузеры с встроенными терминалами РЗА, шкафы управления разъединителями, устройства связи, контроллеры верхнего уровня и АСДУ, что обеспечивает полный цикл управления от местного до диспетчерского уровня.</w:t>
      </w:r>
    </w:p>
    <w:p w14:paraId="4513130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Пример структурной схемы, разработанной на основе типовых решений по автоматике распределительных сетей 6-10 кВ представлен на рисунке 1.2 [7].</w:t>
      </w:r>
    </w:p>
    <w:p w14:paraId="07CDF0AD">
      <w:pPr>
        <w:keepLines w:val="0"/>
        <w:widowControl/>
        <w:kinsoku/>
        <w:wordWrap/>
        <w:overflowPunct/>
        <w:topLinePunct w:val="0"/>
        <w:autoSpaceDE/>
        <w:autoSpaceDN/>
        <w:bidi w:val="0"/>
        <w:adjustRightInd/>
        <w:snapToGrid/>
        <w:spacing w:before="0" w:after="0" w:line="360" w:lineRule="auto"/>
        <w:ind w:firstLine="0"/>
        <w:jc w:val="left"/>
        <w:textAlignment w:val="auto"/>
        <w:rPr>
          <w:rFonts w:cs="Times New Roman"/>
          <w:sz w:val="28"/>
          <w:szCs w:val="28"/>
        </w:rPr>
      </w:pPr>
      <w:r>
        <w:rPr>
          <w:rFonts w:ascii="Times New Roman" w:hAnsi="Times New Roman" w:eastAsia="Times New Roman" w:cs="Times New Roman"/>
          <w:b w:val="0"/>
          <w:sz w:val="28"/>
        </w:rPr>
        <w:drawing>
          <wp:inline distT="0" distB="0" distL="0" distR="0">
            <wp:extent cx="5930900" cy="2386965"/>
            <wp:effectExtent l="0" t="0" r="1270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8"/>
                    <a:stretch>
                      <a:fillRect/>
                    </a:stretch>
                  </pic:blipFill>
                  <pic:spPr>
                    <a:xfrm>
                      <a:off x="0" y="0"/>
                      <a:ext cx="5956458" cy="2397865"/>
                    </a:xfrm>
                    <a:prstGeom prst="rect">
                      <a:avLst/>
                    </a:prstGeom>
                  </pic:spPr>
                </pic:pic>
              </a:graphicData>
            </a:graphic>
          </wp:inline>
        </w:drawing>
      </w:r>
    </w:p>
    <w:p w14:paraId="0296DD5D">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ascii="Arial" w:hAnsi="Arial" w:cs="Arial"/>
          <w:sz w:val="28"/>
          <w:szCs w:val="28"/>
        </w:rPr>
      </w:pPr>
      <w:r>
        <w:rPr>
          <w:rFonts w:ascii="Times New Roman" w:hAnsi="Times New Roman" w:eastAsia="Times New Roman" w:cs="Times New Roman"/>
          <w:b w:val="0"/>
          <w:sz w:val="28"/>
        </w:rPr>
        <w:t>Рисунок 1.2 – Структурная схема автоматизированного радиального фидера</w:t>
      </w:r>
    </w:p>
    <w:p w14:paraId="70B6FB52">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На структурной схеме показана архитектура работы системы автоматики автоматизированного участка ВЛ 6-10 кВ. </w:t>
      </w:r>
    </w:p>
    <w:p w14:paraId="36D45E0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ИКЗ фиксируют направление и факт протекания тока короткого замыкания и позволяют автоматически сузить зону поиска места повреждения. </w:t>
      </w:r>
    </w:p>
    <w:p w14:paraId="0C27BF8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Реклоузер выполняет функции отключения, автоматического повторного включения и ограничения масштаба аварии за счёт сохранения питания на неповреждённой части линии. </w:t>
      </w:r>
    </w:p>
    <w:p w14:paraId="6BEAA1F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Разъединители с дистанционным управлением обеспечивают секционирование ВЛ и изоляцию повреждённого участка, в том числе по командам системы верхнего уровня. </w:t>
      </w:r>
    </w:p>
    <w:p w14:paraId="23543C0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SCADA</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 xml:space="preserve">платформа (АСДУ) объединяет все элементы, обеспечивает мониторинг состояния линии, координацию действий автоматики и дистанционное управление коммутационной аппаратурой. </w:t>
      </w:r>
    </w:p>
    <w:p w14:paraId="718E998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Таким образом, система обеспечивает полный цикл противоаварийной автоматики – от обнаружения аварийного режима до восстановления электроснабжения по резервной или неповреждённой части сети.</w:t>
      </w:r>
    </w:p>
    <w:p w14:paraId="06A58FFE">
      <w:pPr>
        <w:keepLines w:val="0"/>
        <w:widowControl/>
        <w:kinsoku/>
        <w:wordWrap/>
        <w:overflowPunct/>
        <w:topLinePunct w:val="0"/>
        <w:autoSpaceDE/>
        <w:autoSpaceDN/>
        <w:bidi w:val="0"/>
        <w:adjustRightInd/>
        <w:snapToGrid/>
        <w:spacing w:before="0" w:after="0" w:line="360" w:lineRule="auto"/>
        <w:ind w:firstLine="0"/>
        <w:jc w:val="left"/>
        <w:textAlignment w:val="auto"/>
        <w:rPr>
          <w:rFonts w:cs="Times New Roman"/>
          <w:sz w:val="28"/>
          <w:szCs w:val="28"/>
        </w:rPr>
      </w:pPr>
    </w:p>
    <w:p w14:paraId="79F9EB8F">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10498C4">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56275306">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788D23AF">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2434C15B">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0E866D23">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5EC60855">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9C27E1C">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C38E3EF">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17" w:name="_Toc1634611113"/>
      <w:r>
        <w:rPr>
          <w:rFonts w:ascii="Times New Roman" w:hAnsi="Times New Roman" w:eastAsia="Times New Roman" w:cs="Times New Roman"/>
          <w:b/>
          <w:sz w:val="28"/>
        </w:rPr>
        <w:t>2 Разработка алгоритмов автоматики и дистанционного управления автоматизированным участком ВЛ</w:t>
      </w:r>
      <w:bookmarkEnd w:id="17"/>
    </w:p>
    <w:p w14:paraId="4353D13F">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18" w:name="_Toc372918653"/>
      <w:bookmarkStart w:id="19" w:name="_Toc150680120"/>
      <w:r>
        <w:rPr>
          <w:rFonts w:hint="default" w:ascii="Times New Roman" w:hAnsi="Times New Roman" w:eastAsia="Times New Roman" w:cs="Times New Roman"/>
          <w:b/>
          <w:bCs/>
          <w:sz w:val="28"/>
        </w:rPr>
        <w:t>2.1 Алгоритмы обнаружения аварийных режимов на воздушной линии</w:t>
      </w:r>
      <w:bookmarkEnd w:id="18"/>
      <w:bookmarkEnd w:id="19"/>
    </w:p>
    <w:p w14:paraId="5FB85B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Короткие замыкания в распределительных сетях 6–10 кВ подразделяются на четыре типа: трёхфазное (К3), двухфазное (К2), двухфазное на землю (К1,1) и однофазное замыкание на землю (К1). Трёхфазное КЗ характеризуется максимальными токами и используется при расчёте уставок токовой отсечки. Двухфазное КЗ даёт ток, составляющий 0,87 от тока трёхфазного КЗ, и используется для проверки чувствительности защит. Однофазное замыкание на землю в сетях с изолированной нейтралью характеризуется малыми токами (единицы — десятки ампер) и, согласно ПУЭ [1], допускает продолжение работы сети в течение не более 2 часов.</w:t>
      </w:r>
    </w:p>
    <w:p w14:paraId="1E534C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расчёта токов КЗ регламентированы ГОСТ Р 52735-2007 [14]. Ток трёхфазного КЗ в произвольной точке сети определяется выражением (2.1):</w:t>
      </w:r>
    </w:p>
    <w:p w14:paraId="2A02A5FF">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Iк3 = Uф / Zк</m:t>
        </m:r>
      </m:oMath>
      <w:r>
        <w:tab/>
      </w:r>
      <w:r>
        <w:rPr>
          <w:rFonts w:ascii="Times New Roman" w:hAnsi="Times New Roman" w:eastAsia="Times New Roman" w:cs="Times New Roman"/>
          <w:sz w:val="28"/>
        </w:rPr>
        <w:t>(2.1)</w:t>
      </w:r>
    </w:p>
    <w:p w14:paraId="09286EFB">
      <w:pPr>
        <w:spacing w:before="0" w:after="0" w:line="360" w:lineRule="auto"/>
        <w:ind w:firstLine="709"/>
        <w:jc w:val="both"/>
      </w:pPr>
      <w:r>
        <w:rPr>
          <w:rFonts w:ascii="Times New Roman" w:hAnsi="Times New Roman" w:eastAsia="Times New Roman" w:cs="Times New Roman"/>
          <w:b w:val="0"/>
          <w:sz w:val="28"/>
        </w:rPr>
        <w:t>где Uф — фазное напряжение сети, Zк — полное сопротивление цепи КЗ от источника до точки повреждения. Для линии с погонным сопротивлением z0 и длиной l полное сопротивление составляет по формуле (2.2):</w:t>
      </w:r>
    </w:p>
    <w:p w14:paraId="2591FDA6">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Zк = Zс + z0 × l</m:t>
        </m:r>
      </m:oMath>
      <w:r>
        <w:tab/>
      </w:r>
      <w:r>
        <w:rPr>
          <w:rFonts w:ascii="Times New Roman" w:hAnsi="Times New Roman" w:eastAsia="Times New Roman" w:cs="Times New Roman"/>
          <w:sz w:val="28"/>
        </w:rPr>
        <w:t>(2.2)</w:t>
      </w:r>
    </w:p>
    <w:p w14:paraId="5CFFE7E1">
      <w:pPr>
        <w:spacing w:before="0" w:after="0" w:line="360" w:lineRule="auto"/>
        <w:ind w:firstLine="709"/>
        <w:jc w:val="both"/>
      </w:pPr>
      <w:r>
        <w:rPr>
          <w:rFonts w:ascii="Times New Roman" w:hAnsi="Times New Roman" w:eastAsia="Times New Roman" w:cs="Times New Roman"/>
          <w:b w:val="0"/>
          <w:sz w:val="28"/>
        </w:rPr>
        <w:t>где Zс — сопротивление системы (определяется мощностью КЗ на шинах подстанции).</w:t>
      </w:r>
    </w:p>
    <w:p w14:paraId="57367A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 характеру повреждения КЗ разделяются на устойчивые и неустойчивые. Для воздушных линий 6–10 кВ доля неустойчивых повреждений составляет 50–80 % всех КЗ [15]. Неустойчивые повреждения вызываются схлёстыванием проводов при ветре, перекрытием изоляции при грозах, касанием ветвей деревьев. После снятия напряжения и бестоковой паузы изоляционные свойства промежутка восстанавливаются, и линия может быть включена повторно. Высокая доля неустойчивых повреждений обуславливает обязательность применения АПВ [10].</w:t>
      </w:r>
    </w:p>
    <w:p w14:paraId="73761E9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Статистика аварийности ВЛ 6–10 кВ по данным ПАО «Россети» показывает следующее распределение причин КЗ: грозовые перенапряжения — 30–35 %, падение деревьев и касание ветвей — 25–30 %, гололёдно-ветровые нагрузки — 15–20 %, старение изоляции — 10–15 %, прочие — 5–10 %. Данное распределение определяет приоритеты при настройке алгоритмов защиты: быстродействие ТО для межфазных КЗ при грозах и чувствительность защиты от ОЗЗ для повреждений, вызванных падением деревьев [12].</w:t>
      </w:r>
    </w:p>
    <w:p w14:paraId="674B6AA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2"/>
        <w:rPr>
          <w:rFonts w:hint="default" w:ascii="Times New Roman Bold" w:hAnsi="Times New Roman Bold" w:cs="Times New Roman Bold"/>
          <w:b/>
          <w:bCs/>
        </w:rPr>
      </w:pPr>
      <w:bookmarkStart w:id="20" w:name="_Toc597557027"/>
      <w:r>
        <w:rPr>
          <w:rFonts w:hint="default" w:ascii="Times New Roman" w:hAnsi="Times New Roman" w:eastAsia="Times New Roman" w:cs="Times New Roman"/>
          <w:b/>
          <w:bCs/>
          <w:sz w:val="28"/>
        </w:rPr>
        <w:t>2.1.1 Расчёт уставок релейной защиты реклоузера автоматизированного участка ВЛ 6–10 кВ</w:t>
      </w:r>
      <w:bookmarkEnd w:id="20"/>
    </w:p>
    <w:p w14:paraId="1F3077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Как описано в разделе 1.6, блок управления реклоузера непрерывно измеряет токи в фазах линии и сравнивает их с уставками двух ступеней защиты: токовой отсечки (ТО) и максимальной токовой защиты (МТЗ). Расчёт уставок выполняется на этапе проектирования по методикам, изложенным в [9] и [10].</w:t>
      </w:r>
    </w:p>
    <w:p w14:paraId="190C0B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токовой отсечки определяется из условия отстройки от максимального тока КЗ в конце защищаемой зоны по формуле (2.3):</w:t>
      </w:r>
    </w:p>
    <w:p w14:paraId="06627AA9">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709"/>
        <w:jc w:val="left"/>
        <w:textAlignment w:val="auto"/>
      </w:pPr>
      <w:r>
        <w:tab/>
      </w:r>
      <m:oMath>
        <m:r>
          <m:rPr/>
          <w:rPr>
            <w:rFonts w:ascii="Cambria Math" w:hAnsi="Cambria Math" w:eastAsia="Cambria Math"/>
            <w:sz w:val="28"/>
            <w:szCs w:val="28"/>
          </w:rPr>
          <m:t>Iто = Kн × Iкз.макс.конец,</m:t>
        </m:r>
      </m:oMath>
      <w:r>
        <w:tab/>
      </w:r>
      <w:r>
        <w:rPr>
          <w:rFonts w:ascii="Times New Roman" w:hAnsi="Times New Roman" w:eastAsia="Times New Roman" w:cs="Times New Roman"/>
          <w:sz w:val="28"/>
        </w:rPr>
        <w:t>(2.3)</w:t>
      </w:r>
    </w:p>
    <w:p w14:paraId="52C9FC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коэффициент надёжности (1,2–1,3); Iкз.макс.конец — максимальный ток трёхфазного КЗ в конце защищаемой зоны. ТО действует без выдержки времени (мгновенно) и защищает только часть линии — от точки установки реклоузера до границы зоны, где ток КЗ достаточен для срабатывания [9].</w:t>
      </w:r>
    </w:p>
    <w:p w14:paraId="45AD3C3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Чувствительность ТО проверяется по коэффициенту чувствительности по формуле (2.4):</w:t>
      </w:r>
    </w:p>
    <w:p w14:paraId="15E9AA65">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 = Iкз.мин / Iто,</m:t>
        </m:r>
      </m:oMath>
      <w:r>
        <w:tab/>
      </w:r>
      <w:r>
        <w:rPr>
          <w:rFonts w:ascii="Times New Roman" w:hAnsi="Times New Roman" w:eastAsia="Times New Roman" w:cs="Times New Roman"/>
          <w:sz w:val="28"/>
        </w:rPr>
        <w:t>(2.4)</w:t>
      </w:r>
    </w:p>
    <w:p w14:paraId="365B3798">
      <w:pPr>
        <w:spacing w:before="0" w:after="0" w:line="360" w:lineRule="auto"/>
        <w:ind w:firstLine="709"/>
        <w:jc w:val="both"/>
      </w:pPr>
      <w:r>
        <w:rPr>
          <w:rFonts w:ascii="Times New Roman" w:hAnsi="Times New Roman" w:eastAsia="Times New Roman" w:cs="Times New Roman"/>
          <w:b w:val="0"/>
          <w:sz w:val="28"/>
        </w:rPr>
        <w:t>где Iкз.мин — минимальный ток КЗ (двухфазное) в начале защищаемой зоны. Требование ПУЭ: Кч ≥ 1,2 [1].</w:t>
      </w:r>
    </w:p>
    <w:p w14:paraId="106E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максимальной токовой защиты определяется по выражению (2.5):</w:t>
      </w:r>
    </w:p>
    <w:p w14:paraId="60EC388F">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709"/>
        <w:jc w:val="left"/>
        <w:textAlignment w:val="auto"/>
      </w:pPr>
      <w:r>
        <w:tab/>
      </w:r>
      <m:oMath>
        <m:r>
          <m:rPr/>
          <w:rPr>
            <w:rFonts w:ascii="Cambria Math" w:hAnsi="Cambria Math" w:eastAsia="Cambria Math"/>
            <w:sz w:val="28"/>
            <w:szCs w:val="28"/>
          </w:rPr>
          <m:t>Iмтз = (Kн × Kсз × Iраб.макс) / Kв,</m:t>
        </m:r>
      </m:oMath>
      <w:r>
        <w:tab/>
      </w:r>
      <w:r>
        <w:rPr>
          <w:rFonts w:ascii="Times New Roman" w:hAnsi="Times New Roman" w:eastAsia="Times New Roman" w:cs="Times New Roman"/>
          <w:sz w:val="28"/>
        </w:rPr>
        <w:t>(2.5)</w:t>
      </w:r>
    </w:p>
    <w:p w14:paraId="3DABB43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1,1–1,2 — коэффициент надёжности; Kсз = 1,1–1,3 — коэффициент самозапуска нагрузки после кратковременного перерыва питания; Iраб.макс — максимальный рабочий ток линии; Kв = 0,85–0,95 — коэффициент возврата токового реле. МТЗ защищает всю длину линии и действует с выдержкой времени, обеспечивающей селективность с нижестоящими защитами [10].</w:t>
      </w:r>
    </w:p>
    <w:p w14:paraId="34FA09A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Выдержка времени МТЗ строится по ступенчатому принципу: каждая последующая защита по направлению к источнику питания имеет выдержку времени на ступень селективности Δt = 0,3–0,5 с больше, чем предыдущая. Для головного реклоузера фидера выдержка времени МТЗ составляет 0,5 с при условии, что выдержка защит головного выключателя подстанции равна 0,8–1,0 с [9].</w:t>
      </w:r>
    </w:p>
    <w:p w14:paraId="3D053A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повторное включение рассматривается как составная часть алгоритма реагирования на аварийные режимы.</w:t>
      </w:r>
    </w:p>
    <w:p w14:paraId="521E6E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АПВ является обязательным элементом автоматики ВЛ 6–10 кВ и предназначено для восстановления электроснабжения при неустойчивых повреждениях без вмешательства персонала. Алгоритм АПВ реклоузера реализует программируемую последовательность циклов «отключение — пауза — включение».</w:t>
      </w:r>
    </w:p>
    <w:p w14:paraId="62E2DC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Цикл 1 — быстрое АПВ. После срабатывания защиты и отключения реклоузера выдерживается пауза t1 = 1–3 с, достаточная для деионизации воздушного промежутка в месте повреждения. Реклоузер включается автоматически. Если ток КЗ отсутствует, линия остаётся в работе. Если ток КЗ сохраняется, защита повторно отключает реклоузер. Успешность первого цикла АПВ для ВЛ 6–10 кВ составляет 60–75 %.</w:t>
      </w:r>
    </w:p>
    <w:p w14:paraId="2FED956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защит выполняется на этапе настройки алгоритма аварийного реагирования.</w:t>
      </w:r>
    </w:p>
    <w:p w14:paraId="111A971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неуспешном втором цикле АПВ реклоузер переходит в состояние окончательного отключения (lockout). Блок управления формирует сигнал аварии в систему SCADA с указанием типа сработавшей защиты, значений токов в момент КЗ и количества выполненных циклов АПВ. Дальнейшая ликвидация аварии выполняется алгоритмами автоматического секционирования и восстановления электроснабжения, рассмотренными далее в настоящей главе.</w:t>
      </w:r>
    </w:p>
    <w:p w14:paraId="3A10702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Число циклов АПВ и длительность пауз являются настраиваемыми параметрами блока управления реклоузера. Для ВЛ 6–10 кВ рекомендуется применение двух циклов: быстрого (1–3 с) и замедленного (10–30 с). Увеличение числа циклов до трёх-четырёх допускается для линий с высокой долей неустойчивых повреждений (лесные просеки, открытая местность с грозовой активностью) [9].</w:t>
      </w:r>
    </w:p>
    <w:p w14:paraId="427748C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обеспечивает селективность — при КЗ на любом участке линии отключается только ближайший к месту повреждения защитный аппарат, не затрагивая вышестоящие защиты.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[9], [24].</w:t>
      </w:r>
    </w:p>
    <w:p w14:paraId="7EA612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координации: выдержка времени МТЗ реклоузера Р1 должна быть на ступень селективности Δt меньше выдержки времени защит головного выключателя подстанции. При Δt = 0,3 с и выдержке защит подстанции 0,8 с выдержка МТЗ реклоузера составляет 0,5 с. Токовая отсечка реклоузера действует мгновенно (0,02 с), поэтому селективность с защитами подстанции обеспечивается по зоне действия: ТО реклоузера отстроена от токов КЗ на шинах подстанции [10].</w:t>
      </w:r>
    </w:p>
    <w:p w14:paraId="39788F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w:t>
      </w:r>
    </w:p>
    <w:p w14:paraId="6B487D26">
      <w:pPr>
        <w:spacing w:before="0" w:after="0" w:line="360" w:lineRule="auto"/>
        <w:ind w:firstLine="709"/>
        <w:jc w:val="both"/>
      </w:pPr>
      <w:r>
        <w:rPr>
          <w:rFonts w:ascii="Times New Roman" w:hAnsi="Times New Roman" w:eastAsia="Times New Roman" w:cs="Times New Roman"/>
          <w:b w:val="0"/>
          <w:sz w:val="28"/>
        </w:rPr>
        <w:t>Уставка ТО по формуле (2.6):</w:t>
      </w:r>
    </w:p>
    <w:p w14:paraId="3788A6B2">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Iто = 1,2 × 2000 = 2400 А, принимается 2500 А.</m:t>
        </m:r>
      </m:oMath>
      <w:r>
        <w:tab/>
      </w:r>
      <w:r>
        <w:rPr>
          <w:rFonts w:ascii="Times New Roman" w:hAnsi="Times New Roman" w:eastAsia="Times New Roman" w:cs="Times New Roman"/>
          <w:sz w:val="28"/>
        </w:rPr>
        <w:t>(2.6)</w:t>
      </w:r>
    </w:p>
    <w:p w14:paraId="45959FEC">
      <w:pPr>
        <w:spacing w:before="0" w:after="0" w:line="360" w:lineRule="auto"/>
        <w:ind w:firstLine="709"/>
        <w:jc w:val="both"/>
      </w:pPr>
      <w:r>
        <w:rPr>
          <w:rFonts w:ascii="Times New Roman" w:hAnsi="Times New Roman" w:eastAsia="Times New Roman" w:cs="Times New Roman"/>
          <w:b w:val="0"/>
          <w:sz w:val="28"/>
        </w:rPr>
        <w:t>Уставка МТЗ по формуле (2.7):</w:t>
      </w:r>
    </w:p>
    <w:p w14:paraId="3D765246">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Iмтз = (1,1 × 1,2 × 250) / 0,9 = 367 А, принимается 400 А.</m:t>
        </m:r>
      </m:oMath>
      <w:r>
        <w:tab/>
      </w:r>
      <w:r>
        <w:rPr>
          <w:rFonts w:ascii="Times New Roman" w:hAnsi="Times New Roman" w:eastAsia="Times New Roman" w:cs="Times New Roman"/>
          <w:sz w:val="28"/>
        </w:rPr>
        <w:t>(2.7)</w:t>
      </w:r>
    </w:p>
    <w:p w14:paraId="39717906">
      <w:pPr>
        <w:spacing w:before="0" w:after="0" w:line="360" w:lineRule="auto"/>
        <w:ind w:firstLine="709"/>
        <w:jc w:val="both"/>
      </w:pPr>
      <w:r>
        <w:rPr>
          <w:rFonts w:ascii="Times New Roman" w:hAnsi="Times New Roman" w:eastAsia="Times New Roman" w:cs="Times New Roman"/>
          <w:b w:val="0"/>
          <w:sz w:val="28"/>
        </w:rPr>
        <w:t>Уставка защиты от ОЗЗ по формуле (2.8):</w:t>
      </w:r>
    </w:p>
    <w:p w14:paraId="3DCDEFA5">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Iозз = 10 А</m:t>
        </m:r>
      </m:oMath>
      <w:r>
        <w:tab/>
      </w:r>
      <w:r>
        <w:rPr>
          <w:rFonts w:ascii="Times New Roman" w:hAnsi="Times New Roman" w:eastAsia="Times New Roman" w:cs="Times New Roman"/>
          <w:sz w:val="28"/>
        </w:rPr>
        <w:t>(2.8)</w:t>
      </w:r>
    </w:p>
    <w:p w14:paraId="16768FCE">
      <w:pPr>
        <w:spacing w:before="0" w:after="0" w:line="360" w:lineRule="auto"/>
        <w:ind w:firstLine="709"/>
        <w:jc w:val="both"/>
      </w:pPr>
      <w:r>
        <w:rPr>
          <w:rFonts w:ascii="Times New Roman" w:hAnsi="Times New Roman" w:eastAsia="Times New Roman" w:cs="Times New Roman"/>
          <w:b w:val="0"/>
          <w:sz w:val="28"/>
        </w:rPr>
        <w:t>Значение уставки защиты от ОЗЗ принято по току нулевой последовательности 3I0 [9], [24].</w:t>
      </w:r>
    </w:p>
    <w:p w14:paraId="1F1E4DE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Типовые уставки защит реклоузера Р1 для рассматриваемого фидера приведены в таблице 2.1.</w:t>
      </w:r>
    </w:p>
    <w:p w14:paraId="1D7C0BB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2.1 – Уставки защит реклоузера Р1</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780071C">
        <w:tc>
          <w:tcPr>
            <w:tcW w:w="3118" w:type="dxa"/>
          </w:tcPr>
          <w:p w14:paraId="6E97198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3118" w:type="dxa"/>
          </w:tcPr>
          <w:p w14:paraId="7187EF3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Значение</w:t>
            </w:r>
          </w:p>
        </w:tc>
        <w:tc>
          <w:tcPr>
            <w:tcW w:w="3118" w:type="dxa"/>
          </w:tcPr>
          <w:p w14:paraId="305F4A2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Примечание</w:t>
            </w:r>
          </w:p>
        </w:tc>
      </w:tr>
      <w:tr w14:paraId="36F0D30B">
        <w:tc>
          <w:tcPr>
            <w:tcW w:w="3118" w:type="dxa"/>
          </w:tcPr>
          <w:p w14:paraId="451D01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ТО (Iто)</w:t>
            </w:r>
          </w:p>
        </w:tc>
        <w:tc>
          <w:tcPr>
            <w:tcW w:w="3118" w:type="dxa"/>
          </w:tcPr>
          <w:p w14:paraId="4A6526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2500 А</w:t>
            </w:r>
          </w:p>
        </w:tc>
        <w:tc>
          <w:tcPr>
            <w:tcW w:w="3118" w:type="dxa"/>
          </w:tcPr>
          <w:p w14:paraId="6D7A301C">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1,2; Iкз.конец = 2000 А</m:t>
                </m:r>
              </m:oMath>
            </m:oMathPara>
          </w:p>
        </w:tc>
      </w:tr>
      <w:tr w14:paraId="4B8CF803">
        <w:tc>
          <w:tcPr>
            <w:tcW w:w="3118" w:type="dxa"/>
          </w:tcPr>
          <w:p w14:paraId="01F5A1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ТО (tто)</w:t>
            </w:r>
          </w:p>
        </w:tc>
        <w:tc>
          <w:tcPr>
            <w:tcW w:w="3118" w:type="dxa"/>
          </w:tcPr>
          <w:p w14:paraId="1F8B740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0,02 с</w:t>
            </w:r>
          </w:p>
        </w:tc>
        <w:tc>
          <w:tcPr>
            <w:tcW w:w="3118" w:type="dxa"/>
          </w:tcPr>
          <w:p w14:paraId="6D83C7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Мгновенное действие</w:t>
            </w:r>
          </w:p>
        </w:tc>
      </w:tr>
      <w:tr w14:paraId="2D023EE4">
        <w:tc>
          <w:tcPr>
            <w:tcW w:w="3118" w:type="dxa"/>
          </w:tcPr>
          <w:p w14:paraId="36B6F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МТЗ (Iмтз)</w:t>
            </w:r>
          </w:p>
        </w:tc>
        <w:tc>
          <w:tcPr>
            <w:tcW w:w="3118" w:type="dxa"/>
          </w:tcPr>
          <w:p w14:paraId="19A8080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400 А</w:t>
            </w:r>
          </w:p>
        </w:tc>
        <w:tc>
          <w:tcPr>
            <w:tcW w:w="3118" w:type="dxa"/>
          </w:tcPr>
          <w:p w14:paraId="733A575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1,1; Kсз = 1,2; Kв = 0,9</m:t>
                </m:r>
              </m:oMath>
            </m:oMathPara>
          </w:p>
        </w:tc>
      </w:tr>
      <w:tr w14:paraId="50619109">
        <w:tc>
          <w:tcPr>
            <w:tcW w:w="3118" w:type="dxa"/>
          </w:tcPr>
          <w:p w14:paraId="38A53B5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МТЗ (tмтз)</w:t>
            </w:r>
          </w:p>
        </w:tc>
        <w:tc>
          <w:tcPr>
            <w:tcW w:w="3118" w:type="dxa"/>
          </w:tcPr>
          <w:p w14:paraId="0D96AF5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2B109B20">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Ступень селективности Δt = 0,3 с</m:t>
                </m:r>
              </m:oMath>
            </m:oMathPara>
          </w:p>
        </w:tc>
      </w:tr>
      <w:tr w14:paraId="191F9A1D">
        <w:tc>
          <w:tcPr>
            <w:tcW w:w="3118" w:type="dxa"/>
          </w:tcPr>
          <w:p w14:paraId="38920D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ОЗЗ (3I0)</w:t>
            </w:r>
          </w:p>
        </w:tc>
        <w:tc>
          <w:tcPr>
            <w:tcW w:w="3118" w:type="dxa"/>
          </w:tcPr>
          <w:p w14:paraId="566202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 А</w:t>
            </w:r>
          </w:p>
        </w:tc>
        <w:tc>
          <w:tcPr>
            <w:tcW w:w="3118" w:type="dxa"/>
          </w:tcPr>
          <w:p w14:paraId="7CA5AE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 току нулевой последовательности</w:t>
            </w:r>
          </w:p>
        </w:tc>
      </w:tr>
      <w:tr w14:paraId="6F79C150">
        <w:tc>
          <w:tcPr>
            <w:tcW w:w="3118" w:type="dxa"/>
          </w:tcPr>
          <w:p w14:paraId="3F79BE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ОЗЗ (tозз)</w:t>
            </w:r>
          </w:p>
        </w:tc>
        <w:tc>
          <w:tcPr>
            <w:tcW w:w="3118" w:type="dxa"/>
          </w:tcPr>
          <w:p w14:paraId="3500D4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409333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 выдержкой времени</w:t>
            </w:r>
          </w:p>
        </w:tc>
      </w:tr>
      <w:tr w14:paraId="5F5AA109">
        <w:tc>
          <w:tcPr>
            <w:tcW w:w="3118" w:type="dxa"/>
          </w:tcPr>
          <w:p w14:paraId="40DFC6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Циклов АПВ</w:t>
            </w:r>
          </w:p>
        </w:tc>
        <w:tc>
          <w:tcPr>
            <w:tcW w:w="3118" w:type="dxa"/>
          </w:tcPr>
          <w:p w14:paraId="3CA15D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3118" w:type="dxa"/>
          </w:tcPr>
          <w:p w14:paraId="5FC0CC2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Быстрое + замедленное</w:t>
            </w:r>
          </w:p>
        </w:tc>
      </w:tr>
      <w:tr w14:paraId="16073C30">
        <w:tc>
          <w:tcPr>
            <w:tcW w:w="3118" w:type="dxa"/>
          </w:tcPr>
          <w:p w14:paraId="5F7E40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АПВ-1 (t1)</w:t>
            </w:r>
          </w:p>
        </w:tc>
        <w:tc>
          <w:tcPr>
            <w:tcW w:w="3118" w:type="dxa"/>
          </w:tcPr>
          <w:p w14:paraId="535EAC2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3118" w:type="dxa"/>
          </w:tcPr>
          <w:p w14:paraId="476A83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Быстрый цикл</w:t>
            </w:r>
          </w:p>
        </w:tc>
      </w:tr>
      <w:tr w14:paraId="63CA982D">
        <w:tc>
          <w:tcPr>
            <w:tcW w:w="3118" w:type="dxa"/>
          </w:tcPr>
          <w:p w14:paraId="69EB5E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АПВ-2 (t2)</w:t>
            </w:r>
          </w:p>
        </w:tc>
        <w:tc>
          <w:tcPr>
            <w:tcW w:w="3118" w:type="dxa"/>
          </w:tcPr>
          <w:p w14:paraId="0B0A89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15 с</w:t>
            </w:r>
          </w:p>
        </w:tc>
        <w:tc>
          <w:tcPr>
            <w:tcW w:w="3118" w:type="dxa"/>
          </w:tcPr>
          <w:p w14:paraId="0207B5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Замедленный цикл</w:t>
            </w:r>
          </w:p>
        </w:tc>
      </w:tr>
      <w:tr w14:paraId="6AB3C140">
        <w:tc>
          <w:tcPr>
            <w:tcW w:w="3118" w:type="dxa"/>
          </w:tcPr>
          <w:p w14:paraId="6DE064E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Коэфф. возврата (Kв)</w:t>
            </w:r>
          </w:p>
        </w:tc>
        <w:tc>
          <w:tcPr>
            <w:tcW w:w="3118" w:type="dxa"/>
          </w:tcPr>
          <w:p w14:paraId="1C29B78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0,9</w:t>
            </w:r>
          </w:p>
        </w:tc>
        <w:tc>
          <w:tcPr>
            <w:tcW w:w="3118" w:type="dxa"/>
          </w:tcPr>
          <w:p w14:paraId="37774B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Для токового органа МТЗ</w:t>
            </w:r>
          </w:p>
        </w:tc>
      </w:tr>
    </w:tbl>
    <w:p w14:paraId="07733421">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53F25F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МТЗ выполняется по выражению (2.9):</w:t>
      </w:r>
    </w:p>
    <w:p w14:paraId="3F4729AE">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 = Iкз.мин.конец / Iмтз,</m:t>
        </m:r>
      </m:oMath>
      <w:r>
        <w:tab/>
      </w:r>
      <w:r>
        <w:rPr>
          <w:rFonts w:ascii="Times New Roman" w:hAnsi="Times New Roman" w:eastAsia="Times New Roman" w:cs="Times New Roman"/>
          <w:sz w:val="28"/>
        </w:rPr>
        <w:t>(2.9)</w:t>
      </w:r>
    </w:p>
    <w:p w14:paraId="1B0D4E0D">
      <w:pPr>
        <w:spacing w:before="0" w:after="0" w:line="360" w:lineRule="auto"/>
        <w:ind w:firstLine="709"/>
        <w:jc w:val="both"/>
      </w:pPr>
      <w:r>
        <w:rPr>
          <w:rFonts w:ascii="Times New Roman" w:hAnsi="Times New Roman" w:eastAsia="Times New Roman" w:cs="Times New Roman"/>
          <w:b w:val="0"/>
          <w:sz w:val="28"/>
        </w:rPr>
        <w:t>Для рассматриваемого фидера принимаем по формуле (2.10):</w:t>
      </w:r>
    </w:p>
    <w:p w14:paraId="134F1FC8">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Iкз.мин.конец = 0,87 × 2000 × (Zк.начало / Zк.конец) ≈ 800 А.</m:t>
        </m:r>
      </m:oMath>
      <w:r>
        <w:tab/>
      </w:r>
      <w:r>
        <w:rPr>
          <w:rFonts w:ascii="Times New Roman" w:hAnsi="Times New Roman" w:eastAsia="Times New Roman" w:cs="Times New Roman"/>
          <w:sz w:val="28"/>
        </w:rPr>
        <w:t>(2.10)</w:t>
      </w:r>
    </w:p>
    <w:p w14:paraId="26B3B847">
      <w:pPr>
        <w:spacing w:before="0" w:after="0" w:line="360" w:lineRule="auto"/>
        <w:ind w:firstLine="709"/>
        <w:jc w:val="both"/>
      </w:pPr>
      <w:r>
        <w:rPr>
          <w:rFonts w:ascii="Times New Roman" w:hAnsi="Times New Roman" w:eastAsia="Times New Roman" w:cs="Times New Roman"/>
          <w:b w:val="0"/>
          <w:sz w:val="28"/>
        </w:rPr>
        <w:t>Тогда коэффициент чувствительности по формуле (2.11) составляет:</w:t>
      </w:r>
    </w:p>
    <w:p w14:paraId="65B728A3">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 = 800 / 400 = 2,0,</m:t>
        </m:r>
      </m:oMath>
      <w:r>
        <w:tab/>
      </w:r>
      <w:r>
        <w:rPr>
          <w:rFonts w:ascii="Times New Roman" w:hAnsi="Times New Roman" w:eastAsia="Times New Roman" w:cs="Times New Roman"/>
          <w:sz w:val="28"/>
        </w:rPr>
        <w:t>(2.11)</w:t>
      </w:r>
    </w:p>
    <w:p w14:paraId="787DEA3C">
      <w:pPr>
        <w:spacing w:before="0" w:after="0" w:line="360" w:lineRule="auto"/>
        <w:ind w:firstLine="709"/>
        <w:jc w:val="both"/>
      </w:pPr>
      <w:r>
        <w:rPr>
          <w:rFonts w:ascii="Times New Roman" w:hAnsi="Times New Roman" w:eastAsia="Times New Roman" w:cs="Times New Roman"/>
          <w:b w:val="0"/>
          <w:sz w:val="28"/>
        </w:rPr>
        <w:t>что превышает требование ПУЭ (Кч ≥ 1,5 для МТЗ линий с односторонним питанием) [1].</w:t>
      </w:r>
    </w:p>
    <w:p w14:paraId="7CC48A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ТО при минимальном токе двухфазного КЗ в начале защищаемой зоны Iкз.мин = 5000 А выполняется по формуле (2.12):</w:t>
      </w:r>
    </w:p>
    <w:p w14:paraId="5961F1F0">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 = 5000 / 2500 = 2,0,</m:t>
        </m:r>
      </m:oMath>
      <w:r>
        <w:tab/>
      </w:r>
      <w:r>
        <w:rPr>
          <w:rFonts w:ascii="Times New Roman" w:hAnsi="Times New Roman" w:eastAsia="Times New Roman" w:cs="Times New Roman"/>
          <w:sz w:val="28"/>
        </w:rPr>
        <w:t>(2.12)</w:t>
      </w:r>
    </w:p>
    <w:p w14:paraId="3C01B5B1">
      <w:pPr>
        <w:spacing w:before="0" w:after="0" w:line="360" w:lineRule="auto"/>
        <w:ind w:firstLine="709"/>
        <w:jc w:val="both"/>
      </w:pPr>
      <w:r>
        <w:rPr>
          <w:rFonts w:ascii="Times New Roman" w:hAnsi="Times New Roman" w:eastAsia="Times New Roman" w:cs="Times New Roman"/>
          <w:b w:val="0"/>
          <w:sz w:val="28"/>
        </w:rPr>
        <w:t>что превышает требование Кч ≥ 1,2. Зона действия ТО при этом составляет примерно 60–70 % длины линии от точки установки реклоузера [9].</w:t>
      </w:r>
    </w:p>
    <w:p w14:paraId="437AA0D5">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 Расчёт выполняется для максимального и минимального режимов работы энергосистемы с учётом перспективного развития сети [14].</w:t>
      </w:r>
    </w:p>
    <w:p w14:paraId="68E1528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1" w:name="_Toc1286519025"/>
      <w:bookmarkStart w:id="22" w:name="_Toc1507419417"/>
      <w:r>
        <w:rPr>
          <w:rFonts w:hint="default" w:ascii="Times New Roman" w:hAnsi="Times New Roman" w:eastAsia="Times New Roman" w:cs="Times New Roman"/>
          <w:b/>
          <w:bCs/>
          <w:sz w:val="28"/>
        </w:rPr>
        <w:t>2.2 Алгоритмы автоматического секционирования линии</w:t>
      </w:r>
      <w:bookmarkEnd w:id="21"/>
      <w:bookmarkEnd w:id="22"/>
    </w:p>
    <w:p w14:paraId="46124C7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ключевым этапом технологии FLISR.</w:t>
      </w:r>
    </w:p>
    <w:p w14:paraId="3A5B143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14:paraId="3BFE6E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14:paraId="0EF5D8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14:paraId="49FC089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определения повреждённой секции по данным ИКЗ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пункта, наличие телеметрической связи.</w:t>
      </w:r>
    </w:p>
    <w:p w14:paraId="0D72458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Фиксация перехода Р1 в lockout. SCADA получает сигнал об окончательном отключении и инициирует процедуру определения места повреждения.</w:t>
      </w:r>
    </w:p>
    <w:p w14:paraId="547CFE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14:paraId="673CA1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14:paraId="2591A9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14:paraId="3BA22D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14:paraId="6CE700E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изоляции повреждённого участка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14:paraId="7DCF2DC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14:paraId="0EDCA76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14:paraId="45DFC0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14:paraId="742CD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14:paraId="5561F2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14:paraId="758FAD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(раздел 2.3). Состояния коммутационных аппаратов на каждом этапе приведены в таблице 2.2.</w:t>
      </w:r>
    </w:p>
    <w:p w14:paraId="65EBD89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14:paraId="7F128B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14:paraId="476A8684">
      <w:pPr>
        <w:spacing w:before="0" w:after="0" w:line="360" w:lineRule="auto"/>
        <w:ind w:firstLine="709"/>
        <w:jc w:val="both"/>
      </w:pPr>
      <w:r>
        <w:rPr>
          <w:rFonts w:ascii="Times New Roman" w:hAnsi="Times New Roman" w:eastAsia="Times New Roman" w:cs="Times New Roman"/>
          <w:b w:val="0"/>
          <w:sz w:val="28"/>
        </w:rPr>
        <w:t>Графическая интерпретация выделения и изоляции повреждённой секции на автоматизированном фидере представлена на рисунке 2.1.</w:t>
      </w:r>
    </w:p>
    <w:p w14:paraId="091C9B14">
      <w:pPr>
        <w:spacing w:before="0" w:after="0" w:line="360" w:lineRule="auto"/>
        <w:ind w:firstLine="0"/>
        <w:jc w:val="left"/>
      </w:pPr>
      <w:r>
        <w:rPr>
          <w:rFonts w:ascii="Times New Roman" w:hAnsi="Times New Roman" w:eastAsia="Times New Roman" w:cs="Times New Roman"/>
          <w:b w:val="0"/>
          <w:sz w:val="28"/>
        </w:rPr>
        <w:drawing>
          <wp:inline distT="0" distB="0" distL="114300" distR="114300">
            <wp:extent cx="5760720" cy="3840480"/>
            <wp:effectExtent l="0" t="0" r="508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760720" cy="3840480"/>
                    </a:xfrm>
                    <a:prstGeom prst="rect">
                      <a:avLst/>
                    </a:prstGeom>
                  </pic:spPr>
                </pic:pic>
              </a:graphicData>
            </a:graphic>
          </wp:inline>
        </w:drawing>
      </w:r>
    </w:p>
    <w:p w14:paraId="182E867C">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2.1 – Схема выделения аварийного участка и изоляции повреждённой секции</w:t>
      </w:r>
    </w:p>
    <w:p w14:paraId="6DED506B">
      <w:pPr>
        <w:spacing w:before="0" w:after="0" w:line="360" w:lineRule="auto"/>
        <w:ind w:firstLine="709"/>
        <w:jc w:val="both"/>
      </w:pPr>
      <w:r>
        <w:rPr>
          <w:rFonts w:ascii="Times New Roman" w:hAnsi="Times New Roman" w:eastAsia="Times New Roman" w:cs="Times New Roman"/>
          <w:b w:val="0"/>
          <w:sz w:val="28"/>
        </w:rPr>
        <w:t>На рисунке показан типовой сценарий устойчивого короткого замыкания на фидере 6–10 кВ, при котором повреждённый участок локализуется между секционирующими аппаратами, после чего изолируется для последующего восстановления питания неповреждённых частей сети. Такая последовательность соответствует логике алгоритма автоматического секционирования, рассмотренного в разделе 2.2.</w:t>
      </w:r>
    </w:p>
    <w:p w14:paraId="49A2FB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резервный выключатель НР на связи с соседним фидером.</w:t>
      </w:r>
    </w:p>
    <w:p w14:paraId="7D84CF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(раздел 2.3).</w:t>
      </w:r>
    </w:p>
    <w:p w14:paraId="181857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14:paraId="3902F73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14:paraId="0C349AE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2.2.</w:t>
      </w:r>
    </w:p>
    <w:p w14:paraId="74317DDE">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2.2 – Состояния коммутационных аппаратов при секционировании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1336"/>
        <w:gridCol w:w="1336"/>
        <w:gridCol w:w="1336"/>
        <w:gridCol w:w="1336"/>
        <w:gridCol w:w="1336"/>
        <w:gridCol w:w="1336"/>
      </w:tblGrid>
      <w:tr w14:paraId="4B21C901">
        <w:tc>
          <w:tcPr>
            <w:tcW w:w="1336" w:type="dxa"/>
          </w:tcPr>
          <w:p w14:paraId="11BB28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Сценарий / Этап</w:t>
            </w:r>
          </w:p>
        </w:tc>
        <w:tc>
          <w:tcPr>
            <w:tcW w:w="1336" w:type="dxa"/>
          </w:tcPr>
          <w:p w14:paraId="3D5640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Р1</w:t>
            </w:r>
          </w:p>
        </w:tc>
        <w:tc>
          <w:tcPr>
            <w:tcW w:w="1336" w:type="dxa"/>
          </w:tcPr>
          <w:p w14:paraId="7EA6FCD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РШ1</w:t>
            </w:r>
          </w:p>
        </w:tc>
        <w:tc>
          <w:tcPr>
            <w:tcW w:w="1336" w:type="dxa"/>
          </w:tcPr>
          <w:p w14:paraId="63A4121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РШ2</w:t>
            </w:r>
          </w:p>
        </w:tc>
        <w:tc>
          <w:tcPr>
            <w:tcW w:w="1336" w:type="dxa"/>
          </w:tcPr>
          <w:p w14:paraId="3D39EF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НР</w:t>
            </w:r>
          </w:p>
        </w:tc>
        <w:tc>
          <w:tcPr>
            <w:tcW w:w="1336" w:type="dxa"/>
          </w:tcPr>
          <w:p w14:paraId="358E9B9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ИКЗ-1</w:t>
            </w:r>
          </w:p>
        </w:tc>
        <w:tc>
          <w:tcPr>
            <w:tcW w:w="1336" w:type="dxa"/>
          </w:tcPr>
          <w:p w14:paraId="1F3670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ИКЗ-2</w:t>
            </w:r>
          </w:p>
        </w:tc>
      </w:tr>
      <w:tr w14:paraId="294CB5AD">
        <w:tc>
          <w:tcPr>
            <w:tcW w:w="1336" w:type="dxa"/>
          </w:tcPr>
          <w:p w14:paraId="182E465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Нормальный режим</w:t>
            </w:r>
          </w:p>
        </w:tc>
        <w:tc>
          <w:tcPr>
            <w:tcW w:w="1336" w:type="dxa"/>
          </w:tcPr>
          <w:p w14:paraId="3476623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81713C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0CCC547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63FDE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C7836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00D1C51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43537F5C">
        <w:tc>
          <w:tcPr>
            <w:tcW w:w="1336" w:type="dxa"/>
          </w:tcPr>
          <w:p w14:paraId="6D160E2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1, lockout</w:t>
            </w:r>
          </w:p>
        </w:tc>
        <w:tc>
          <w:tcPr>
            <w:tcW w:w="1336" w:type="dxa"/>
          </w:tcPr>
          <w:p w14:paraId="37DF11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95137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0B7C3E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A3BB2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4EF2CB6">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c>
          <w:tcPr>
            <w:tcW w:w="1336" w:type="dxa"/>
          </w:tcPr>
          <w:p w14:paraId="00689B5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477ECC13">
        <w:tc>
          <w:tcPr>
            <w:tcW w:w="1336" w:type="dxa"/>
          </w:tcPr>
          <w:p w14:paraId="4D05919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1</w:t>
            </w:r>
          </w:p>
        </w:tc>
        <w:tc>
          <w:tcPr>
            <w:tcW w:w="1336" w:type="dxa"/>
          </w:tcPr>
          <w:p w14:paraId="0F0698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067EAD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F40867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F93F0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D5869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14528AE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2065D897">
        <w:tc>
          <w:tcPr>
            <w:tcW w:w="1336" w:type="dxa"/>
          </w:tcPr>
          <w:p w14:paraId="43016BD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2, lockout</w:t>
            </w:r>
          </w:p>
        </w:tc>
        <w:tc>
          <w:tcPr>
            <w:tcW w:w="1336" w:type="dxa"/>
          </w:tcPr>
          <w:p w14:paraId="135257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63E4688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209A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F3A1AE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7FCFB5A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14047BD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39AE5C30">
        <w:tc>
          <w:tcPr>
            <w:tcW w:w="1336" w:type="dxa"/>
          </w:tcPr>
          <w:p w14:paraId="6EED8B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2</w:t>
            </w:r>
          </w:p>
        </w:tc>
        <w:tc>
          <w:tcPr>
            <w:tcW w:w="1336" w:type="dxa"/>
          </w:tcPr>
          <w:p w14:paraId="50CA86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7E4F3F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1DF93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7F6D87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73C8C5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5D49636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398345E1">
        <w:tc>
          <w:tcPr>
            <w:tcW w:w="1336" w:type="dxa"/>
          </w:tcPr>
          <w:p w14:paraId="1C8833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3, lockout</w:t>
            </w:r>
          </w:p>
        </w:tc>
        <w:tc>
          <w:tcPr>
            <w:tcW w:w="1336" w:type="dxa"/>
          </w:tcPr>
          <w:p w14:paraId="531BEEC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17A000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39BAAD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7EC2F5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CE169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5F1D5A0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r>
      <w:tr w14:paraId="4EFC7CF7">
        <w:tc>
          <w:tcPr>
            <w:tcW w:w="1336" w:type="dxa"/>
          </w:tcPr>
          <w:p w14:paraId="06E47FE3">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3</w:t>
            </w:r>
          </w:p>
        </w:tc>
        <w:tc>
          <w:tcPr>
            <w:tcW w:w="1336" w:type="dxa"/>
          </w:tcPr>
          <w:p w14:paraId="70AC264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7EA595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E880F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694B48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C3581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60572A6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bl>
    <w:p w14:paraId="20F4854B">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3BA818A">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2.2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(раздел 2.3).</w:t>
      </w:r>
    </w:p>
    <w:p w14:paraId="59041FFF">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3" w:name="_Toc1659895179"/>
      <w:bookmarkStart w:id="24" w:name="_Toc1333557860"/>
      <w:r>
        <w:rPr>
          <w:rFonts w:hint="default" w:ascii="Times New Roman" w:hAnsi="Times New Roman" w:eastAsia="Times New Roman" w:cs="Times New Roman"/>
          <w:b/>
          <w:bCs/>
          <w:sz w:val="28"/>
        </w:rPr>
        <w:t>2.3 Алгоритмы восстановления электроснабжения после аварии</w:t>
      </w:r>
      <w:bookmarkEnd w:id="23"/>
      <w:bookmarkEnd w:id="24"/>
    </w:p>
    <w:p w14:paraId="6E0F18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w:t>
      </w:r>
    </w:p>
    <w:p w14:paraId="226AA08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14:paraId="6C0F78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14:paraId="0A43136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после изоляции повреждённого участка.</w:t>
      </w:r>
    </w:p>
    <w:p w14:paraId="628D9D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14:paraId="233BEE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14:paraId="1811E0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14:paraId="5987F4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14:paraId="224C8D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14:paraId="5B94C5C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14:paraId="02823A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раздел 2.1).</w:t>
      </w:r>
    </w:p>
    <w:p w14:paraId="5D8734C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w:t>
      </w:r>
    </w:p>
    <w:p w14:paraId="1D2806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14:paraId="04FCAB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Отключение НР. Прекращается подача резервного питания на нижележащие секции. Время кратковременного обесточения — 15–30 с.</w:t>
      </w:r>
    </w:p>
    <w:p w14:paraId="5544E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Включение секционирующих разъединителей последовательно от ближайшего к реклоузеру. Для сценария КЗ в секции 2 (раздел 2.2) сначала РШ1, затем РШ2. Между включениями — пауза 5–10 с для контроля параметров режима.</w:t>
      </w:r>
    </w:p>
    <w:p w14:paraId="4AA754C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14:paraId="33E8B1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14:paraId="186D16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14:paraId="40C37F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14:paraId="139130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журналирование событий.</w:t>
      </w:r>
    </w:p>
    <w:p w14:paraId="170A6F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14:paraId="0F4797D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3.</w:t>
      </w:r>
    </w:p>
    <w:p w14:paraId="05AD89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14:paraId="65F93B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14:paraId="17B60C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14:paraId="7DCDAD3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Сигналы и команды, передаваемые между SCADA и периферийными устройствами на каждом этапе восстановления, приведены в таблице 2.3.</w:t>
      </w:r>
    </w:p>
    <w:p w14:paraId="75AA1C35">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2.3 – Сигналы и команды SCADA при восстановлении питания</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3"/>
        <w:gridCol w:w="2257"/>
        <w:gridCol w:w="2742"/>
        <w:gridCol w:w="2299"/>
      </w:tblGrid>
      <w:tr w14:paraId="4C991CE6">
        <w:tc>
          <w:tcPr>
            <w:tcW w:w="2339" w:type="dxa"/>
          </w:tcPr>
          <w:p w14:paraId="2B1B42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2339" w:type="dxa"/>
          </w:tcPr>
          <w:p w14:paraId="373695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Направление</w:t>
            </w:r>
          </w:p>
        </w:tc>
        <w:tc>
          <w:tcPr>
            <w:tcW w:w="2339" w:type="dxa"/>
          </w:tcPr>
          <w:p w14:paraId="1B67421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Сигнал / команда</w:t>
            </w:r>
          </w:p>
        </w:tc>
        <w:tc>
          <w:tcPr>
            <w:tcW w:w="2339" w:type="dxa"/>
          </w:tcPr>
          <w:p w14:paraId="414BEC8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Источник / приёмник</w:t>
            </w:r>
          </w:p>
        </w:tc>
      </w:tr>
      <w:tr w14:paraId="48846FC8">
        <w:tc>
          <w:tcPr>
            <w:tcW w:w="2339" w:type="dxa"/>
          </w:tcPr>
          <w:p w14:paraId="6B21E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 Р1</w:t>
            </w:r>
          </w:p>
        </w:tc>
        <w:tc>
          <w:tcPr>
            <w:tcW w:w="2339" w:type="dxa"/>
          </w:tcPr>
          <w:p w14:paraId="7A354364">
            <w:r>
              <w:t>Устройство → SCADA</w:t>
            </w:r>
          </w:p>
        </w:tc>
        <w:tc>
          <w:tcPr>
            <w:tcW w:w="2339" w:type="dxa"/>
          </w:tcPr>
          <w:p w14:paraId="11220A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Сигнал lockout, ток КЗ, число циклов АПВ</w:t>
            </w:r>
          </w:p>
        </w:tc>
        <w:tc>
          <w:tcPr>
            <w:tcW w:w="2339" w:type="dxa"/>
          </w:tcPr>
          <w:p w14:paraId="63F92B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01A4384D">
        <w:tc>
          <w:tcPr>
            <w:tcW w:w="2339" w:type="dxa"/>
          </w:tcPr>
          <w:p w14:paraId="2C26B12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57DF5947">
            <w:r>
              <w:t>SCADA → устройство</w:t>
            </w:r>
          </w:p>
        </w:tc>
        <w:tc>
          <w:tcPr>
            <w:tcW w:w="2339" w:type="dxa"/>
          </w:tcPr>
          <w:p w14:paraId="2D8876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Запрос состояния ИКЗ</w:t>
            </w:r>
          </w:p>
        </w:tc>
        <w:tc>
          <w:tcPr>
            <w:tcW w:w="2339" w:type="dxa"/>
          </w:tcPr>
          <w:p w14:paraId="479B87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0C8CA885">
        <w:tc>
          <w:tcPr>
            <w:tcW w:w="2339" w:type="dxa"/>
          </w:tcPr>
          <w:p w14:paraId="69D9E3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63C1BA1E">
            <w:r>
              <w:t>Устройство → SCADA</w:t>
            </w:r>
          </w:p>
        </w:tc>
        <w:tc>
          <w:tcPr>
            <w:tcW w:w="2339" w:type="dxa"/>
          </w:tcPr>
          <w:p w14:paraId="181D14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Ответ ИКЗ: сработал / не сработал</w:t>
            </w:r>
          </w:p>
        </w:tc>
        <w:tc>
          <w:tcPr>
            <w:tcW w:w="2339" w:type="dxa"/>
          </w:tcPr>
          <w:p w14:paraId="72A2DF5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77E7B445">
        <w:tc>
          <w:tcPr>
            <w:tcW w:w="2339" w:type="dxa"/>
          </w:tcPr>
          <w:p w14:paraId="159C378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01ACA469">
            <w:r>
              <w:t>SCADA → устройство</w:t>
            </w:r>
          </w:p>
        </w:tc>
        <w:tc>
          <w:tcPr>
            <w:tcW w:w="2339" w:type="dxa"/>
          </w:tcPr>
          <w:p w14:paraId="7D54E1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«Отключить»</w:t>
            </w:r>
          </w:p>
        </w:tc>
        <w:tc>
          <w:tcPr>
            <w:tcW w:w="2339" w:type="dxa"/>
          </w:tcPr>
          <w:p w14:paraId="3F2DA8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0C644923">
        <w:tc>
          <w:tcPr>
            <w:tcW w:w="2339" w:type="dxa"/>
          </w:tcPr>
          <w:p w14:paraId="3DF1B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76846B8C">
            <w:r>
              <w:t>Устройство → SCADA</w:t>
            </w:r>
          </w:p>
        </w:tc>
        <w:tc>
          <w:tcPr>
            <w:tcW w:w="2339" w:type="dxa"/>
          </w:tcPr>
          <w:p w14:paraId="56A5D5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отключён, время, положение</w:t>
            </w:r>
          </w:p>
        </w:tc>
        <w:tc>
          <w:tcPr>
            <w:tcW w:w="2339" w:type="dxa"/>
          </w:tcPr>
          <w:p w14:paraId="0C5923B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1509985C">
        <w:tc>
          <w:tcPr>
            <w:tcW w:w="2339" w:type="dxa"/>
          </w:tcPr>
          <w:p w14:paraId="532B3D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44C3FCB0">
            <w:r>
              <w:t>SCADA → устройство</w:t>
            </w:r>
          </w:p>
        </w:tc>
        <w:tc>
          <w:tcPr>
            <w:tcW w:w="2339" w:type="dxa"/>
          </w:tcPr>
          <w:p w14:paraId="200B8B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w:t>
            </w:r>
          </w:p>
        </w:tc>
        <w:tc>
          <w:tcPr>
            <w:tcW w:w="2339" w:type="dxa"/>
          </w:tcPr>
          <w:p w14:paraId="5316EE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0615F59">
        <w:tc>
          <w:tcPr>
            <w:tcW w:w="2339" w:type="dxa"/>
          </w:tcPr>
          <w:p w14:paraId="3D1C07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52F9613D">
            <w:r>
              <w:t>Устройство → SCADA</w:t>
            </w:r>
          </w:p>
        </w:tc>
        <w:tc>
          <w:tcPr>
            <w:tcW w:w="2339" w:type="dxa"/>
          </w:tcPr>
          <w:p w14:paraId="2E7682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 включения, ток нагрузки</w:t>
            </w:r>
          </w:p>
        </w:tc>
        <w:tc>
          <w:tcPr>
            <w:tcW w:w="2339" w:type="dxa"/>
          </w:tcPr>
          <w:p w14:paraId="55A67C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A9EE1D5">
        <w:tc>
          <w:tcPr>
            <w:tcW w:w="2339" w:type="dxa"/>
          </w:tcPr>
          <w:p w14:paraId="265592D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BC13673">
            <w:r>
              <w:t>SCADA → устройство</w:t>
            </w:r>
          </w:p>
        </w:tc>
        <w:tc>
          <w:tcPr>
            <w:tcW w:w="2339" w:type="dxa"/>
          </w:tcPr>
          <w:p w14:paraId="57D01F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 НР»</w:t>
            </w:r>
          </w:p>
        </w:tc>
        <w:tc>
          <w:tcPr>
            <w:tcW w:w="2339" w:type="dxa"/>
          </w:tcPr>
          <w:p w14:paraId="76639F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71F22D24">
        <w:tc>
          <w:tcPr>
            <w:tcW w:w="2339" w:type="dxa"/>
          </w:tcPr>
          <w:p w14:paraId="668F304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8ACF901">
            <w:r>
              <w:t>Устройство → SCADA</w:t>
            </w:r>
          </w:p>
        </w:tc>
        <w:tc>
          <w:tcPr>
            <w:tcW w:w="2339" w:type="dxa"/>
          </w:tcPr>
          <w:p w14:paraId="5217C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включён, напряжение, ток</w:t>
            </w:r>
          </w:p>
        </w:tc>
        <w:tc>
          <w:tcPr>
            <w:tcW w:w="2339" w:type="dxa"/>
          </w:tcPr>
          <w:p w14:paraId="7AC73A6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5BC0F661">
        <w:tc>
          <w:tcPr>
            <w:tcW w:w="2339" w:type="dxa"/>
          </w:tcPr>
          <w:p w14:paraId="4BB3A1C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 режима</w:t>
            </w:r>
          </w:p>
        </w:tc>
        <w:tc>
          <w:tcPr>
            <w:tcW w:w="2339" w:type="dxa"/>
          </w:tcPr>
          <w:p w14:paraId="01E9A38D">
            <w:r>
              <w:t>Устройство → SCADA</w:t>
            </w:r>
          </w:p>
        </w:tc>
        <w:tc>
          <w:tcPr>
            <w:tcW w:w="2339" w:type="dxa"/>
          </w:tcPr>
          <w:p w14:paraId="29B9D81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Телеметрия: U, I, cos φ</w:t>
            </w:r>
          </w:p>
        </w:tc>
        <w:tc>
          <w:tcPr>
            <w:tcW w:w="2339" w:type="dxa"/>
          </w:tcPr>
          <w:p w14:paraId="29141B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Все устройства фидера</w:t>
            </w:r>
          </w:p>
        </w:tc>
      </w:tr>
      <w:tr w14:paraId="522C8094">
        <w:tc>
          <w:tcPr>
            <w:tcW w:w="2339" w:type="dxa"/>
          </w:tcPr>
          <w:p w14:paraId="5035B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АВНР</w:t>
            </w:r>
          </w:p>
        </w:tc>
        <w:tc>
          <w:tcPr>
            <w:tcW w:w="2339" w:type="dxa"/>
          </w:tcPr>
          <w:p w14:paraId="45ED108D">
            <w:r>
              <w:t>SCADA → устройство</w:t>
            </w:r>
          </w:p>
        </w:tc>
        <w:tc>
          <w:tcPr>
            <w:tcW w:w="2339" w:type="dxa"/>
          </w:tcPr>
          <w:p w14:paraId="2B05F9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Последовательность: откл. НР, вкл. РШ, вкл. Р1</w:t>
            </w:r>
          </w:p>
        </w:tc>
        <w:tc>
          <w:tcPr>
            <w:tcW w:w="2339" w:type="dxa"/>
          </w:tcPr>
          <w:p w14:paraId="4031C1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 ШУ РШ, Р1</w:t>
            </w:r>
          </w:p>
        </w:tc>
      </w:tr>
    </w:tbl>
    <w:p w14:paraId="745D9DC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E2BB1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2.3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14:paraId="30F9C89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Совокупность алгоритмов секционирования (раздел 2.2) и восстановления (раздел 2.3)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p w14:paraId="38407BD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5" w:name="_Toc1967612928"/>
      <w:bookmarkStart w:id="26" w:name="_Toc2045698923"/>
      <w:r>
        <w:rPr>
          <w:rFonts w:hint="default" w:ascii="Times New Roman" w:hAnsi="Times New Roman" w:eastAsia="Times New Roman" w:cs="Times New Roman"/>
          <w:b/>
          <w:bCs/>
          <w:sz w:val="28"/>
        </w:rPr>
        <w:t>2.4 Структурные схемы дистанционного управления реклоузерами и разъединителями</w:t>
      </w:r>
      <w:bookmarkEnd w:id="25"/>
      <w:bookmarkEnd w:id="26"/>
    </w:p>
    <w:p w14:paraId="7ACD1B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Дистанционное управление коммутационными аппаратами автоматизированного участка распределительной сети 6–10 кВ реализуется через многоуровневую систему телемеханики, передающую команды управления от оператора к исполнительным устройствам и телеметрию в обратном направлении.</w:t>
      </w:r>
    </w:p>
    <w:p w14:paraId="7FA2856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Контроллер RTU устанавливается в шкафу управления каждого реклоузера или разъединителя и выполняет аналого-цифровое преобразование сигналов от трансформаторов тока и напряжения, обработку дискретных входов от датчиков положения контактов и индикаторов короткого замыкания, формирование команд управления моторными приводами и обмен данными с вышестоящим уровнем по цифровым протоколам связи. Принципиальная особенность контроллеров RTU заключается в их способности автономно выполнять локальные алгоритмы защит (МТЗ, ТО, ОЗЗ, АПВ) при потере связи с сервером SCADA, что гарантирует работоспособность защит при отказе каналов связи [19].</w:t>
      </w:r>
    </w:p>
    <w:p w14:paraId="0A85F3C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Структурная схема системы мониторинга и управления автоматизированным участком ВЛ 6–10 кВ представлена на рисунке 2.2.</w:t>
      </w:r>
    </w:p>
    <w:p w14:paraId="54BDA91C">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939790" cy="501586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000" cy="5016481"/>
                    </a:xfrm>
                    <a:prstGeom prst="rect">
                      <a:avLst/>
                    </a:prstGeom>
                  </pic:spPr>
                </pic:pic>
              </a:graphicData>
            </a:graphic>
          </wp:inline>
        </w:drawing>
      </w:r>
    </w:p>
    <w:p w14:paraId="0A1AA378">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2.2 – Архитектура системы мониторинга ВЛ 6–10 кВ</w:t>
      </w:r>
    </w:p>
    <w:p w14:paraId="119D75A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и быстродействие дистанционного управления определяются характеристиками каналов связи и протоколов телемеханики. Для автоматизированных участков распределительных сетей 6–10 кВ основным каналом связи служит Ethernet по волоконно-оптическим линиям связи (ВОЛС) или радиоканал, резервным — GSM/GPRS, LTE или спутниковый канал [29].</w:t>
      </w:r>
    </w:p>
    <w:p w14:paraId="6D6AE2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Каналы GSM/GPRS обеспечивают пропускную способность до 171,2 кбит/с и покрытие практически на всей территории Российской Федерации [29]. Задержка передачи по GPRS составляет 500–1500 мс — допустимо для телеизмерений и телесигнализации, но критично для команд телеуправления, требующих гарантированного времени доставки [17]. Для повышения надёжности рекомендуется использование SIM-карт двух операторов с автоматическим переключением при потере связи с основным оператором [23].</w:t>
      </w:r>
    </w:p>
    <w:p w14:paraId="380146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Выбор протокола телемеханики определяется функциональными требованиями к системе. Протокол Modbus TCP [20] реализует модель «клиент–сервер» и является наиболее распространённым решением благодаря простоте реализации, широкой поддержке производителями оборудования и открытости спецификации; его недостатки — ограниченные средства диагностики канала и отсутствие механизмов временной синхронизации. Протокол МЭК 60870-5-104 [18] поддерживает спонтанную передачу данных по изменению, временные метки событий с точностью до 1 мс и механизмы контроля целостности канала; рекомендуется в качестве основного протокола обмена между SCADA и RTU. Протокол МЭК 61850 [19] обеспечивает горизонтальную коммуникацию между IED посредством GOOSE-сообщений и позволяет реализовать распределённые алгоритмы автоматики без участия центрального сервера; его внедрение требует значительных инвестиций в инфраструктуру и квалификацию персонала, поэтому применяется преимущественно на вновь проектируемых цифровых подстанциях. Сравнительные параметры каналов связи для систем телемеханики приведены в таблице 2.4.</w:t>
      </w:r>
    </w:p>
    <w:p w14:paraId="571C6231">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2.4 – Параметры каналов связи для систем телемеханики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2008"/>
        <w:gridCol w:w="1864"/>
        <w:gridCol w:w="1864"/>
        <w:gridCol w:w="1864"/>
      </w:tblGrid>
      <w:tr w14:paraId="24A6ED7C">
        <w:tc>
          <w:tcPr>
            <w:tcW w:w="1871" w:type="dxa"/>
          </w:tcPr>
          <w:p w14:paraId="062E7B2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49086EA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Ethernet/ВОЛС</w:t>
            </w:r>
          </w:p>
        </w:tc>
        <w:tc>
          <w:tcPr>
            <w:tcW w:w="1871" w:type="dxa"/>
          </w:tcPr>
          <w:p w14:paraId="1DDEE65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GSM/GPRS</w:t>
            </w:r>
          </w:p>
        </w:tc>
        <w:tc>
          <w:tcPr>
            <w:tcW w:w="1871" w:type="dxa"/>
          </w:tcPr>
          <w:p w14:paraId="26DC34A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3G/LTE</w:t>
            </w:r>
          </w:p>
        </w:tc>
        <w:tc>
          <w:tcPr>
            <w:tcW w:w="1871" w:type="dxa"/>
          </w:tcPr>
          <w:p w14:paraId="799F03F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Радиоканал</w:t>
            </w:r>
            <w:r>
              <w:rPr>
                <w:rFonts w:ascii="Times New Roman" w:hAnsi="Times New Roman"/>
                <w:b w:val="0"/>
                <w:bCs/>
                <w:sz w:val="28"/>
                <w:szCs w:val="28"/>
              </w:rPr>
              <w:br w:type="textWrapping"/>
            </w:r>
            <w:r>
              <w:rPr>
                <w:rFonts w:ascii="Times New Roman" w:hAnsi="Times New Roman"/>
                <w:b w:val="0"/>
                <w:bCs/>
                <w:sz w:val="28"/>
                <w:szCs w:val="28"/>
              </w:rPr>
              <w:t>UHF</w:t>
            </w:r>
          </w:p>
        </w:tc>
      </w:tr>
      <w:tr w14:paraId="32242F0F">
        <w:tc>
          <w:tcPr>
            <w:tcW w:w="1871" w:type="dxa"/>
          </w:tcPr>
          <w:p w14:paraId="3241CE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Пропускная</w:t>
            </w:r>
            <w:r>
              <w:rPr>
                <w:rFonts w:ascii="Times New Roman" w:hAnsi="Times New Roman"/>
                <w:sz w:val="28"/>
                <w:szCs w:val="28"/>
              </w:rPr>
              <w:br w:type="textWrapping"/>
            </w:r>
            <w:r>
              <w:rPr>
                <w:rFonts w:ascii="Times New Roman" w:hAnsi="Times New Roman"/>
                <w:sz w:val="28"/>
                <w:szCs w:val="28"/>
              </w:rPr>
              <w:t>способность</w:t>
            </w:r>
          </w:p>
        </w:tc>
        <w:tc>
          <w:tcPr>
            <w:tcW w:w="1871" w:type="dxa"/>
          </w:tcPr>
          <w:p w14:paraId="1A920E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 Мбит/с –</w:t>
            </w:r>
            <w:r>
              <w:rPr>
                <w:rFonts w:ascii="Times New Roman" w:hAnsi="Times New Roman"/>
                <w:sz w:val="28"/>
                <w:szCs w:val="28"/>
              </w:rPr>
              <w:br w:type="textWrapping"/>
            </w:r>
            <w:r>
              <w:rPr>
                <w:rFonts w:ascii="Times New Roman" w:hAnsi="Times New Roman"/>
                <w:sz w:val="28"/>
                <w:szCs w:val="28"/>
              </w:rPr>
              <w:t>1 Гбит/с</w:t>
            </w:r>
          </w:p>
        </w:tc>
        <w:tc>
          <w:tcPr>
            <w:tcW w:w="1871" w:type="dxa"/>
          </w:tcPr>
          <w:p w14:paraId="453564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56–171</w:t>
            </w:r>
            <w:r>
              <w:rPr>
                <w:rFonts w:ascii="Times New Roman" w:hAnsi="Times New Roman"/>
                <w:sz w:val="28"/>
                <w:szCs w:val="28"/>
              </w:rPr>
              <w:br w:type="textWrapping"/>
            </w:r>
            <w:r>
              <w:rPr>
                <w:rFonts w:ascii="Times New Roman" w:hAnsi="Times New Roman"/>
                <w:sz w:val="28"/>
                <w:szCs w:val="28"/>
              </w:rPr>
              <w:t>кбит/с</w:t>
            </w:r>
          </w:p>
        </w:tc>
        <w:tc>
          <w:tcPr>
            <w:tcW w:w="1871" w:type="dxa"/>
          </w:tcPr>
          <w:p w14:paraId="13189A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2–100</w:t>
            </w:r>
            <w:r>
              <w:rPr>
                <w:rFonts w:ascii="Times New Roman" w:hAnsi="Times New Roman"/>
                <w:sz w:val="28"/>
                <w:szCs w:val="28"/>
              </w:rPr>
              <w:br w:type="textWrapping"/>
            </w:r>
            <w:r>
              <w:rPr>
                <w:rFonts w:ascii="Times New Roman" w:hAnsi="Times New Roman"/>
                <w:sz w:val="28"/>
                <w:szCs w:val="28"/>
              </w:rPr>
              <w:t>Мбит/с</w:t>
            </w:r>
          </w:p>
        </w:tc>
        <w:tc>
          <w:tcPr>
            <w:tcW w:w="1871" w:type="dxa"/>
          </w:tcPr>
          <w:p w14:paraId="38CDEAB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9,6–19,2</w:t>
            </w:r>
            <w:r>
              <w:rPr>
                <w:rFonts w:ascii="Times New Roman" w:hAnsi="Times New Roman"/>
                <w:sz w:val="28"/>
                <w:szCs w:val="28"/>
              </w:rPr>
              <w:br w:type="textWrapping"/>
            </w:r>
            <w:r>
              <w:rPr>
                <w:rFonts w:ascii="Times New Roman" w:hAnsi="Times New Roman"/>
                <w:sz w:val="28"/>
                <w:szCs w:val="28"/>
              </w:rPr>
              <w:t>кбит/с</w:t>
            </w:r>
          </w:p>
        </w:tc>
      </w:tr>
      <w:tr w14:paraId="20B734DA">
        <w:tc>
          <w:tcPr>
            <w:tcW w:w="1871" w:type="dxa"/>
          </w:tcPr>
          <w:p w14:paraId="7EF00F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Задержка</w:t>
            </w:r>
            <w:r>
              <w:rPr>
                <w:rFonts w:ascii="Times New Roman" w:hAnsi="Times New Roman"/>
                <w:sz w:val="28"/>
                <w:szCs w:val="28"/>
              </w:rPr>
              <w:br w:type="textWrapping"/>
            </w:r>
            <w:r>
              <w:rPr>
                <w:rFonts w:ascii="Times New Roman" w:hAnsi="Times New Roman"/>
                <w:sz w:val="28"/>
                <w:szCs w:val="28"/>
              </w:rPr>
              <w:t>передачи</w:t>
            </w:r>
          </w:p>
        </w:tc>
        <w:tc>
          <w:tcPr>
            <w:tcW w:w="1871" w:type="dxa"/>
          </w:tcPr>
          <w:p w14:paraId="4358A80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&lt; 10 мс</w:t>
            </w:r>
          </w:p>
        </w:tc>
        <w:tc>
          <w:tcPr>
            <w:tcW w:w="1871" w:type="dxa"/>
          </w:tcPr>
          <w:p w14:paraId="1C68B3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500–1500 мс</w:t>
            </w:r>
          </w:p>
        </w:tc>
        <w:tc>
          <w:tcPr>
            <w:tcW w:w="1871" w:type="dxa"/>
          </w:tcPr>
          <w:p w14:paraId="77FBC25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50–200 мс</w:t>
            </w:r>
          </w:p>
        </w:tc>
        <w:tc>
          <w:tcPr>
            <w:tcW w:w="1871" w:type="dxa"/>
          </w:tcPr>
          <w:p w14:paraId="6E2765C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100–500 мс</w:t>
            </w:r>
          </w:p>
        </w:tc>
      </w:tr>
      <w:tr w14:paraId="134FCB78">
        <w:tc>
          <w:tcPr>
            <w:tcW w:w="1871" w:type="dxa"/>
          </w:tcPr>
          <w:p w14:paraId="3EA06A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Надёжность</w:t>
            </w:r>
            <w:r>
              <w:rPr>
                <w:rFonts w:ascii="Times New Roman" w:hAnsi="Times New Roman"/>
                <w:sz w:val="28"/>
                <w:szCs w:val="28"/>
              </w:rPr>
              <w:br w:type="textWrapping"/>
            </w:r>
            <w:r>
              <w:rPr>
                <w:rFonts w:ascii="Times New Roman" w:hAnsi="Times New Roman"/>
                <w:sz w:val="28"/>
                <w:szCs w:val="28"/>
              </w:rPr>
              <w:t>(доступность)</w:t>
            </w:r>
          </w:p>
        </w:tc>
        <w:tc>
          <w:tcPr>
            <w:tcW w:w="1871" w:type="dxa"/>
          </w:tcPr>
          <w:p w14:paraId="678F2F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99,99 %</w:t>
            </w:r>
          </w:p>
        </w:tc>
        <w:tc>
          <w:tcPr>
            <w:tcW w:w="1871" w:type="dxa"/>
          </w:tcPr>
          <w:p w14:paraId="413ED4B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99,0–99,5 %</w:t>
            </w:r>
          </w:p>
        </w:tc>
        <w:tc>
          <w:tcPr>
            <w:tcW w:w="1871" w:type="dxa"/>
          </w:tcPr>
          <w:p w14:paraId="3BDEC5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c>
          <w:tcPr>
            <w:tcW w:w="1871" w:type="dxa"/>
          </w:tcPr>
          <w:p w14:paraId="7C510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r>
      <w:tr w14:paraId="11A42D40">
        <w:tc>
          <w:tcPr>
            <w:tcW w:w="1871" w:type="dxa"/>
          </w:tcPr>
          <w:p w14:paraId="35B56C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Дальность без</w:t>
            </w:r>
            <w:r>
              <w:rPr>
                <w:rFonts w:ascii="Times New Roman" w:hAnsi="Times New Roman"/>
                <w:sz w:val="28"/>
                <w:szCs w:val="28"/>
              </w:rPr>
              <w:br w:type="textWrapping"/>
            </w:r>
            <w:r>
              <w:rPr>
                <w:rFonts w:ascii="Times New Roman" w:hAnsi="Times New Roman"/>
                <w:sz w:val="28"/>
                <w:szCs w:val="28"/>
              </w:rPr>
              <w:t>ретрансляции</w:t>
            </w:r>
          </w:p>
        </w:tc>
        <w:tc>
          <w:tcPr>
            <w:tcW w:w="1871" w:type="dxa"/>
          </w:tcPr>
          <w:p w14:paraId="46A8C6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 80 км</w:t>
            </w:r>
          </w:p>
        </w:tc>
        <w:tc>
          <w:tcPr>
            <w:tcW w:w="1871" w:type="dxa"/>
          </w:tcPr>
          <w:p w14:paraId="3B2FFE7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9ADF68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D6E524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10–30 км</w:t>
            </w:r>
          </w:p>
        </w:tc>
      </w:tr>
      <w:tr w14:paraId="4595D5AE">
        <w:tc>
          <w:tcPr>
            <w:tcW w:w="1871" w:type="dxa"/>
          </w:tcPr>
          <w:p w14:paraId="03B2A48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Помехо-</w:t>
            </w:r>
            <w:r>
              <w:rPr>
                <w:rFonts w:ascii="Times New Roman" w:hAnsi="Times New Roman"/>
                <w:sz w:val="28"/>
                <w:szCs w:val="28"/>
              </w:rPr>
              <w:br w:type="textWrapping"/>
            </w:r>
            <w:r>
              <w:rPr>
                <w:rFonts w:ascii="Times New Roman" w:hAnsi="Times New Roman"/>
                <w:sz w:val="28"/>
                <w:szCs w:val="28"/>
              </w:rPr>
              <w:t>защищённость</w:t>
            </w:r>
          </w:p>
        </w:tc>
        <w:tc>
          <w:tcPr>
            <w:tcW w:w="1871" w:type="dxa"/>
          </w:tcPr>
          <w:p w14:paraId="5DC29E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18876E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07AB2D7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1E8253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r>
      <w:tr w14:paraId="40A383B6">
        <w:tc>
          <w:tcPr>
            <w:tcW w:w="1871" w:type="dxa"/>
          </w:tcPr>
          <w:p w14:paraId="39C0C5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Стоимость</w:t>
            </w:r>
            <w:r>
              <w:rPr>
                <w:rFonts w:ascii="Times New Roman" w:hAnsi="Times New Roman"/>
                <w:sz w:val="28"/>
                <w:szCs w:val="28"/>
              </w:rPr>
              <w:br w:type="textWrapping"/>
            </w:r>
            <w:r>
              <w:rPr>
                <w:rFonts w:ascii="Times New Roman" w:hAnsi="Times New Roman"/>
                <w:sz w:val="28"/>
                <w:szCs w:val="28"/>
              </w:rPr>
              <w:t>внедрения</w:t>
            </w:r>
          </w:p>
        </w:tc>
        <w:tc>
          <w:tcPr>
            <w:tcW w:w="1871" w:type="dxa"/>
          </w:tcPr>
          <w:p w14:paraId="6BD0D3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4F7437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c>
          <w:tcPr>
            <w:tcW w:w="1871" w:type="dxa"/>
          </w:tcPr>
          <w:p w14:paraId="4F1CF4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7BB8FA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r>
      <w:tr w14:paraId="4A0C543E">
        <w:tc>
          <w:tcPr>
            <w:tcW w:w="1871" w:type="dxa"/>
          </w:tcPr>
          <w:p w14:paraId="717D28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Эксплуат.</w:t>
            </w:r>
            <w:r>
              <w:rPr>
                <w:rFonts w:ascii="Times New Roman" w:hAnsi="Times New Roman"/>
                <w:sz w:val="28"/>
                <w:szCs w:val="28"/>
              </w:rPr>
              <w:br w:type="textWrapping"/>
            </w:r>
            <w:r>
              <w:rPr>
                <w:rFonts w:ascii="Times New Roman" w:hAnsi="Times New Roman"/>
                <w:sz w:val="28"/>
                <w:szCs w:val="28"/>
              </w:rPr>
              <w:t>расходы</w:t>
            </w:r>
          </w:p>
        </w:tc>
        <w:tc>
          <w:tcPr>
            <w:tcW w:w="1871" w:type="dxa"/>
          </w:tcPr>
          <w:p w14:paraId="5AF3ACE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c>
          <w:tcPr>
            <w:tcW w:w="1871" w:type="dxa"/>
          </w:tcPr>
          <w:p w14:paraId="24FFD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486225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3020A5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r>
    </w:tbl>
    <w:p w14:paraId="795AD99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BB7F3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Оптимальной конфигурацией для автоматизированных участков является комбинация Ethernet по ВОЛС в качестве основного канала и GSM/GPRS или LTE в качестве резервного: первый обеспечивает минимальную задержку и максимальную надёжность, второй — связь при повреждении оптического кабеля [22].</w:t>
      </w:r>
    </w:p>
    <w:p w14:paraId="1F8B9F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[23]. Полевой уровень (уровень 1) включает датчики тока и напряжения, датчики положения контактов, ИКЗ и исполнительные механизмы приводов.</w:t>
      </w:r>
    </w:p>
    <w:p w14:paraId="5CAD417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Уровень контроллеров RTU (уровень 2) выполняет аналого-цифровое преобразование с частотой дискретизации не менее 1000 Гц, реализацию локальных алгоритмов защит (МТЗ, ТО, ОЗЗ, АПВ), формирование команд управления приводами и буферизацию данных в энергонезависимой памяти при потере связи с вышестоящим уровнем. Коммуникационный уровень (уровень 3) образован сетевым оборудованием — коммутаторами Ethernet, маршрутизаторами, модемами GSM/GPRS — и обеспечивает передачу данных между RTU и сервером SCADA; для ВЛ 6–10 кВ типична линейная топология с ВОЛС по тросу воздушной линии [18].</w:t>
      </w:r>
    </w:p>
    <w:p w14:paraId="3EFF57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Сервер SCADA (уровень 4) обеспечивает централизованный сбор, обработку, архивирование и визуализацию данных: приём телеизмерений (токов, напряжений, мощностей), телесигнализации (состояние коммутационных аппаратов, срабатывание защит, состояние ИКЗ), передачу команд телеуправления, выполнение централизованных алгоритмов автоматики и ведение архива событий. Уровень оператора HMI (уровень 5) включает рабочие места диспетчеров с мнемосхемой автоматизированного участка, цветовой индикацией состояний (зелёный — включён, красный — аварийное отключение, жёлтый — предупреждение, серый — нет связи), журналом аварийных событий и интерфейсом телеуправления по принципу «выбор — подтверждение — исполнение» [19].</w:t>
      </w:r>
    </w:p>
    <w:p w14:paraId="03C00B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Потеря связи с коммутационным аппаратом приводит к невозможности телеуправления и телеизмерения, что существенно увеличивает время восстановления электроснабжения при аварийных ситуациях. Требования к надёжности каналов диктуются необходимостью своевременного выполнения переключений.</w:t>
      </w:r>
    </w:p>
    <w:p w14:paraId="55C3641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Требуемый уровень надёжности достигается резервированием каналов с автоматическим переключением на резервный канал за время не более 30 секунд. Контроль доступности основного канала выполняется периодическими heartbeat-сообщениями с периодом 5–10 секунд; при отсутствии ответа на три последовательных сообщения канал признаётся неработоспособным.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[20]. Основные требования к надёжности каналов связи приведены в таблице 2.5.</w:t>
      </w:r>
    </w:p>
    <w:p w14:paraId="1592297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2.5 – Требования к надёжности каналов связи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976"/>
        <w:gridCol w:w="2196"/>
        <w:gridCol w:w="1863"/>
        <w:gridCol w:w="1593"/>
      </w:tblGrid>
      <w:tr w14:paraId="6E466903">
        <w:tc>
          <w:tcPr>
            <w:tcW w:w="1871" w:type="dxa"/>
          </w:tcPr>
          <w:p w14:paraId="463401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6012F60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Телеуправление</w:t>
            </w:r>
            <w:r>
              <w:rPr>
                <w:rFonts w:ascii="Times New Roman" w:hAnsi="Times New Roman"/>
                <w:b w:val="0"/>
                <w:bCs/>
                <w:sz w:val="28"/>
                <w:szCs w:val="28"/>
              </w:rPr>
              <w:br w:type="textWrapping"/>
            </w:r>
            <w:r>
              <w:rPr>
                <w:rFonts w:ascii="Times New Roman" w:hAnsi="Times New Roman"/>
                <w:b w:val="0"/>
                <w:bCs/>
                <w:sz w:val="28"/>
                <w:szCs w:val="28"/>
              </w:rPr>
              <w:t>(ТУ)</w:t>
            </w:r>
          </w:p>
        </w:tc>
        <w:tc>
          <w:tcPr>
            <w:tcW w:w="1871" w:type="dxa"/>
          </w:tcPr>
          <w:p w14:paraId="4A794D2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Телесигнализация</w:t>
            </w:r>
            <w:r>
              <w:rPr>
                <w:rFonts w:ascii="Times New Roman" w:hAnsi="Times New Roman"/>
                <w:b w:val="0"/>
                <w:bCs/>
                <w:sz w:val="28"/>
                <w:szCs w:val="28"/>
              </w:rPr>
              <w:br w:type="textWrapping"/>
            </w:r>
            <w:r>
              <w:rPr>
                <w:rFonts w:ascii="Times New Roman" w:hAnsi="Times New Roman"/>
                <w:b w:val="0"/>
                <w:bCs/>
                <w:sz w:val="28"/>
                <w:szCs w:val="28"/>
              </w:rPr>
              <w:t>(ТС)</w:t>
            </w:r>
          </w:p>
        </w:tc>
        <w:tc>
          <w:tcPr>
            <w:tcW w:w="1871" w:type="dxa"/>
          </w:tcPr>
          <w:p w14:paraId="19A15B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Телеизмерение</w:t>
            </w:r>
            <w:r>
              <w:rPr>
                <w:rFonts w:ascii="Times New Roman" w:hAnsi="Times New Roman"/>
                <w:b w:val="0"/>
                <w:bCs/>
                <w:sz w:val="28"/>
                <w:szCs w:val="28"/>
              </w:rPr>
              <w:br w:type="textWrapping"/>
            </w:r>
            <w:r>
              <w:rPr>
                <w:rFonts w:ascii="Times New Roman" w:hAnsi="Times New Roman"/>
                <w:b w:val="0"/>
                <w:bCs/>
                <w:sz w:val="28"/>
                <w:szCs w:val="28"/>
              </w:rPr>
              <w:t>(ТИ)</w:t>
            </w:r>
          </w:p>
        </w:tc>
        <w:tc>
          <w:tcPr>
            <w:tcW w:w="1871" w:type="dxa"/>
          </w:tcPr>
          <w:p w14:paraId="3F10DF8F">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Архивные</w:t>
            </w:r>
            <w:r>
              <w:rPr>
                <w:rFonts w:ascii="Times New Roman" w:hAnsi="Times New Roman"/>
                <w:b w:val="0"/>
                <w:bCs/>
                <w:sz w:val="28"/>
                <w:szCs w:val="28"/>
              </w:rPr>
              <w:br w:type="textWrapping"/>
            </w:r>
            <w:r>
              <w:rPr>
                <w:rFonts w:ascii="Times New Roman" w:hAnsi="Times New Roman"/>
                <w:b w:val="0"/>
                <w:bCs/>
                <w:sz w:val="28"/>
                <w:szCs w:val="28"/>
              </w:rPr>
              <w:t>данные</w:t>
            </w:r>
          </w:p>
        </w:tc>
      </w:tr>
      <w:tr w14:paraId="59CED91D">
        <w:tc>
          <w:tcPr>
            <w:tcW w:w="1871" w:type="dxa"/>
          </w:tcPr>
          <w:p w14:paraId="26199BB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Доступность</w:t>
            </w:r>
            <w:r>
              <w:rPr>
                <w:rFonts w:ascii="Times New Roman" w:hAnsi="Times New Roman"/>
                <w:sz w:val="28"/>
                <w:szCs w:val="28"/>
              </w:rPr>
              <w:br w:type="textWrapping"/>
            </w:r>
            <w:r>
              <w:rPr>
                <w:rFonts w:ascii="Times New Roman" w:hAnsi="Times New Roman"/>
                <w:sz w:val="28"/>
                <w:szCs w:val="28"/>
              </w:rPr>
              <w:t>канала, %</w:t>
            </w:r>
          </w:p>
        </w:tc>
        <w:tc>
          <w:tcPr>
            <w:tcW w:w="1871" w:type="dxa"/>
          </w:tcPr>
          <w:p w14:paraId="77FF8F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99,9</w:t>
            </w:r>
          </w:p>
        </w:tc>
        <w:tc>
          <w:tcPr>
            <w:tcW w:w="1871" w:type="dxa"/>
          </w:tcPr>
          <w:p w14:paraId="7E2523D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13CEEF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3A7A2E6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99,0</w:t>
            </w:r>
          </w:p>
        </w:tc>
      </w:tr>
      <w:tr w14:paraId="0EAAD02B">
        <w:tc>
          <w:tcPr>
            <w:tcW w:w="1871" w:type="dxa"/>
          </w:tcPr>
          <w:p w14:paraId="6D930A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Макс. задержка</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381A37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 мс</w:t>
            </w:r>
          </w:p>
        </w:tc>
        <w:tc>
          <w:tcPr>
            <w:tcW w:w="1871" w:type="dxa"/>
          </w:tcPr>
          <w:p w14:paraId="643669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1871" w:type="dxa"/>
          </w:tcPr>
          <w:p w14:paraId="315F4F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с</w:t>
            </w:r>
          </w:p>
        </w:tc>
        <w:tc>
          <w:tcPr>
            <w:tcW w:w="1871" w:type="dxa"/>
          </w:tcPr>
          <w:p w14:paraId="45AA85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критична</w:t>
            </w:r>
          </w:p>
        </w:tc>
      </w:tr>
      <w:tr w14:paraId="0535FE5E">
        <w:tc>
          <w:tcPr>
            <w:tcW w:w="1871" w:type="dxa"/>
          </w:tcPr>
          <w:p w14:paraId="3F1D6DC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Вероятность</w:t>
            </w:r>
            <w:r>
              <w:rPr>
                <w:rFonts w:ascii="Times New Roman" w:hAnsi="Times New Roman"/>
                <w:sz w:val="28"/>
                <w:szCs w:val="28"/>
              </w:rPr>
              <w:br w:type="textWrapping"/>
            </w:r>
            <w:r>
              <w:rPr>
                <w:rFonts w:ascii="Times New Roman" w:hAnsi="Times New Roman"/>
                <w:sz w:val="28"/>
                <w:szCs w:val="28"/>
              </w:rPr>
              <w:t>искажения</w:t>
            </w:r>
          </w:p>
        </w:tc>
        <w:tc>
          <w:tcPr>
            <w:tcW w:w="1871" w:type="dxa"/>
          </w:tcPr>
          <w:p w14:paraId="3F703F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10⁻⁶</w:t>
            </w:r>
          </w:p>
        </w:tc>
        <w:tc>
          <w:tcPr>
            <w:tcW w:w="1871" w:type="dxa"/>
          </w:tcPr>
          <w:p w14:paraId="7E085D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10⁻⁵</w:t>
            </w:r>
          </w:p>
        </w:tc>
        <w:tc>
          <w:tcPr>
            <w:tcW w:w="1871" w:type="dxa"/>
          </w:tcPr>
          <w:p w14:paraId="6CC722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c>
          <w:tcPr>
            <w:tcW w:w="1871" w:type="dxa"/>
          </w:tcPr>
          <w:p w14:paraId="67EBC2C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r>
      <w:tr w14:paraId="48DEA00C">
        <w:tc>
          <w:tcPr>
            <w:tcW w:w="1871" w:type="dxa"/>
          </w:tcPr>
          <w:p w14:paraId="25B419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590F58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0BD30C3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622FB8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Желательно</w:t>
            </w:r>
          </w:p>
        </w:tc>
        <w:tc>
          <w:tcPr>
            <w:tcW w:w="1871" w:type="dxa"/>
          </w:tcPr>
          <w:p w14:paraId="27691A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r>
      <w:tr w14:paraId="76C7BF17">
        <w:tc>
          <w:tcPr>
            <w:tcW w:w="1871" w:type="dxa"/>
          </w:tcPr>
          <w:p w14:paraId="3D2B0D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Резервирование</w:t>
            </w:r>
          </w:p>
        </w:tc>
        <w:tc>
          <w:tcPr>
            <w:tcW w:w="1871" w:type="dxa"/>
          </w:tcPr>
          <w:p w14:paraId="3ED379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5C5C04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1003B76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Рекомендуется</w:t>
            </w:r>
          </w:p>
        </w:tc>
        <w:tc>
          <w:tcPr>
            <w:tcW w:w="1871" w:type="dxa"/>
          </w:tcPr>
          <w:p w14:paraId="536AB5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r w14:paraId="6E8DDEAC">
        <w:tc>
          <w:tcPr>
            <w:tcW w:w="1871" w:type="dxa"/>
          </w:tcPr>
          <w:p w14:paraId="03411B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Буферизация</w:t>
            </w:r>
            <w:r>
              <w:rPr>
                <w:rFonts w:ascii="Times New Roman" w:hAnsi="Times New Roman"/>
                <w:sz w:val="28"/>
                <w:szCs w:val="28"/>
              </w:rPr>
              <w:br w:type="textWrapping"/>
            </w:r>
            <w:r>
              <w:rPr>
                <w:rFonts w:ascii="Times New Roman" w:hAnsi="Times New Roman"/>
                <w:sz w:val="28"/>
                <w:szCs w:val="28"/>
              </w:rPr>
              <w:t>при потере связи</w:t>
            </w:r>
          </w:p>
        </w:tc>
        <w:tc>
          <w:tcPr>
            <w:tcW w:w="1871" w:type="dxa"/>
          </w:tcPr>
          <w:p w14:paraId="0541C5D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c>
          <w:tcPr>
            <w:tcW w:w="1871" w:type="dxa"/>
          </w:tcPr>
          <w:p w14:paraId="7B059FA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30241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6B7255B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bl>
    <w:p w14:paraId="1EEAC2A5">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30F911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Дополнительным требованием является информационная безопасность: шифрование трафика TLS/SSL, аутентификация устройств, межсетевое экранирование и мониторинг аномальной активности. Искажение или подмена команд телеуправления может привести к аварийным ситуациям в электрической сети, поэтому защите управляющего канала уделяется приоритетное внимание [22].</w:t>
      </w:r>
    </w:p>
    <w:p w14:paraId="2633CDC7">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27" w:name="_Toc569800743"/>
      <w:r>
        <w:rPr>
          <w:rFonts w:ascii="Times New Roman" w:hAnsi="Times New Roman" w:eastAsia="Times New Roman" w:cs="Times New Roman"/>
          <w:b/>
          <w:sz w:val="28"/>
        </w:rPr>
        <w:t>3 Исследование работы разработанных алгоритмов</w:t>
      </w:r>
      <w:bookmarkEnd w:id="27"/>
    </w:p>
    <w:p w14:paraId="6D04987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Исследование работы алгоритмов выполняется на основе анализа таблиц состояний автоматики и результатов моделирования.</w:t>
      </w:r>
    </w:p>
    <w:p w14:paraId="68F8E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 Они решают четыре задачи: формальная верификация корректности алгоритмов, однозначная основа для программной реализации, документация для эксплуатационного персонала, систематический анализ полноты и непротиворечивости логики управления [22].</w:t>
      </w:r>
    </w:p>
    <w:p w14:paraId="72145F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Методология основана на определении конечного набора дискретных состояний каждого элемента участка. Для коммутационных аппаратов (реклоузер Р1, разъединители РШ1, РШ2, НР) определены состояния: ВКЛ — аппарат включён, цепь замкнута; ОТКЛ — аппарат отключён оператором или алгоритмом в штатном режиме; LOCKOUT — аппарат отключён после исчерпания циклов АПВ (только для реклоузера Р1). Для индикаторов короткого замыкания (ИКЗ) определены состояния: НОРМ — ток КЗ не зафиксирован; СРАБОТАЛ — зафиксировано протекание тока КЗ. В системе SCADA применяется цветовая кодировка: зелёный — нормальное состояние, красный — аварийное, жёлтый — предупреждение, серый — нет связи [23].</w:t>
      </w:r>
    </w:p>
    <w:p w14:paraId="6EA7DD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Каждая строка таблицы описывает одно состояние системы, включающее положение каждого коммутационного аппарата, состояние каждого ИКЗ, режим работы SCADA и действия автоматики или оператора. Переход между строками происходит при наступлении определённого события: обнаружение тока КЗ, срабатывание защиты, выполнение команды оператора, истечение времени паузы АПВ. Совокупность строк описывает полную последовательность действий для данного режима работы [18].</w:t>
      </w:r>
    </w:p>
    <w:p w14:paraId="5B3534FA">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8" w:name="_Toc1011505628"/>
      <w:bookmarkStart w:id="29" w:name="_Toc848610391"/>
      <w:r>
        <w:rPr>
          <w:rFonts w:hint="default" w:ascii="Times New Roman" w:hAnsi="Times New Roman" w:eastAsia="Times New Roman" w:cs="Times New Roman"/>
          <w:b/>
          <w:bCs/>
          <w:sz w:val="28"/>
        </w:rPr>
        <w:t>3.1 Работа системы автоматики в нормальных режимах эксплуатации</w:t>
      </w:r>
      <w:bookmarkEnd w:id="28"/>
      <w:bookmarkEnd w:id="29"/>
    </w:p>
    <w:p w14:paraId="35A9FAD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 Все параметры находятся в пределах допустимых значений, аварийные сигналы отсутствуют. Состояния элементов участка при нормальном режиме приведены в таблице 3.1.</w:t>
      </w:r>
    </w:p>
    <w:p w14:paraId="3DB6FD74">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3.1 – Состояния элементов участка при нормальном режиме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928"/>
        <w:gridCol w:w="939"/>
        <w:gridCol w:w="939"/>
        <w:gridCol w:w="1064"/>
        <w:gridCol w:w="1109"/>
        <w:gridCol w:w="2216"/>
      </w:tblGrid>
      <w:tr w14:paraId="7FBF095F">
        <w:tc>
          <w:tcPr>
            <w:tcW w:w="1336" w:type="dxa"/>
          </w:tcPr>
          <w:p w14:paraId="2A8E221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Подрежим</w:t>
            </w:r>
          </w:p>
        </w:tc>
        <w:tc>
          <w:tcPr>
            <w:tcW w:w="1336" w:type="dxa"/>
          </w:tcPr>
          <w:p w14:paraId="5BE5743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3063EEB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6D5C53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1D20994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6DA1CE3A">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4329D19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4FFEC5F">
        <w:tc>
          <w:tcPr>
            <w:tcW w:w="1336" w:type="dxa"/>
          </w:tcPr>
          <w:p w14:paraId="32B8B1E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Исходное состояние</w:t>
            </w:r>
            <w:r>
              <w:rPr>
                <w:rFonts w:ascii="Times New Roman" w:hAnsi="Times New Roman"/>
                <w:sz w:val="28"/>
                <w:szCs w:val="28"/>
              </w:rPr>
              <w:br w:type="textWrapping"/>
            </w:r>
            <w:r>
              <w:rPr>
                <w:rFonts w:ascii="Times New Roman" w:hAnsi="Times New Roman"/>
                <w:sz w:val="28"/>
                <w:szCs w:val="28"/>
              </w:rPr>
              <w:t>(все секции под</w:t>
            </w:r>
            <w:r>
              <w:rPr>
                <w:rFonts w:ascii="Times New Roman" w:hAnsi="Times New Roman"/>
                <w:sz w:val="28"/>
                <w:szCs w:val="28"/>
              </w:rPr>
              <w:br w:type="textWrapping"/>
            </w:r>
            <w:r>
              <w:rPr>
                <w:rFonts w:ascii="Times New Roman" w:hAnsi="Times New Roman"/>
                <w:sz w:val="28"/>
                <w:szCs w:val="28"/>
              </w:rPr>
              <w:t>напряжением)</w:t>
            </w:r>
          </w:p>
        </w:tc>
        <w:tc>
          <w:tcPr>
            <w:tcW w:w="1336" w:type="dxa"/>
          </w:tcPr>
          <w:p w14:paraId="31ACF9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09100F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FE3ED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876BFB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5232D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D2C7A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 норме</w:t>
            </w:r>
          </w:p>
        </w:tc>
      </w:tr>
      <w:tr w14:paraId="133A4C84">
        <w:tc>
          <w:tcPr>
            <w:tcW w:w="1336" w:type="dxa"/>
          </w:tcPr>
          <w:p w14:paraId="5A0EE8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Увеличение</w:t>
            </w:r>
            <w:r>
              <w:rPr>
                <w:rFonts w:ascii="Times New Roman" w:hAnsi="Times New Roman"/>
                <w:sz w:val="28"/>
                <w:szCs w:val="28"/>
              </w:rPr>
              <w:br w:type="textWrapping"/>
            </w:r>
            <w:r>
              <w:rPr>
                <w:rFonts w:ascii="Times New Roman" w:hAnsi="Times New Roman"/>
                <w:sz w:val="28"/>
                <w:szCs w:val="28"/>
              </w:rPr>
              <w:t>нагрузки</w:t>
            </w:r>
            <w:r>
              <w:rPr>
                <w:rFonts w:ascii="Times New Roman" w:hAnsi="Times New Roman"/>
                <w:sz w:val="28"/>
                <w:szCs w:val="28"/>
              </w:rPr>
              <w:br w:type="textWrapping"/>
            </w:r>
            <w:r>
              <w:rPr>
                <w:rFonts w:ascii="Times New Roman" w:hAnsi="Times New Roman"/>
                <w:sz w:val="28"/>
                <w:szCs w:val="28"/>
              </w:rPr>
              <w:t>(I &lt; Iпред)</w:t>
            </w:r>
          </w:p>
        </w:tc>
        <w:tc>
          <w:tcPr>
            <w:tcW w:w="1336" w:type="dxa"/>
          </w:tcPr>
          <w:p w14:paraId="3ED1C0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089B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821F4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D2DD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B5A69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E0BDBF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 тока</w:t>
            </w:r>
            <w:r>
              <w:rPr>
                <w:rFonts w:ascii="Times New Roman" w:hAnsi="Times New Roman"/>
                <w:sz w:val="28"/>
                <w:szCs w:val="28"/>
              </w:rPr>
              <w:br w:type="textWrapping"/>
            </w:r>
            <w:r>
              <w:rPr>
                <w:rFonts w:ascii="Times New Roman" w:hAnsi="Times New Roman"/>
                <w:sz w:val="28"/>
                <w:szCs w:val="28"/>
              </w:rPr>
              <w:t>возрастает</w:t>
            </w:r>
          </w:p>
        </w:tc>
      </w:tr>
      <w:tr w14:paraId="7153CAAD">
        <w:tc>
          <w:tcPr>
            <w:tcW w:w="1336" w:type="dxa"/>
          </w:tcPr>
          <w:p w14:paraId="0D8237C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Предупреждение</w:t>
            </w:r>
            <w:r>
              <w:rPr>
                <w:rFonts w:ascii="Times New Roman" w:hAnsi="Times New Roman"/>
                <w:sz w:val="28"/>
                <w:szCs w:val="28"/>
              </w:rPr>
              <w:br w:type="textWrapping"/>
            </w:r>
            <w:r>
              <w:rPr>
                <w:rFonts w:ascii="Times New Roman" w:hAnsi="Times New Roman"/>
                <w:sz w:val="28"/>
                <w:szCs w:val="28"/>
              </w:rPr>
              <w:t>по нагрузке</w:t>
            </w:r>
            <w:r>
              <w:rPr>
                <w:rFonts w:ascii="Times New Roman" w:hAnsi="Times New Roman"/>
                <w:sz w:val="28"/>
                <w:szCs w:val="28"/>
              </w:rPr>
              <w:br w:type="textWrapping"/>
            </w:r>
            <w:r>
              <w:rPr>
                <w:rFonts w:ascii="Times New Roman" w:hAnsi="Times New Roman"/>
                <w:sz w:val="28"/>
                <w:szCs w:val="28"/>
              </w:rPr>
              <w:t>(I &gt; Iпред)</w:t>
            </w:r>
          </w:p>
        </w:tc>
        <w:tc>
          <w:tcPr>
            <w:tcW w:w="1336" w:type="dxa"/>
          </w:tcPr>
          <w:p w14:paraId="0F31BB9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F5BD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A6174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79087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905C4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0F06A5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предупреждения</w:t>
            </w:r>
          </w:p>
        </w:tc>
      </w:tr>
      <w:tr w14:paraId="2D254272">
        <w:tc>
          <w:tcPr>
            <w:tcW w:w="1336" w:type="dxa"/>
          </w:tcPr>
          <w:p w14:paraId="10DA118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Снижение</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(U &gt; Uмин)</w:t>
            </w:r>
          </w:p>
        </w:tc>
        <w:tc>
          <w:tcPr>
            <w:tcW w:w="1336" w:type="dxa"/>
          </w:tcPr>
          <w:p w14:paraId="2909D6E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1C187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84F4D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C05E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0B909D5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4AE848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w:t>
            </w:r>
            <w:r>
              <w:rPr>
                <w:rFonts w:ascii="Times New Roman" w:hAnsi="Times New Roman"/>
                <w:sz w:val="28"/>
                <w:szCs w:val="28"/>
              </w:rPr>
              <w:br w:type="textWrapping"/>
            </w:r>
            <w:r>
              <w:rPr>
                <w:rFonts w:ascii="Times New Roman" w:hAnsi="Times New Roman"/>
                <w:sz w:val="28"/>
                <w:szCs w:val="28"/>
              </w:rPr>
              <w:t>напряжения</w:t>
            </w:r>
          </w:p>
        </w:tc>
      </w:tr>
      <w:tr w14:paraId="2BE9BC9A">
        <w:tc>
          <w:tcPr>
            <w:tcW w:w="1336" w:type="dxa"/>
          </w:tcPr>
          <w:p w14:paraId="31892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Кратковременные</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7260D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E01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5521E2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51A5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5B4F2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3D863E9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в пределах нормы</w:t>
            </w:r>
          </w:p>
        </w:tc>
      </w:tr>
      <w:tr w14:paraId="7F7DE2FB">
        <w:tc>
          <w:tcPr>
            <w:tcW w:w="1336" w:type="dxa"/>
          </w:tcPr>
          <w:p w14:paraId="6A4EE74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Пуск крупного</w:t>
            </w:r>
            <w:r>
              <w:rPr>
                <w:rFonts w:ascii="Times New Roman" w:hAnsi="Times New Roman"/>
                <w:sz w:val="28"/>
                <w:szCs w:val="28"/>
              </w:rPr>
              <w:br w:type="textWrapping"/>
            </w:r>
            <w:r>
              <w:rPr>
                <w:rFonts w:ascii="Times New Roman" w:hAnsi="Times New Roman"/>
                <w:sz w:val="28"/>
                <w:szCs w:val="28"/>
              </w:rPr>
              <w:t>электродвигателя</w:t>
            </w:r>
            <w:r>
              <w:rPr>
                <w:rFonts w:ascii="Times New Roman" w:hAnsi="Times New Roman"/>
                <w:sz w:val="28"/>
                <w:szCs w:val="28"/>
              </w:rPr>
              <w:br w:type="textWrapping"/>
            </w:r>
            <w:r>
              <w:rPr>
                <w:rFonts w:ascii="Times New Roman" w:hAnsi="Times New Roman"/>
                <w:sz w:val="28"/>
                <w:szCs w:val="28"/>
              </w:rPr>
              <w:t>(I &lt; Iмтз)</w:t>
            </w:r>
          </w:p>
        </w:tc>
        <w:tc>
          <w:tcPr>
            <w:tcW w:w="1336" w:type="dxa"/>
          </w:tcPr>
          <w:p w14:paraId="4279A6E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0F75D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99D3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817C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0F5F57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F0BFE4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Бросок тока</w:t>
            </w:r>
            <w:r>
              <w:rPr>
                <w:rFonts w:ascii="Times New Roman" w:hAnsi="Times New Roman"/>
                <w:sz w:val="28"/>
                <w:szCs w:val="28"/>
              </w:rPr>
              <w:br w:type="textWrapping"/>
            </w:r>
            <w:r>
              <w:rPr>
                <w:rFonts w:ascii="Times New Roman" w:hAnsi="Times New Roman"/>
                <w:sz w:val="28"/>
                <w:szCs w:val="28"/>
              </w:rPr>
              <w:t>зафиксирован</w:t>
            </w:r>
          </w:p>
        </w:tc>
      </w:tr>
      <w:tr w14:paraId="22FE71A1">
        <w:tc>
          <w:tcPr>
            <w:tcW w:w="1336" w:type="dxa"/>
          </w:tcPr>
          <w:p w14:paraId="1213572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Восстановление</w:t>
            </w:r>
            <w:r>
              <w:rPr>
                <w:rFonts w:ascii="Times New Roman" w:hAnsi="Times New Roman"/>
                <w:sz w:val="28"/>
                <w:szCs w:val="28"/>
              </w:rPr>
              <w:br w:type="textWrapping"/>
            </w:r>
            <w:r>
              <w:rPr>
                <w:rFonts w:ascii="Times New Roman" w:hAnsi="Times New Roman"/>
                <w:sz w:val="28"/>
                <w:szCs w:val="28"/>
              </w:rPr>
              <w:t>номинального</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39FEC4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871F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BE5A2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155AE1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E4C07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6F4F08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вернулись в норму</w:t>
            </w:r>
          </w:p>
        </w:tc>
      </w:tr>
      <w:tr w14:paraId="6E1B3F62">
        <w:tc>
          <w:tcPr>
            <w:tcW w:w="1336" w:type="dxa"/>
          </w:tcPr>
          <w:p w14:paraId="42ED4B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Ночной минимум</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4C00992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B277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3EAB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5C4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1110A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3B777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Минимальная</w:t>
            </w:r>
            <w:r>
              <w:rPr>
                <w:rFonts w:ascii="Times New Roman" w:hAnsi="Times New Roman"/>
                <w:sz w:val="28"/>
                <w:szCs w:val="28"/>
              </w:rPr>
              <w:br w:type="textWrapping"/>
            </w:r>
            <w:r>
              <w:rPr>
                <w:rFonts w:ascii="Times New Roman" w:hAnsi="Times New Roman"/>
                <w:sz w:val="28"/>
                <w:szCs w:val="28"/>
              </w:rPr>
              <w:t>нагрузка</w:t>
            </w:r>
          </w:p>
        </w:tc>
      </w:tr>
    </w:tbl>
    <w:p w14:paraId="6CDC7A96">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856339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нормальном режиме положение коммутационных аппаратов остаётся неизменным для всех подрежимов. Различается только цветовая индикация SCADA: при приближении контролируемых параметров к граничным значениям формируются предупреждающие сигналы жёлтого цвета, привлекающие внимание оператора к необходимости контроля режима [19].</w:t>
      </w:r>
    </w:p>
    <w:p w14:paraId="79F6F1A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0" w:name="_Toc1155941810"/>
      <w:bookmarkStart w:id="31" w:name="_Toc894540144"/>
      <w:r>
        <w:rPr>
          <w:rFonts w:hint="default" w:ascii="Times New Roman" w:hAnsi="Times New Roman" w:eastAsia="Times New Roman" w:cs="Times New Roman"/>
          <w:b/>
          <w:bCs/>
          <w:sz w:val="28"/>
        </w:rPr>
        <w:t>3.2 Работа системы автоматики при аварийных режимах</w:t>
      </w:r>
      <w:bookmarkEnd w:id="30"/>
      <w:bookmarkEnd w:id="31"/>
    </w:p>
    <w:p w14:paraId="6D0E77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Аварийный режим возникает при появлении короткого замыкания на одном из участков линии. Рассмотрим последовательность состояний при устойчивом КЗ в секции 2 (между РШ1 и РШ2) — наиболее показательный сценарий, демонстрирующий полный цикл обнаружения, изоляции и восстановления питания [20]. Состояния элементов при аварийном режиме приведены в таблице 3.2.</w:t>
      </w:r>
    </w:p>
    <w:p w14:paraId="3F10543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3.2 – Состояния элементов при аварийном режиме (КЗ в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841"/>
        <w:gridCol w:w="1432"/>
        <w:gridCol w:w="897"/>
        <w:gridCol w:w="897"/>
        <w:gridCol w:w="952"/>
        <w:gridCol w:w="1581"/>
      </w:tblGrid>
      <w:tr w14:paraId="333E57FC">
        <w:tc>
          <w:tcPr>
            <w:tcW w:w="1336" w:type="dxa"/>
          </w:tcPr>
          <w:p w14:paraId="4B407D4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B5893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Событие / Действие</w:t>
            </w:r>
          </w:p>
        </w:tc>
        <w:tc>
          <w:tcPr>
            <w:tcW w:w="1336" w:type="dxa"/>
          </w:tcPr>
          <w:p w14:paraId="5756F1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2FC4FC7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D8A1698">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4CE902D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671939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57FC281A">
        <w:tc>
          <w:tcPr>
            <w:tcW w:w="1336" w:type="dxa"/>
          </w:tcPr>
          <w:p w14:paraId="073EA4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Обнаружение</w:t>
            </w:r>
            <w:r>
              <w:rPr>
                <w:rFonts w:ascii="Times New Roman" w:hAnsi="Times New Roman"/>
                <w:sz w:val="28"/>
                <w:szCs w:val="28"/>
              </w:rPr>
              <w:br w:type="textWrapping"/>
            </w:r>
            <w:r>
              <w:rPr>
                <w:rFonts w:ascii="Times New Roman" w:hAnsi="Times New Roman"/>
                <w:sz w:val="28"/>
                <w:szCs w:val="28"/>
              </w:rPr>
              <w:t>КЗ</w:t>
            </w:r>
          </w:p>
        </w:tc>
        <w:tc>
          <w:tcPr>
            <w:tcW w:w="1336" w:type="dxa"/>
          </w:tcPr>
          <w:p w14:paraId="14BAA4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Ток КЗ &gt; Iмтз.</w:t>
            </w:r>
            <w:r>
              <w:rPr>
                <w:rFonts w:ascii="Times New Roman" w:hAnsi="Times New Roman"/>
                <w:sz w:val="28"/>
                <w:szCs w:val="28"/>
              </w:rPr>
              <w:br w:type="textWrapping"/>
            </w:r>
            <w:r>
              <w:rPr>
                <w:rFonts w:ascii="Times New Roman" w:hAnsi="Times New Roman"/>
                <w:sz w:val="28"/>
                <w:szCs w:val="28"/>
              </w:rPr>
              <w:t>Срабатывание</w:t>
            </w:r>
            <w:r>
              <w:rPr>
                <w:rFonts w:ascii="Times New Roman" w:hAnsi="Times New Roman"/>
                <w:sz w:val="28"/>
                <w:szCs w:val="28"/>
              </w:rPr>
              <w:br w:type="textWrapping"/>
            </w:r>
            <w:r>
              <w:rPr>
                <w:rFonts w:ascii="Times New Roman" w:hAnsi="Times New Roman"/>
                <w:sz w:val="28"/>
                <w:szCs w:val="28"/>
              </w:rPr>
              <w:t>защиты Р1</w:t>
            </w:r>
          </w:p>
        </w:tc>
        <w:tc>
          <w:tcPr>
            <w:tcW w:w="1336" w:type="dxa"/>
          </w:tcPr>
          <w:p w14:paraId="74050E3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r>
              <w:rPr>
                <w:rFonts w:ascii="Times New Roman" w:hAnsi="Times New Roman"/>
                <w:sz w:val="28"/>
                <w:szCs w:val="28"/>
              </w:rPr>
              <w:br w:type="textWrapping"/>
            </w:r>
            <w:r>
              <w:rPr>
                <w:rFonts w:ascii="Times New Roman" w:hAnsi="Times New Roman"/>
                <w:sz w:val="28"/>
                <w:szCs w:val="28"/>
              </w:rPr>
              <w:t>(после</w:t>
            </w:r>
            <w:r>
              <w:rPr>
                <w:rFonts w:ascii="Times New Roman" w:hAnsi="Times New Roman"/>
                <w:sz w:val="28"/>
                <w:szCs w:val="28"/>
              </w:rPr>
              <w:br w:type="textWrapping"/>
            </w:r>
            <w:r>
              <w:rPr>
                <w:rFonts w:ascii="Times New Roman" w:hAnsi="Times New Roman"/>
                <w:sz w:val="28"/>
                <w:szCs w:val="28"/>
              </w:rPr>
              <w:t>АПВ)</w:t>
            </w:r>
          </w:p>
        </w:tc>
        <w:tc>
          <w:tcPr>
            <w:tcW w:w="1336" w:type="dxa"/>
          </w:tcPr>
          <w:p w14:paraId="1908D9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4F58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0F990C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64FE4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p>
        </w:tc>
      </w:tr>
      <w:tr w14:paraId="363659C4">
        <w:tc>
          <w:tcPr>
            <w:tcW w:w="1336" w:type="dxa"/>
          </w:tcPr>
          <w:p w14:paraId="5FEBFE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Определение</w:t>
            </w:r>
            <w:r>
              <w:rPr>
                <w:rFonts w:ascii="Times New Roman" w:hAnsi="Times New Roman"/>
                <w:sz w:val="28"/>
                <w:szCs w:val="28"/>
              </w:rPr>
              <w:br w:type="textWrapping"/>
            </w:r>
            <w:r>
              <w:rPr>
                <w:rFonts w:ascii="Times New Roman" w:hAnsi="Times New Roman"/>
                <w:sz w:val="28"/>
                <w:szCs w:val="28"/>
              </w:rPr>
              <w:t>повреждённой</w:t>
            </w:r>
            <w:r>
              <w:rPr>
                <w:rFonts w:ascii="Times New Roman" w:hAnsi="Times New Roman"/>
                <w:sz w:val="28"/>
                <w:szCs w:val="28"/>
              </w:rPr>
              <w:br w:type="textWrapping"/>
            </w:r>
            <w:r>
              <w:rPr>
                <w:rFonts w:ascii="Times New Roman" w:hAnsi="Times New Roman"/>
                <w:sz w:val="28"/>
                <w:szCs w:val="28"/>
              </w:rPr>
              <w:t>секции</w:t>
            </w:r>
          </w:p>
        </w:tc>
        <w:tc>
          <w:tcPr>
            <w:tcW w:w="1336" w:type="dxa"/>
          </w:tcPr>
          <w:p w14:paraId="7F363971">
            <w:r>
              <w:t>Анализ ИКЗ:</w:t>
            </w:r>
            <w:r>
              <w:br w:type="textWrapping"/>
            </w:r>
            <w:r>
              <w:t>ИКЗ-1 сработал,</w:t>
            </w:r>
            <w:r>
              <w:br w:type="textWrapping"/>
            </w:r>
            <w:r>
              <w:t>ИКЗ-2 нет →</w:t>
            </w:r>
            <w:r>
              <w:br w:type="textWrapping"/>
            </w:r>
            <w:r>
              <w:t>секция 2</w:t>
            </w:r>
          </w:p>
        </w:tc>
        <w:tc>
          <w:tcPr>
            <w:tcW w:w="1336" w:type="dxa"/>
          </w:tcPr>
          <w:p w14:paraId="370951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0F5EB3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EA671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ABFE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793CA94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определена</w:t>
            </w:r>
          </w:p>
        </w:tc>
      </w:tr>
      <w:tr w14:paraId="0B1DBB32">
        <w:tc>
          <w:tcPr>
            <w:tcW w:w="1336" w:type="dxa"/>
          </w:tcPr>
          <w:p w14:paraId="18FAE3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Изоляция</w:t>
            </w:r>
            <w:r>
              <w:rPr>
                <w:rFonts w:ascii="Times New Roman" w:hAnsi="Times New Roman"/>
                <w:sz w:val="28"/>
                <w:szCs w:val="28"/>
              </w:rPr>
              <w:br w:type="textWrapping"/>
            </w:r>
            <w:r>
              <w:rPr>
                <w:rFonts w:ascii="Times New Roman" w:hAnsi="Times New Roman"/>
                <w:sz w:val="28"/>
                <w:szCs w:val="28"/>
              </w:rPr>
              <w:t>повреждённого</w:t>
            </w:r>
            <w:r>
              <w:rPr>
                <w:rFonts w:ascii="Times New Roman" w:hAnsi="Times New Roman"/>
                <w:sz w:val="28"/>
                <w:szCs w:val="28"/>
              </w:rPr>
              <w:br w:type="textWrapping"/>
            </w:r>
            <w:r>
              <w:rPr>
                <w:rFonts w:ascii="Times New Roman" w:hAnsi="Times New Roman"/>
                <w:sz w:val="28"/>
                <w:szCs w:val="28"/>
              </w:rPr>
              <w:t>участка</w:t>
            </w:r>
          </w:p>
        </w:tc>
        <w:tc>
          <w:tcPr>
            <w:tcW w:w="1336" w:type="dxa"/>
          </w:tcPr>
          <w:p w14:paraId="67354F6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w:t>
            </w:r>
            <w:r>
              <w:rPr>
                <w:rFonts w:ascii="Times New Roman" w:hAnsi="Times New Roman"/>
                <w:sz w:val="28"/>
                <w:szCs w:val="28"/>
              </w:rPr>
              <w:br w:type="textWrapping"/>
            </w:r>
            <w:r>
              <w:rPr>
                <w:rFonts w:ascii="Times New Roman" w:hAnsi="Times New Roman"/>
                <w:sz w:val="28"/>
                <w:szCs w:val="28"/>
              </w:rPr>
              <w:t>на РШ1 и РШ2</w:t>
            </w:r>
            <w:r>
              <w:rPr>
                <w:rFonts w:ascii="Times New Roman" w:hAnsi="Times New Roman"/>
                <w:sz w:val="28"/>
                <w:szCs w:val="28"/>
              </w:rPr>
              <w:br w:type="textWrapping"/>
            </w:r>
            <w:r>
              <w:rPr>
                <w:rFonts w:ascii="Times New Roman" w:hAnsi="Times New Roman"/>
                <w:sz w:val="28"/>
                <w:szCs w:val="28"/>
              </w:rPr>
              <w:t>(бестоковая пауза)</w:t>
            </w:r>
          </w:p>
        </w:tc>
        <w:tc>
          <w:tcPr>
            <w:tcW w:w="1336" w:type="dxa"/>
          </w:tcPr>
          <w:p w14:paraId="38FBA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4AACA6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7B84D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4624E0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59E60F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изолирована</w:t>
            </w:r>
          </w:p>
        </w:tc>
      </w:tr>
      <w:tr w14:paraId="2BC306F4">
        <w:tc>
          <w:tcPr>
            <w:tcW w:w="1336" w:type="dxa"/>
          </w:tcPr>
          <w:p w14:paraId="318409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1</w:t>
            </w:r>
          </w:p>
        </w:tc>
        <w:tc>
          <w:tcPr>
            <w:tcW w:w="1336" w:type="dxa"/>
          </w:tcPr>
          <w:p w14:paraId="312CC2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Р1.</w:t>
            </w:r>
            <w:r>
              <w:rPr>
                <w:rFonts w:ascii="Times New Roman" w:hAnsi="Times New Roman"/>
                <w:sz w:val="28"/>
                <w:szCs w:val="28"/>
              </w:rPr>
              <w:br w:type="textWrapping"/>
            </w:r>
            <w:r>
              <w:rPr>
                <w:rFonts w:ascii="Times New Roman" w:hAnsi="Times New Roman"/>
                <w:sz w:val="28"/>
                <w:szCs w:val="28"/>
              </w:rPr>
              <w:t>Сброс lockout</w:t>
            </w:r>
          </w:p>
        </w:tc>
        <w:tc>
          <w:tcPr>
            <w:tcW w:w="1336" w:type="dxa"/>
          </w:tcPr>
          <w:p w14:paraId="72E279F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173BB9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B3DCE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A93CC7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93924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1</w:t>
            </w:r>
            <w:r>
              <w:rPr>
                <w:rFonts w:ascii="Times New Roman" w:hAnsi="Times New Roman"/>
                <w:sz w:val="28"/>
                <w:szCs w:val="28"/>
              </w:rPr>
              <w:br w:type="textWrapping"/>
            </w:r>
            <w:r>
              <w:rPr>
                <w:rFonts w:ascii="Times New Roman" w:hAnsi="Times New Roman"/>
                <w:sz w:val="28"/>
                <w:szCs w:val="28"/>
              </w:rPr>
              <w:t>под напряж.</w:t>
            </w:r>
          </w:p>
        </w:tc>
      </w:tr>
      <w:tr w14:paraId="7785649C">
        <w:tc>
          <w:tcPr>
            <w:tcW w:w="1336" w:type="dxa"/>
          </w:tcPr>
          <w:p w14:paraId="124D5A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3</w:t>
            </w:r>
          </w:p>
        </w:tc>
        <w:tc>
          <w:tcPr>
            <w:tcW w:w="1336" w:type="dxa"/>
          </w:tcPr>
          <w:p w14:paraId="68BF641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НР.</w:t>
            </w:r>
            <w:r>
              <w:rPr>
                <w:rFonts w:ascii="Times New Roman" w:hAnsi="Times New Roman"/>
                <w:sz w:val="28"/>
                <w:szCs w:val="28"/>
              </w:rPr>
              <w:br w:type="textWrapping"/>
            </w:r>
            <w:r>
              <w:rPr>
                <w:rFonts w:ascii="Times New Roman" w:hAnsi="Times New Roman"/>
                <w:sz w:val="28"/>
                <w:szCs w:val="28"/>
              </w:rPr>
              <w:t>Резервное</w:t>
            </w:r>
            <w:r>
              <w:rPr>
                <w:rFonts w:ascii="Times New Roman" w:hAnsi="Times New Roman"/>
                <w:sz w:val="28"/>
                <w:szCs w:val="28"/>
              </w:rPr>
              <w:br w:type="textWrapping"/>
            </w:r>
            <w:r>
              <w:rPr>
                <w:rFonts w:ascii="Times New Roman" w:hAnsi="Times New Roman"/>
                <w:sz w:val="28"/>
                <w:szCs w:val="28"/>
              </w:rPr>
              <w:t>питание</w:t>
            </w:r>
          </w:p>
        </w:tc>
        <w:tc>
          <w:tcPr>
            <w:tcW w:w="1336" w:type="dxa"/>
          </w:tcPr>
          <w:p w14:paraId="4F209F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57C4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96516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6A4134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54DAE3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3</w:t>
            </w:r>
            <w:r>
              <w:rPr>
                <w:rFonts w:ascii="Times New Roman" w:hAnsi="Times New Roman"/>
                <w:sz w:val="28"/>
                <w:szCs w:val="28"/>
              </w:rPr>
              <w:br w:type="textWrapping"/>
            </w:r>
            <w:r>
              <w:rPr>
                <w:rFonts w:ascii="Times New Roman" w:hAnsi="Times New Roman"/>
                <w:sz w:val="28"/>
                <w:szCs w:val="28"/>
              </w:rPr>
              <w:t>под напряж.</w:t>
            </w:r>
            <w:r>
              <w:rPr>
                <w:rFonts w:ascii="Times New Roman" w:hAnsi="Times New Roman"/>
                <w:sz w:val="28"/>
                <w:szCs w:val="28"/>
              </w:rPr>
              <w:br w:type="textWrapping"/>
            </w:r>
            <w:r>
              <w:rPr>
                <w:rFonts w:ascii="Times New Roman" w:hAnsi="Times New Roman"/>
                <w:sz w:val="28"/>
                <w:szCs w:val="28"/>
              </w:rPr>
              <w:t>(резерв)</w:t>
            </w:r>
          </w:p>
        </w:tc>
      </w:tr>
      <w:tr w14:paraId="3C3BDE0A">
        <w:tc>
          <w:tcPr>
            <w:tcW w:w="1336" w:type="dxa"/>
          </w:tcPr>
          <w:p w14:paraId="2345B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Стабилизация</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6BADA5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w:t>
            </w:r>
            <w:r>
              <w:rPr>
                <w:rFonts w:ascii="Times New Roman" w:hAnsi="Times New Roman"/>
                <w:sz w:val="28"/>
                <w:szCs w:val="28"/>
              </w:rPr>
              <w:br w:type="textWrapping"/>
            </w:r>
            <w:r>
              <w:rPr>
                <w:rFonts w:ascii="Times New Roman" w:hAnsi="Times New Roman"/>
                <w:sz w:val="28"/>
                <w:szCs w:val="28"/>
              </w:rPr>
              <w:t>параметров.</w:t>
            </w:r>
            <w:r>
              <w:rPr>
                <w:rFonts w:ascii="Times New Roman" w:hAnsi="Times New Roman"/>
                <w:sz w:val="28"/>
                <w:szCs w:val="28"/>
              </w:rPr>
              <w:br w:type="textWrapping"/>
            </w:r>
            <w:r>
              <w:rPr>
                <w:rFonts w:ascii="Times New Roman" w:hAnsi="Times New Roman"/>
                <w:sz w:val="28"/>
                <w:szCs w:val="28"/>
              </w:rPr>
              <w:t>Формирование</w:t>
            </w:r>
            <w:r>
              <w:rPr>
                <w:rFonts w:ascii="Times New Roman" w:hAnsi="Times New Roman"/>
                <w:sz w:val="28"/>
                <w:szCs w:val="28"/>
              </w:rPr>
              <w:br w:type="textWrapping"/>
            </w:r>
            <w:r>
              <w:rPr>
                <w:rFonts w:ascii="Times New Roman" w:hAnsi="Times New Roman"/>
                <w:sz w:val="28"/>
                <w:szCs w:val="28"/>
              </w:rPr>
              <w:t>протокола</w:t>
            </w:r>
          </w:p>
        </w:tc>
        <w:tc>
          <w:tcPr>
            <w:tcW w:w="1336" w:type="dxa"/>
          </w:tcPr>
          <w:p w14:paraId="584CA4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1406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AF994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75AF6C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0D85A5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режим.</w:t>
            </w:r>
            <w:r>
              <w:rPr>
                <w:rFonts w:ascii="Times New Roman" w:hAnsi="Times New Roman"/>
                <w:sz w:val="28"/>
                <w:szCs w:val="28"/>
              </w:rPr>
              <w:br w:type="textWrapping"/>
            </w:r>
            <w:r>
              <w:rPr>
                <w:rFonts w:ascii="Times New Roman" w:hAnsi="Times New Roman"/>
                <w:sz w:val="28"/>
                <w:szCs w:val="28"/>
              </w:rPr>
              <w:t>Секция 2 откл.</w:t>
            </w:r>
          </w:p>
        </w:tc>
      </w:tr>
    </w:tbl>
    <w:p w14:paraId="550266D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F3FB4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изолирует повреждённую секцию 2 и восстанавливает электроснабжение неповреждённых секций: секция 1 получает питание от основного источника через Р1, секция 3 — от резервного через НР. Общее время от момента обнаружения КЗ до восстановления питания неповреждённых секций составляет 60–120 секунд, что на два порядка меньше времени ручного оперативного реагирования (30–90 минут) [18].</w:t>
      </w:r>
    </w:p>
    <w:p w14:paraId="57D46EE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в секции 1 (между подстанцией и РШ1) ИКЗ-1 не срабатывает, поскольку ток КЗ не проходит через РШ1; отключается РШ1, питание секций 2 и 3 восстанавливается через НР. При КЗ в секции 3 срабатывают оба ИКЗ; отключается РШ2, питание секций 1 и 2 восстанавливается через Р1. Комбинация сработавших ИКЗ однозначно определяет повреждённую секцию для любого из трёх возможных мест КЗ [19].</w:t>
      </w:r>
    </w:p>
    <w:p w14:paraId="634DA12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Ремонтный режим предусматривает плановое обслуживание оборудования на определённой секции линии в соответствии с заявкой и графиком планово-предупредительных ремонтов. В отличие от аварийного режима, все операции выполняются под контролем оперативного персонала с пошаговым подтверждением. Состояния элементов при ремонтном режиме приведены в таблице 3.3.</w:t>
      </w:r>
    </w:p>
    <w:p w14:paraId="327AB466">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3.3 – Состояния элементов при ремонтном режиме (ремонт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886"/>
        <w:gridCol w:w="966"/>
        <w:gridCol w:w="966"/>
        <w:gridCol w:w="967"/>
        <w:gridCol w:w="967"/>
        <w:gridCol w:w="1671"/>
      </w:tblGrid>
      <w:tr w14:paraId="5FA432C5">
        <w:tc>
          <w:tcPr>
            <w:tcW w:w="1336" w:type="dxa"/>
          </w:tcPr>
          <w:p w14:paraId="1541A0E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00029E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оператора</w:t>
            </w:r>
          </w:p>
        </w:tc>
        <w:tc>
          <w:tcPr>
            <w:tcW w:w="1336" w:type="dxa"/>
          </w:tcPr>
          <w:p w14:paraId="4F9A257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7EE1D1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1980AD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6B6AA7F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534369C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1E0731A">
        <w:tc>
          <w:tcPr>
            <w:tcW w:w="1336" w:type="dxa"/>
          </w:tcPr>
          <w:p w14:paraId="0579E3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Подготовка</w:t>
            </w:r>
          </w:p>
        </w:tc>
        <w:tc>
          <w:tcPr>
            <w:tcW w:w="1336" w:type="dxa"/>
          </w:tcPr>
          <w:p w14:paraId="20213CE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Оформление заявки.</w:t>
            </w:r>
            <w:r>
              <w:rPr>
                <w:rFonts w:ascii="Times New Roman" w:hAnsi="Times New Roman"/>
                <w:sz w:val="28"/>
                <w:szCs w:val="28"/>
              </w:rPr>
              <w:br w:type="textWrapping"/>
            </w:r>
            <w:r>
              <w:rPr>
                <w:rFonts w:ascii="Times New Roman" w:hAnsi="Times New Roman"/>
                <w:sz w:val="28"/>
                <w:szCs w:val="28"/>
              </w:rPr>
              <w:t>Уведомление</w:t>
            </w:r>
            <w:r>
              <w:rPr>
                <w:rFonts w:ascii="Times New Roman" w:hAnsi="Times New Roman"/>
                <w:sz w:val="28"/>
                <w:szCs w:val="28"/>
              </w:rPr>
              <w:br w:type="textWrapping"/>
            </w:r>
            <w:r>
              <w:rPr>
                <w:rFonts w:ascii="Times New Roman" w:hAnsi="Times New Roman"/>
                <w:sz w:val="28"/>
                <w:szCs w:val="28"/>
              </w:rPr>
              <w:t>потребителей</w:t>
            </w:r>
          </w:p>
        </w:tc>
        <w:tc>
          <w:tcPr>
            <w:tcW w:w="1336" w:type="dxa"/>
          </w:tcPr>
          <w:p w14:paraId="52280F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8694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AF52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3F19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D5EF0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Заявка</w:t>
            </w:r>
            <w:r>
              <w:rPr>
                <w:rFonts w:ascii="Times New Roman" w:hAnsi="Times New Roman"/>
                <w:sz w:val="28"/>
                <w:szCs w:val="28"/>
              </w:rPr>
              <w:br w:type="textWrapping"/>
            </w:r>
            <w:r>
              <w:rPr>
                <w:rFonts w:ascii="Times New Roman" w:hAnsi="Times New Roman"/>
                <w:sz w:val="28"/>
                <w:szCs w:val="28"/>
              </w:rPr>
              <w:t>оформлена</w:t>
            </w:r>
          </w:p>
        </w:tc>
      </w:tr>
      <w:tr w14:paraId="20828EA5">
        <w:tc>
          <w:tcPr>
            <w:tcW w:w="1336" w:type="dxa"/>
          </w:tcPr>
          <w:p w14:paraId="1F0C8D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Вывод</w:t>
            </w:r>
            <w:r>
              <w:rPr>
                <w:rFonts w:ascii="Times New Roman" w:hAnsi="Times New Roman"/>
                <w:sz w:val="28"/>
                <w:szCs w:val="28"/>
              </w:rPr>
              <w:br w:type="textWrapping"/>
            </w:r>
            <w:r>
              <w:rPr>
                <w:rFonts w:ascii="Times New Roman" w:hAnsi="Times New Roman"/>
                <w:sz w:val="28"/>
                <w:szCs w:val="28"/>
              </w:rPr>
              <w:t>секции 2</w:t>
            </w:r>
          </w:p>
        </w:tc>
        <w:tc>
          <w:tcPr>
            <w:tcW w:w="1336" w:type="dxa"/>
          </w:tcPr>
          <w:p w14:paraId="431C91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Р1.</w:t>
            </w:r>
            <w:r>
              <w:rPr>
                <w:rFonts w:ascii="Times New Roman" w:hAnsi="Times New Roman"/>
                <w:sz w:val="28"/>
                <w:szCs w:val="28"/>
              </w:rPr>
              <w:br w:type="textWrapping"/>
            </w:r>
            <w:r>
              <w:rPr>
                <w:rFonts w:ascii="Times New Roman" w:hAnsi="Times New Roman"/>
                <w:sz w:val="28"/>
                <w:szCs w:val="28"/>
              </w:rPr>
              <w:t>Отключение РШ1.</w:t>
            </w:r>
            <w:r>
              <w:rPr>
                <w:rFonts w:ascii="Times New Roman" w:hAnsi="Times New Roman"/>
                <w:sz w:val="28"/>
                <w:szCs w:val="28"/>
              </w:rPr>
              <w:br w:type="textWrapping"/>
            </w:r>
            <w:r>
              <w:rPr>
                <w:rFonts w:ascii="Times New Roman" w:hAnsi="Times New Roman"/>
                <w:sz w:val="28"/>
                <w:szCs w:val="28"/>
              </w:rPr>
              <w:t>Отключение РШ2</w:t>
            </w:r>
          </w:p>
        </w:tc>
        <w:tc>
          <w:tcPr>
            <w:tcW w:w="1336" w:type="dxa"/>
          </w:tcPr>
          <w:p w14:paraId="59AE47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2ACCD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B1552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35CB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9E1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Все секции</w:t>
            </w:r>
            <w:r>
              <w:rPr>
                <w:rFonts w:ascii="Times New Roman" w:hAnsi="Times New Roman"/>
                <w:sz w:val="28"/>
                <w:szCs w:val="28"/>
              </w:rPr>
              <w:br w:type="textWrapping"/>
            </w:r>
            <w:r>
              <w:rPr>
                <w:rFonts w:ascii="Times New Roman" w:hAnsi="Times New Roman"/>
                <w:sz w:val="28"/>
                <w:szCs w:val="28"/>
              </w:rPr>
              <w:t>обесточены</w:t>
            </w:r>
          </w:p>
        </w:tc>
      </w:tr>
      <w:tr w14:paraId="63040CCA">
        <w:tc>
          <w:tcPr>
            <w:tcW w:w="1336" w:type="dxa"/>
          </w:tcPr>
          <w:p w14:paraId="1E9426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Подача</w:t>
            </w:r>
            <w:r>
              <w:rPr>
                <w:rFonts w:ascii="Times New Roman" w:hAnsi="Times New Roman"/>
                <w:sz w:val="28"/>
                <w:szCs w:val="28"/>
              </w:rPr>
              <w:br w:type="textWrapping"/>
            </w:r>
            <w:r>
              <w:rPr>
                <w:rFonts w:ascii="Times New Roman" w:hAnsi="Times New Roman"/>
                <w:sz w:val="28"/>
                <w:szCs w:val="28"/>
              </w:rPr>
              <w:t>резервного</w:t>
            </w:r>
            <w:r>
              <w:rPr>
                <w:rFonts w:ascii="Times New Roman" w:hAnsi="Times New Roman"/>
                <w:sz w:val="28"/>
                <w:szCs w:val="28"/>
              </w:rPr>
              <w:br w:type="textWrapping"/>
            </w:r>
            <w:r>
              <w:rPr>
                <w:rFonts w:ascii="Times New Roman" w:hAnsi="Times New Roman"/>
                <w:sz w:val="28"/>
                <w:szCs w:val="28"/>
              </w:rPr>
              <w:t>питания</w:t>
            </w:r>
          </w:p>
        </w:tc>
        <w:tc>
          <w:tcPr>
            <w:tcW w:w="1336" w:type="dxa"/>
          </w:tcPr>
          <w:p w14:paraId="5813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Включение НР.</w:t>
            </w:r>
            <w:r>
              <w:rPr>
                <w:rFonts w:ascii="Times New Roman" w:hAnsi="Times New Roman"/>
                <w:sz w:val="28"/>
                <w:szCs w:val="28"/>
              </w:rPr>
              <w:br w:type="textWrapping"/>
            </w:r>
            <w:r>
              <w:rPr>
                <w:rFonts w:ascii="Times New Roman" w:hAnsi="Times New Roman"/>
                <w:sz w:val="28"/>
                <w:szCs w:val="28"/>
              </w:rPr>
              <w:t>Включение Р1</w:t>
            </w:r>
            <w:r>
              <w:rPr>
                <w:rFonts w:ascii="Times New Roman" w:hAnsi="Times New Roman"/>
                <w:sz w:val="28"/>
                <w:szCs w:val="28"/>
              </w:rPr>
              <w:br w:type="textWrapping"/>
            </w:r>
            <w:r>
              <w:rPr>
                <w:rFonts w:ascii="Times New Roman" w:hAnsi="Times New Roman"/>
                <w:sz w:val="28"/>
                <w:szCs w:val="28"/>
              </w:rPr>
              <w:t>(секция 1)</w:t>
            </w:r>
          </w:p>
        </w:tc>
        <w:tc>
          <w:tcPr>
            <w:tcW w:w="1336" w:type="dxa"/>
          </w:tcPr>
          <w:p w14:paraId="681AB82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7875B6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F918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83D04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A3DDE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Секции 1,3</w:t>
            </w:r>
            <w:r>
              <w:rPr>
                <w:rFonts w:ascii="Times New Roman" w:hAnsi="Times New Roman"/>
                <w:sz w:val="28"/>
                <w:szCs w:val="28"/>
              </w:rPr>
              <w:br w:type="textWrapping"/>
            </w:r>
            <w:r>
              <w:rPr>
                <w:rFonts w:ascii="Times New Roman" w:hAnsi="Times New Roman"/>
                <w:sz w:val="28"/>
                <w:szCs w:val="28"/>
              </w:rPr>
              <w:t>под напряж.</w:t>
            </w:r>
          </w:p>
        </w:tc>
      </w:tr>
      <w:tr w14:paraId="04ED7339">
        <w:tc>
          <w:tcPr>
            <w:tcW w:w="1336" w:type="dxa"/>
          </w:tcPr>
          <w:p w14:paraId="26C3FFE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Допуск</w:t>
            </w:r>
            <w:r>
              <w:rPr>
                <w:rFonts w:ascii="Times New Roman" w:hAnsi="Times New Roman"/>
                <w:sz w:val="28"/>
                <w:szCs w:val="28"/>
              </w:rPr>
              <w:br w:type="textWrapping"/>
            </w:r>
            <w:r>
              <w:rPr>
                <w:rFonts w:ascii="Times New Roman" w:hAnsi="Times New Roman"/>
                <w:sz w:val="28"/>
                <w:szCs w:val="28"/>
              </w:rPr>
              <w:t>бригады</w:t>
            </w:r>
          </w:p>
        </w:tc>
        <w:tc>
          <w:tcPr>
            <w:tcW w:w="1336" w:type="dxa"/>
          </w:tcPr>
          <w:p w14:paraId="152222D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Проверка</w:t>
            </w:r>
            <w:r>
              <w:rPr>
                <w:rFonts w:ascii="Times New Roman" w:hAnsi="Times New Roman"/>
                <w:sz w:val="28"/>
                <w:szCs w:val="28"/>
              </w:rPr>
              <w:br w:type="textWrapping"/>
            </w:r>
            <w:r>
              <w:rPr>
                <w:rFonts w:ascii="Times New Roman" w:hAnsi="Times New Roman"/>
                <w:sz w:val="28"/>
                <w:szCs w:val="28"/>
              </w:rPr>
              <w:t>отсутствия</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Установка</w:t>
            </w:r>
            <w:r>
              <w:rPr>
                <w:rFonts w:ascii="Times New Roman" w:hAnsi="Times New Roman"/>
                <w:sz w:val="28"/>
                <w:szCs w:val="28"/>
              </w:rPr>
              <w:br w:type="textWrapping"/>
            </w:r>
            <w:r>
              <w:rPr>
                <w:rFonts w:ascii="Times New Roman" w:hAnsi="Times New Roman"/>
                <w:sz w:val="28"/>
                <w:szCs w:val="28"/>
              </w:rPr>
              <w:t>заземлений</w:t>
            </w:r>
          </w:p>
        </w:tc>
        <w:tc>
          <w:tcPr>
            <w:tcW w:w="1336" w:type="dxa"/>
          </w:tcPr>
          <w:p w14:paraId="5A8219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83F603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858C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4D22D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90753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Ремонт</w:t>
            </w:r>
            <w:r>
              <w:rPr>
                <w:rFonts w:ascii="Times New Roman" w:hAnsi="Times New Roman"/>
                <w:sz w:val="28"/>
                <w:szCs w:val="28"/>
              </w:rPr>
              <w:br w:type="textWrapping"/>
            </w:r>
            <w:r>
              <w:rPr>
                <w:rFonts w:ascii="Times New Roman" w:hAnsi="Times New Roman"/>
                <w:sz w:val="28"/>
                <w:szCs w:val="28"/>
              </w:rPr>
              <w:t>секции 2</w:t>
            </w:r>
          </w:p>
        </w:tc>
      </w:tr>
      <w:tr w14:paraId="1A506445">
        <w:tc>
          <w:tcPr>
            <w:tcW w:w="1336" w:type="dxa"/>
          </w:tcPr>
          <w:p w14:paraId="57E861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Завершение</w:t>
            </w:r>
            <w:r>
              <w:rPr>
                <w:rFonts w:ascii="Times New Roman" w:hAnsi="Times New Roman"/>
                <w:sz w:val="28"/>
                <w:szCs w:val="28"/>
              </w:rPr>
              <w:br w:type="textWrapping"/>
            </w:r>
            <w:r>
              <w:rPr>
                <w:rFonts w:ascii="Times New Roman" w:hAnsi="Times New Roman"/>
                <w:sz w:val="28"/>
                <w:szCs w:val="28"/>
              </w:rPr>
              <w:t>работ</w:t>
            </w:r>
          </w:p>
        </w:tc>
        <w:tc>
          <w:tcPr>
            <w:tcW w:w="1336" w:type="dxa"/>
          </w:tcPr>
          <w:p w14:paraId="5CC6B16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заземлений.</w:t>
            </w:r>
            <w:r>
              <w:rPr>
                <w:rFonts w:ascii="Times New Roman" w:hAnsi="Times New Roman"/>
                <w:sz w:val="28"/>
                <w:szCs w:val="28"/>
              </w:rPr>
              <w:br w:type="textWrapping"/>
            </w:r>
            <w:r>
              <w:rPr>
                <w:rFonts w:ascii="Times New Roman" w:hAnsi="Times New Roman"/>
                <w:sz w:val="28"/>
                <w:szCs w:val="28"/>
              </w:rPr>
              <w:t>Осмотр</w:t>
            </w:r>
            <w:r>
              <w:rPr>
                <w:rFonts w:ascii="Times New Roman" w:hAnsi="Times New Roman"/>
                <w:sz w:val="28"/>
                <w:szCs w:val="28"/>
              </w:rPr>
              <w:br w:type="textWrapping"/>
            </w:r>
            <w:r>
              <w:rPr>
                <w:rFonts w:ascii="Times New Roman" w:hAnsi="Times New Roman"/>
                <w:sz w:val="28"/>
                <w:szCs w:val="28"/>
              </w:rPr>
              <w:t>оборудования</w:t>
            </w:r>
          </w:p>
        </w:tc>
        <w:tc>
          <w:tcPr>
            <w:tcW w:w="1336" w:type="dxa"/>
          </w:tcPr>
          <w:p w14:paraId="5F214B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8197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F51B6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3747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F1A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Окончание</w:t>
            </w:r>
            <w:r>
              <w:rPr>
                <w:rFonts w:ascii="Times New Roman" w:hAnsi="Times New Roman"/>
                <w:sz w:val="28"/>
                <w:szCs w:val="28"/>
              </w:rPr>
              <w:br w:type="textWrapping"/>
            </w:r>
            <w:r>
              <w:rPr>
                <w:rFonts w:ascii="Times New Roman" w:hAnsi="Times New Roman"/>
                <w:sz w:val="28"/>
                <w:szCs w:val="28"/>
              </w:rPr>
              <w:t>работ</w:t>
            </w:r>
          </w:p>
        </w:tc>
      </w:tr>
      <w:tr w14:paraId="7B2286ED">
        <w:tc>
          <w:tcPr>
            <w:tcW w:w="1336" w:type="dxa"/>
          </w:tcPr>
          <w:p w14:paraId="44AD0D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Восстановление</w:t>
            </w:r>
            <w:r>
              <w:rPr>
                <w:rFonts w:ascii="Times New Roman" w:hAnsi="Times New Roman"/>
                <w:sz w:val="28"/>
                <w:szCs w:val="28"/>
              </w:rPr>
              <w:br w:type="textWrapping"/>
            </w:r>
            <w:r>
              <w:rPr>
                <w:rFonts w:ascii="Times New Roman" w:hAnsi="Times New Roman"/>
                <w:sz w:val="28"/>
                <w:szCs w:val="28"/>
              </w:rPr>
              <w:t>схемы</w:t>
            </w:r>
          </w:p>
        </w:tc>
        <w:tc>
          <w:tcPr>
            <w:tcW w:w="1336" w:type="dxa"/>
          </w:tcPr>
          <w:p w14:paraId="465628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НР.</w:t>
            </w:r>
            <w:r>
              <w:rPr>
                <w:rFonts w:ascii="Times New Roman" w:hAnsi="Times New Roman"/>
                <w:sz w:val="28"/>
                <w:szCs w:val="28"/>
              </w:rPr>
              <w:br w:type="textWrapping"/>
            </w:r>
            <w:r>
              <w:rPr>
                <w:rFonts w:ascii="Times New Roman" w:hAnsi="Times New Roman"/>
                <w:sz w:val="28"/>
                <w:szCs w:val="28"/>
              </w:rPr>
              <w:t>Включение РШ2.</w:t>
            </w:r>
            <w:r>
              <w:rPr>
                <w:rFonts w:ascii="Times New Roman" w:hAnsi="Times New Roman"/>
                <w:sz w:val="28"/>
                <w:szCs w:val="28"/>
              </w:rPr>
              <w:br w:type="textWrapping"/>
            </w:r>
            <w:r>
              <w:rPr>
                <w:rFonts w:ascii="Times New Roman" w:hAnsi="Times New Roman"/>
                <w:sz w:val="28"/>
                <w:szCs w:val="28"/>
              </w:rPr>
              <w:t>Включение РШ1.</w:t>
            </w:r>
            <w:r>
              <w:rPr>
                <w:rFonts w:ascii="Times New Roman" w:hAnsi="Times New Roman"/>
                <w:sz w:val="28"/>
                <w:szCs w:val="28"/>
              </w:rPr>
              <w:br w:type="textWrapping"/>
            </w:r>
            <w:r>
              <w:rPr>
                <w:rFonts w:ascii="Times New Roman" w:hAnsi="Times New Roman"/>
                <w:sz w:val="28"/>
                <w:szCs w:val="28"/>
              </w:rPr>
              <w:t>Включение Р1</w:t>
            </w:r>
          </w:p>
        </w:tc>
        <w:tc>
          <w:tcPr>
            <w:tcW w:w="1336" w:type="dxa"/>
          </w:tcPr>
          <w:p w14:paraId="411F629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6CA267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CC563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AD208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4BBB1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Нормальная</w:t>
            </w:r>
            <w:r>
              <w:rPr>
                <w:rFonts w:ascii="Times New Roman" w:hAnsi="Times New Roman"/>
                <w:sz w:val="28"/>
                <w:szCs w:val="28"/>
              </w:rPr>
              <w:br w:type="textWrapping"/>
            </w:r>
            <w:r>
              <w:rPr>
                <w:rFonts w:ascii="Times New Roman" w:hAnsi="Times New Roman"/>
                <w:sz w:val="28"/>
                <w:szCs w:val="28"/>
              </w:rPr>
              <w:t>схема</w:t>
            </w:r>
          </w:p>
        </w:tc>
      </w:tr>
    </w:tbl>
    <w:p w14:paraId="341C8484">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C1BA91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пошагового подтверждения предотвращает ошибочные переключения: SCADA формирует запрос на каждое переключение, оператор подтверждает его после проверки выполнения предыдущего шага и условий безопасности. Время перерыва электроснабжения потребителей секций 1 и 3 минимизируется за счёт подачи резервного питания на этапе 3 [20].</w:t>
      </w:r>
    </w:p>
    <w:p w14:paraId="328E94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полноты состоит в проверке того, что для каждого сочетания входных воздействий (место КЗ, состояние ИКЗ, результат АПВ) определён однозначный набор выходных действий. Анализ непротиворечивости заключается в исключении логически несовместимых и запрещённых состояний.</w:t>
      </w:r>
    </w:p>
    <w:p w14:paraId="763212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Основным запрещённым состоянием является коммутация разъединителя под нагрузкой: РШ1, РШ2 и НР конструктивно не имеют дугогасительных устройств, и попытка коммутации при протекании тока приведёт к устойчивой электрической дуге, повреждению контактов и возможному возгоранию. Проверка таблиц 7.2 и 7.3 подтверждает, что все операции с разъединителями выполняются в бестоковую паузу: в аварийном режиме — после lockout Р1, в ремонтном — после предварительного отключения Р1 [18].</w:t>
      </w:r>
    </w:p>
    <w:p w14:paraId="269D6D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Вторым условием непротиворечивости является детерминированность переходов: для каждого текущего состояния и входного события существует ровно один следующий шаг. В нормальном режиме переходы определяются значениями параметров относительно пороговых уставок; в аварийном — комбинацией сработавших ИКЗ; в ремонтном — командой оператора. Все возможные режимы работы описаны, запрещённые состояния исключены конструкцией алгоритмов, переходы детерминированы — таблицы состояний пригодны в качестве технического задания для программной реализации в контроллерах RTU и SCADA [23].</w:t>
      </w:r>
    </w:p>
    <w:p w14:paraId="3CB59FE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работы алгоритмов в различных режимах эксплуатации выполняется с использованием программного прототипа SCADA.</w:t>
      </w:r>
    </w:p>
    <w:p w14:paraId="7D1BFD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верификации разработанных алгоритмов создан программный прототип SCADA-системы на языке Python (файл scada_prototype.py, исходный код в Приложении А). Прототип моделирует автоматизированный участок распределительной сети 10 кВ с тремя секциями, двумя разъединителями и одним резервным источником питания.</w:t>
      </w:r>
    </w:p>
    <w:p w14:paraId="5BD409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 номинальный ток нагрузки 200–300 А, номинальное напряжение 10 кВ (фазное 5,77 кВ). Алгоритм мониторинга сравнивает измеренные значения с четырьмя пороговыми уставками: CURRENT_WARNING = 350 А (порог предупреждения, жёлтая индикация), CURRENT_ALARM = 400 А (порог аварии, красная индикация и защитное отключение), VOLTAGE_MIN = 5,5 кВ (минимально допустимое фазное напряжение), VOLTAGE_MAX = 11,0 кВ (максимально допустимое линейное напряжение) [23].</w:t>
      </w:r>
    </w:p>
    <w:p w14:paraId="66433748">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6941820"/>
            <wp:effectExtent l="0" t="0" r="234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6942290"/>
                    </a:xfrm>
                    <a:prstGeom prst="rect">
                      <a:avLst/>
                    </a:prstGeom>
                  </pic:spPr>
                </pic:pic>
              </a:graphicData>
            </a:graphic>
          </wp:inline>
        </w:drawing>
      </w:r>
    </w:p>
    <w:p w14:paraId="1E9DB46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3.1 – Блок-схема алгоритма прототипа SCADA-системы</w:t>
      </w:r>
    </w:p>
    <w:p w14:paraId="7627038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прототипа, представленный на рисунке 3.1, реализует последовательность: инициализация параметров модели, цикл опроса из 10 итераций с генерацией значений и сравнением с уставками, формирование итогового отчёта о зафиксированных событиях. Консольный интерфейс использует цветовую индикацию: зелёный — норма, жёлтый — предупреждение, красный — авария [18].</w:t>
      </w:r>
    </w:p>
    <w:p w14:paraId="134AEAF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работы прототипа соответствует циклам 1–4, в течение которых все параметры находятся в допустимых пределах: токи в секциях 1–3 составляют 210–280 А (ниже порога предупреждения 350 А и порога аварии 400 А), фазные напряжения — 5,7–5,9 кВ (в пределах диапазона 5,5–11,0 кВ). Интерфейс прототипа в нормальном режиме работы представлен на рисунке 3.2.</w:t>
      </w:r>
    </w:p>
    <w:p w14:paraId="7D036459">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48215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4821779"/>
                    </a:xfrm>
                    <a:prstGeom prst="rect">
                      <a:avLst/>
                    </a:prstGeom>
                  </pic:spPr>
                </pic:pic>
              </a:graphicData>
            </a:graphic>
          </wp:inline>
        </w:drawing>
      </w:r>
    </w:p>
    <w:p w14:paraId="2FEEFB36">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3.2 – Интерфейс прототипа SCADA: нормальный режим работы</w:t>
      </w:r>
    </w:p>
    <w:p w14:paraId="3C9B99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течение циклов 1–4 прототип ведёт штатный мониторинг: каждый цикл фиксирует токи и напряжения в журнале событий с временной меткой. Среднее значение тока нагрузки составляет 245 А при стандартном отклонении 25 А, среднее фазное напряжение — 5,78 кВ при стандартном отклонении 0,08 кВ. Отсутствие ложных срабатываний подтверждает адекватность модели генерации параметров и обоснованность выбранных уставок [20].</w:t>
      </w:r>
    </w:p>
    <w:p w14:paraId="4425691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Начиная с цикла 5 в модель вносятся возмущения, имитирующие аварийные ситуации в распределительной сети: перегрузку по току (имитация короткого замыкания) и провал напряжения (имитация потери питания или значительного увеличения нагрузки). Интерфейс прототипа при аварийном режиме представлен на рисунке 3.3.</w:t>
      </w:r>
    </w:p>
    <w:p w14:paraId="006571D1">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3786505"/>
            <wp:effectExtent l="0" t="0" r="10795"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3786529"/>
                    </a:xfrm>
                    <a:prstGeom prst="rect">
                      <a:avLst/>
                    </a:prstGeom>
                  </pic:spPr>
                </pic:pic>
              </a:graphicData>
            </a:graphic>
          </wp:inline>
        </w:drawing>
      </w:r>
    </w:p>
    <w:p w14:paraId="3758F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3.3 – Интерфейс прототипа SCADA: аварийный режим</w:t>
      </w:r>
    </w:p>
    <w:p w14:paraId="624B4F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5 ток в секции 2 увеличивается до 420 А, превышая CURRENT_ALARM = 400 А. Алгоритм формирует аварийный сигнал ALARM для секции 2 и регистрирует событие в журнале с временной меткой, номером секции и измеренным значением. В реальной системе данное событие инициировало бы полный цикл секционирования: отключение Р1, цикл АПВ, определение повреждённой секции по ИКЗ, изоляция секции 2 отключением РШ1 и РШ2, восстановление питания секций 1 и 3. Индикация секции 2 изменяется на красную, остальных — на жёлтую [18].</w:t>
      </w:r>
    </w:p>
    <w:p w14:paraId="597A03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6 параметры секции 2 возвращаются к норме, но журнал сохраняет информацию о зафиксированном событии. В цикле 7 фазное напряжение в секции 3 снижается до 4,8 кВ (ниже VOLTAGE_MIN = 5,5 кВ), алгоритм формирует предупреждающий сигнал. В циклах 8–10 все параметры возвращаются в норму, прототип продолжает штатный мониторинг и по завершении десятого цикла формирует итоговый отчёт — перечень всех событий с номерами циклов, типами событий, затронутыми секциями и предпринятыми действиями [23].</w:t>
      </w:r>
    </w:p>
    <w:p w14:paraId="561BE115">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2" w:name="_Toc3187561"/>
      <w:bookmarkStart w:id="33" w:name="_Toc1776929908"/>
      <w:r>
        <w:rPr>
          <w:rFonts w:hint="default" w:ascii="Times New Roman" w:hAnsi="Times New Roman" w:eastAsia="Times New Roman" w:cs="Times New Roman"/>
          <w:b/>
          <w:bCs/>
          <w:sz w:val="28"/>
        </w:rPr>
        <w:t>3.3 Оценка эффективности применения разработанных алгоритмов</w:t>
      </w:r>
      <w:bookmarkEnd w:id="32"/>
      <w:bookmarkEnd w:id="33"/>
    </w:p>
    <w:p w14:paraId="6127C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десяти циклов моделирования систематизированы в таблице 3.4.</w:t>
      </w:r>
    </w:p>
    <w:p w14:paraId="219227CC">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3.4 – Сводка обнаруженных событий при моделировании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3"/>
        <w:gridCol w:w="1492"/>
        <w:gridCol w:w="937"/>
        <w:gridCol w:w="2034"/>
        <w:gridCol w:w="2227"/>
        <w:gridCol w:w="2148"/>
      </w:tblGrid>
      <w:tr w14:paraId="08747060">
        <w:tc>
          <w:tcPr>
            <w:tcW w:w="733" w:type="dxa"/>
          </w:tcPr>
          <w:p w14:paraId="55C57F5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Цикл</w:t>
            </w:r>
          </w:p>
        </w:tc>
        <w:tc>
          <w:tcPr>
            <w:tcW w:w="1492" w:type="dxa"/>
          </w:tcPr>
          <w:p w14:paraId="581A8C1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Тип события</w:t>
            </w:r>
          </w:p>
        </w:tc>
        <w:tc>
          <w:tcPr>
            <w:tcW w:w="937" w:type="dxa"/>
          </w:tcPr>
          <w:p w14:paraId="74CBD73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Секция</w:t>
            </w:r>
          </w:p>
        </w:tc>
        <w:tc>
          <w:tcPr>
            <w:tcW w:w="2034" w:type="dxa"/>
          </w:tcPr>
          <w:p w14:paraId="08470C4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Измеренное</w:t>
            </w:r>
            <w:r>
              <w:rPr>
                <w:rFonts w:ascii="Times New Roman" w:hAnsi="Times New Roman"/>
                <w:b w:val="0"/>
                <w:bCs/>
                <w:sz w:val="28"/>
                <w:szCs w:val="28"/>
              </w:rPr>
              <w:br w:type="textWrapping"/>
            </w:r>
            <w:r>
              <w:rPr>
                <w:rFonts w:ascii="Times New Roman" w:hAnsi="Times New Roman"/>
                <w:b w:val="0"/>
                <w:bCs/>
                <w:sz w:val="28"/>
                <w:szCs w:val="28"/>
              </w:rPr>
              <w:t>значение</w:t>
            </w:r>
          </w:p>
        </w:tc>
        <w:tc>
          <w:tcPr>
            <w:tcW w:w="2227" w:type="dxa"/>
          </w:tcPr>
          <w:p w14:paraId="47D0A6B2">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Уставка</w:t>
            </w:r>
          </w:p>
        </w:tc>
        <w:tc>
          <w:tcPr>
            <w:tcW w:w="2148" w:type="dxa"/>
          </w:tcPr>
          <w:p w14:paraId="049E70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системы</w:t>
            </w:r>
          </w:p>
        </w:tc>
      </w:tr>
      <w:tr w14:paraId="11CF9646">
        <w:tc>
          <w:tcPr>
            <w:tcW w:w="733" w:type="dxa"/>
          </w:tcPr>
          <w:p w14:paraId="0F768F4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1–4</w:t>
            </w:r>
          </w:p>
        </w:tc>
        <w:tc>
          <w:tcPr>
            <w:tcW w:w="1492" w:type="dxa"/>
          </w:tcPr>
          <w:p w14:paraId="2CD59E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5BE37C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4D82117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210–280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5,7–5,9 кВ</m:t>
                </m:r>
              </m:oMath>
            </m:oMathPara>
          </w:p>
        </w:tc>
        <w:tc>
          <w:tcPr>
            <w:tcW w:w="2227" w:type="dxa"/>
          </w:tcPr>
          <w:p w14:paraId="77DC1D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4BD4B20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r w14:paraId="6E74238C">
        <w:tc>
          <w:tcPr>
            <w:tcW w:w="733" w:type="dxa"/>
          </w:tcPr>
          <w:p w14:paraId="2C238C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w:t>
            </w:r>
          </w:p>
        </w:tc>
        <w:tc>
          <w:tcPr>
            <w:tcW w:w="1492" w:type="dxa"/>
          </w:tcPr>
          <w:p w14:paraId="39CAB2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Превышение</w:t>
            </w:r>
            <w:r>
              <w:rPr>
                <w:rFonts w:ascii="Times New Roman" w:hAnsi="Times New Roman"/>
                <w:sz w:val="28"/>
                <w:szCs w:val="28"/>
              </w:rPr>
              <w:br w:type="textWrapping"/>
            </w:r>
            <w:r>
              <w:rPr>
                <w:rFonts w:ascii="Times New Roman" w:hAnsi="Times New Roman"/>
                <w:sz w:val="28"/>
                <w:szCs w:val="28"/>
              </w:rPr>
              <w:t>тока (ALARM)</w:t>
            </w:r>
          </w:p>
        </w:tc>
        <w:tc>
          <w:tcPr>
            <w:tcW w:w="937" w:type="dxa"/>
          </w:tcPr>
          <w:p w14:paraId="559024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6DBABC7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420 А</m:t>
                </m:r>
              </m:oMath>
            </m:oMathPara>
          </w:p>
        </w:tc>
        <w:tc>
          <w:tcPr>
            <w:tcW w:w="2227" w:type="dxa"/>
          </w:tcPr>
          <w:p w14:paraId="78E0769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CURRENT_ALARM = 400 А</m:t>
                </m:r>
              </m:oMath>
            </m:oMathPara>
          </w:p>
        </w:tc>
        <w:tc>
          <w:tcPr>
            <w:tcW w:w="2148" w:type="dxa"/>
          </w:tcPr>
          <w:p w14:paraId="4913B79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29FD2B3C">
        <w:tc>
          <w:tcPr>
            <w:tcW w:w="733" w:type="dxa"/>
          </w:tcPr>
          <w:p w14:paraId="608B66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w:t>
            </w:r>
          </w:p>
        </w:tc>
        <w:tc>
          <w:tcPr>
            <w:tcW w:w="1492" w:type="dxa"/>
          </w:tcPr>
          <w:p w14:paraId="359B4F1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Возврат в</w:t>
            </w:r>
            <w:r>
              <w:rPr>
                <w:rFonts w:ascii="Times New Roman" w:hAnsi="Times New Roman"/>
                <w:sz w:val="28"/>
                <w:szCs w:val="28"/>
              </w:rPr>
              <w:br w:type="textWrapping"/>
            </w:r>
            <w:r>
              <w:rPr>
                <w:rFonts w:ascii="Times New Roman" w:hAnsi="Times New Roman"/>
                <w:sz w:val="28"/>
                <w:szCs w:val="28"/>
              </w:rPr>
              <w:t>норму</w:t>
            </w:r>
          </w:p>
        </w:tc>
        <w:tc>
          <w:tcPr>
            <w:tcW w:w="937" w:type="dxa"/>
          </w:tcPr>
          <w:p w14:paraId="781B2F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083B4448">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250 А</m:t>
                </m:r>
              </m:oMath>
            </m:oMathPara>
          </w:p>
        </w:tc>
        <w:tc>
          <w:tcPr>
            <w:tcW w:w="2227" w:type="dxa"/>
          </w:tcPr>
          <w:p w14:paraId="4F850B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p>
        </w:tc>
        <w:tc>
          <w:tcPr>
            <w:tcW w:w="2148" w:type="dxa"/>
          </w:tcPr>
          <w:p w14:paraId="7589C7A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аварийного</w:t>
            </w:r>
            <w:r>
              <w:rPr>
                <w:rFonts w:ascii="Times New Roman" w:hAnsi="Times New Roman"/>
                <w:sz w:val="28"/>
                <w:szCs w:val="28"/>
              </w:rPr>
              <w:br w:type="textWrapping"/>
            </w:r>
            <w:r>
              <w:rPr>
                <w:rFonts w:ascii="Times New Roman" w:hAnsi="Times New Roman"/>
                <w:sz w:val="28"/>
                <w:szCs w:val="28"/>
              </w:rPr>
              <w:t>сигнала</w:t>
            </w:r>
          </w:p>
        </w:tc>
      </w:tr>
      <w:tr w14:paraId="33A6EEF9">
        <w:tc>
          <w:tcPr>
            <w:tcW w:w="733" w:type="dxa"/>
          </w:tcPr>
          <w:p w14:paraId="723EA2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7</w:t>
            </w:r>
          </w:p>
        </w:tc>
        <w:tc>
          <w:tcPr>
            <w:tcW w:w="1492" w:type="dxa"/>
          </w:tcPr>
          <w:p w14:paraId="3F26ED0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Провал</w:t>
            </w:r>
            <w:r>
              <w:rPr>
                <w:rFonts w:ascii="Times New Roman" w:hAnsi="Times New Roman"/>
                <w:sz w:val="28"/>
                <w:szCs w:val="28"/>
              </w:rPr>
              <w:br w:type="textWrapping"/>
            </w:r>
            <w:r>
              <w:rPr>
                <w:rFonts w:ascii="Times New Roman" w:hAnsi="Times New Roman"/>
                <w:sz w:val="28"/>
                <w:szCs w:val="28"/>
              </w:rPr>
              <w:t>напряжения</w:t>
            </w:r>
          </w:p>
        </w:tc>
        <w:tc>
          <w:tcPr>
            <w:tcW w:w="937" w:type="dxa"/>
          </w:tcPr>
          <w:p w14:paraId="0786015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w:t>
            </w:r>
          </w:p>
        </w:tc>
        <w:tc>
          <w:tcPr>
            <w:tcW w:w="2034" w:type="dxa"/>
          </w:tcPr>
          <w:p w14:paraId="53AE13BA">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U = 4,8 кВ</m:t>
                </m:r>
              </m:oMath>
            </m:oMathPara>
          </w:p>
        </w:tc>
        <w:tc>
          <w:tcPr>
            <w:tcW w:w="2227" w:type="dxa"/>
          </w:tcPr>
          <w:p w14:paraId="54EDB77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VOLTAGE_MIN = 5,5 кВ</m:t>
                </m:r>
              </m:oMath>
            </m:oMathPara>
          </w:p>
        </w:tc>
        <w:tc>
          <w:tcPr>
            <w:tcW w:w="2148" w:type="dxa"/>
          </w:tcPr>
          <w:p w14:paraId="5C5968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Предупреждающий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1C4BD170">
        <w:tc>
          <w:tcPr>
            <w:tcW w:w="733" w:type="dxa"/>
          </w:tcPr>
          <w:p w14:paraId="2A0B14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8–10</w:t>
            </w:r>
          </w:p>
        </w:tc>
        <w:tc>
          <w:tcPr>
            <w:tcW w:w="1492" w:type="dxa"/>
          </w:tcPr>
          <w:p w14:paraId="4C5E3B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7D09EC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275098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220–270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5,7–5,8 кВ</m:t>
                </m:r>
              </m:oMath>
            </m:oMathPara>
          </w:p>
        </w:tc>
        <w:tc>
          <w:tcPr>
            <w:tcW w:w="2227" w:type="dxa"/>
          </w:tcPr>
          <w:p w14:paraId="697095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560A30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bl>
    <w:p w14:paraId="15D0A623">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BC485E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Прототип обнаруживает оба типа аварийных событий — превышение тока и провал напряжения — в пределах одного цикла опроса. Для реальной SCADA с периодом опроса 2 секунды время обнаружения составит не более 2 секунд, что удовлетворяет требованиям таблицы 2.5 (максимальная задержка для телесигнализации — 2 секунды). Алгоритм верно определяет номер секции, в которой произошло событие, корректно обрабатывает возврат параметров в нормальный диапазон и не допускает ложных срабатываний в циклах 1–4 и 8–10 [19].</w:t>
      </w:r>
    </w:p>
    <w:p w14:paraId="7ED46DE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рисунке 3.4 представлены настройки параметров мониторинга прототипа SCADA. На рисунке 3.5 показана имитация аварийных режимов. На рисунке 3.6 приведён цикл опроса секций линии в прототипе SCADA.</w:t>
      </w:r>
    </w:p>
    <w:p w14:paraId="03845B55">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795645"/>
            <wp:effectExtent l="0" t="0" r="10795"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375D4C2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3.4 – Настройки параметров мониторинга прототипа SCADA</w:t>
      </w:r>
    </w:p>
    <w:p w14:paraId="6B37BE5F">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244465"/>
            <wp:effectExtent l="0" t="0" r="1079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431C4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3.5 – Имитация аварийных режимов в прототипе SCADA</w:t>
      </w:r>
    </w:p>
    <w:p w14:paraId="229DA733">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835596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00000" cy="8355965"/>
                    </a:xfrm>
                    <a:prstGeom prst="rect">
                      <a:avLst/>
                    </a:prstGeom>
                  </pic:spPr>
                </pic:pic>
              </a:graphicData>
            </a:graphic>
          </wp:inline>
        </w:drawing>
      </w:r>
    </w:p>
    <w:p w14:paraId="148896B5">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3.6 – Цикл опроса секций линии в прототипе SCADA</w:t>
      </w:r>
    </w:p>
    <w:p w14:paraId="5E3630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прототип обнаруживает аварийные ситуации двух типов, определяет повреждённую секцию и формирует сигналы для оперативного персонала. Логика обнаружения аварий и определения повреждённой секции по показаниям ИКЗ соответствует таблицам состояний главы 3. Дальнейшее развитие предполагает реализацию полного цикла секционирования с моделированием операций коммутационных аппаратов и каналов связи, а также создание графического интерфейса оператора с мнемосхемой автоматизированного участка [20].</w:t>
      </w:r>
    </w:p>
    <w:p w14:paraId="409A8BA8">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34" w:name="_Toc1953368574"/>
      <w:bookmarkStart w:id="35" w:name="_Toc2033730199"/>
      <w:r>
        <w:rPr>
          <w:rFonts w:ascii="Times New Roman" w:hAnsi="Times New Roman" w:eastAsia="Times New Roman" w:cs="Times New Roman"/>
          <w:b/>
          <w:sz w:val="28"/>
        </w:rPr>
        <w:t>3.4 Ограничения и особенности практического применения алгоритмов</w:t>
      </w:r>
      <w:bookmarkEnd w:id="34"/>
      <w:bookmarkEnd w:id="35"/>
    </w:p>
    <w:p w14:paraId="59730B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однако практическое применение требует расширения модели до полного цикла секционирования с учётом реального времени переключения аппаратов, отказов каналов связи и действий диспетчерского персонала. При промышленной реализации необходимо учитывать ограничения по точности телеметрии, доступности резервных каналов связи и необходимости адаптации алгоритмов к конкретной топологии сети [20].</w:t>
      </w:r>
    </w:p>
    <w:p w14:paraId="185AE5D9">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294B832B">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755678E">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4E911E0C">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533EBBE7">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6AAD373">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19714B2">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2675147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19B67530">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496EC444">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E39235F">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3970AA3B">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36" w:name="_Toc1553728941"/>
      <w:r>
        <w:rPr>
          <w:rFonts w:ascii="Times New Roman" w:hAnsi="Times New Roman" w:eastAsia="Times New Roman" w:cs="Times New Roman"/>
          <w:b/>
          <w:sz w:val="28"/>
        </w:rPr>
        <w:t>4 Ориентация разработанных алгоритмов на промышленное внедрение</w:t>
      </w:r>
      <w:bookmarkEnd w:id="36"/>
    </w:p>
    <w:p w14:paraId="5AA0B3E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7" w:name="_Toc1683111529"/>
      <w:bookmarkStart w:id="38" w:name="_Toc121163867"/>
      <w:r>
        <w:rPr>
          <w:rFonts w:hint="default" w:ascii="Times New Roman" w:hAnsi="Times New Roman" w:eastAsia="Times New Roman" w:cs="Times New Roman"/>
          <w:b/>
          <w:bCs/>
          <w:sz w:val="28"/>
        </w:rPr>
        <w:t>4.1 Требования сетевых организаций к системам автоматики распределительных сетей</w:t>
      </w:r>
      <w:bookmarkEnd w:id="37"/>
      <w:bookmarkEnd w:id="38"/>
    </w:p>
    <w:p w14:paraId="734CE1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Сетевые организации предъявляют к системам автоматики распределительных сетей требования по надёжности, селективности, быстродействию и наблюдаемости всех коммутационных операций. Для автоматизированных участков ВЛ 6–10 кВ принципиально важно обеспечить локализацию повреждения без избыточного отключения нагрузки, ведение журнала событий и возможность дистанционного управления в составе диспетчерских комплексов [2], [5].</w:t>
      </w:r>
    </w:p>
    <w:p w14:paraId="0C1BA8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Дополнительно требуется соблюдение нормативов по времени восстановления электроснабжения, устойчивости каналов связи и информационной безопасности управляющих команд. Алгоритмы должны допускать настройку под различные схемы фидеров и обеспечивать контроль блокировок при переключениях.</w:t>
      </w:r>
    </w:p>
    <w:p w14:paraId="71C6403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9" w:name="_Toc586615313"/>
      <w:bookmarkStart w:id="40" w:name="_Toc1400869619"/>
      <w:r>
        <w:rPr>
          <w:rFonts w:hint="default" w:ascii="Times New Roman" w:hAnsi="Times New Roman" w:eastAsia="Times New Roman" w:cs="Times New Roman"/>
          <w:b/>
          <w:bCs/>
          <w:sz w:val="28"/>
        </w:rPr>
        <w:t>4.2 Совместимость разработанных алгоритмов с существующим оборудованием и системами управления</w:t>
      </w:r>
      <w:bookmarkEnd w:id="39"/>
      <w:bookmarkEnd w:id="40"/>
    </w:p>
    <w:p w14:paraId="4C8225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ориентированы на применение с реклоузерами, разъединителями с моторным приводом, индикаторами короткого замыкания и контроллерами RTU, поддерживающими типовые протоколы телемеханики Modbus TCP и МЭК 60870-5-104. Это обеспечивает возможность интеграции с действующими SCADA- и DMS-платформами без полного переоснащения сетевого участка [18], [20].</w:t>
      </w:r>
    </w:p>
    <w:p w14:paraId="1F3347B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Совместимость также определяется возможностью адаптации уставок и логики конечного автомата к оборудованию разных производителей. Для практического внедрения важна поддержка стандартных интерфейсов обмена, архивирования телеметрии и подтверждения команд телеуправления.</w:t>
      </w:r>
    </w:p>
    <w:p w14:paraId="5909027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41" w:name="_Toc146142214"/>
      <w:bookmarkStart w:id="42" w:name="_Toc1552464472"/>
      <w:r>
        <w:rPr>
          <w:rFonts w:hint="default" w:ascii="Times New Roman" w:hAnsi="Times New Roman" w:eastAsia="Times New Roman" w:cs="Times New Roman"/>
          <w:b/>
          <w:bCs/>
          <w:sz w:val="28"/>
        </w:rPr>
        <w:t>4.3 Вопросы внедрения алгоритмов в действующие распределительные сети 6–10 кВ</w:t>
      </w:r>
      <w:bookmarkEnd w:id="41"/>
      <w:bookmarkEnd w:id="42"/>
    </w:p>
    <w:p w14:paraId="5260F9E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Внедрение алгоритмов в действующие сети требует поэтапной настройки уставок, проверки каналов связи, верификации работы ИКЗ и проведения опытной эксплуатации на типовом фидере.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[30].</w:t>
      </w:r>
    </w:p>
    <w:p w14:paraId="3D5489D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этапе внедрения необходимо учитывать неоднородность существующего парка оборудования, особенности трассы ВЛ, наличие резервных источников питания и готовность диспетчерского персонала к работе с автоматизированными сценариями. Существенное значение имеет и организация резервирования каналов связи с переходом на резерв за время не более 30 секунд.</w:t>
      </w:r>
    </w:p>
    <w:p w14:paraId="38CB900D">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43" w:name="_Toc344069854"/>
      <w:bookmarkStart w:id="44" w:name="_Toc1638382177"/>
      <w:r>
        <w:rPr>
          <w:rFonts w:hint="default" w:ascii="Times New Roman" w:hAnsi="Times New Roman" w:eastAsia="Times New Roman" w:cs="Times New Roman"/>
          <w:b/>
          <w:bCs/>
          <w:sz w:val="28"/>
        </w:rPr>
        <w:t>4.4 Перспективы применения разработанных решений в промышленных условиях</w:t>
      </w:r>
      <w:bookmarkEnd w:id="43"/>
      <w:bookmarkEnd w:id="44"/>
    </w:p>
    <w:p w14:paraId="15E157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Перспективы промышленного применения связаны с расширением алгоритмов FLISR на сети со сложной топологией, интеграцией с DMS/OMS и использованием предиктивной аналитики для предупреждения аварийных режимов. Практическая значимость разработанных решений проявляется в сокращении SAIDI и SAIFI, снижении объёма недоотпущенной электроэнергии и уменьшении количества оперативных выездов [12], [26].</w:t>
      </w:r>
    </w:p>
    <w:p w14:paraId="7914E0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Третье — применение машинного обучения для прогнозирования аварий по данным телеметрии. Анализ трендов токов и напряжений позволяет выявлять деградацию изоляции до наступления повреждения [25].</w:t>
      </w:r>
    </w:p>
    <w:p w14:paraId="41C47DD6">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45" w:name="_Toc1756058454"/>
      <w:bookmarkStart w:id="46" w:name="_Toc1253927005"/>
      <w:r>
        <w:rPr>
          <w:rFonts w:hint="default" w:ascii="Times New Roman" w:hAnsi="Times New Roman" w:eastAsia="Times New Roman" w:cs="Times New Roman"/>
          <w:b/>
          <w:bCs/>
          <w:sz w:val="28"/>
        </w:rPr>
        <w:t>ЗАКЛЮЧЕНИЕ</w:t>
      </w:r>
      <w:bookmarkEnd w:id="45"/>
      <w:bookmarkEnd w:id="46"/>
    </w:p>
    <w:p w14:paraId="03826C3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результате выполнения работы решены все поставленные задачи и сформирована структура исследования в соответствии с новым оглавлением.</w:t>
      </w:r>
    </w:p>
    <w:p w14:paraId="28254AF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1 проанализированы устройства и структура системы автоматики автоматизированных ВЛ 6–10 кВ, включая назначение реклоузеров, разъединителей, требования нормативной базы и схемы дистанционного управления.</w:t>
      </w:r>
    </w:p>
    <w:p w14:paraId="789B15F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2 разработаны алгоритмы обнаружения аварийных режимов на воздушной линии, автоматического секционирования, восстановления электроснабжения после аварии и дистанционного управления автоматизированным участком ВЛ.</w:t>
      </w:r>
    </w:p>
    <w:p w14:paraId="7E6F03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3 исследована работа разработанных алгоритмов в нормальных и аварийных режимах эксплуатации, выполнена оценка их эффективности и определены ограничения практического применения.</w:t>
      </w:r>
    </w:p>
    <w:p w14:paraId="6C1CB3B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4 рассмотрены требования сетевых организаций, вопросы совместимости с действующим оборудованием и системами управления, а также особенности и перспективы промышленного внедрения разработанных решений.</w:t>
      </w:r>
    </w:p>
    <w:p w14:paraId="187D5C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обеспечивают сокращение времени локализации повреждения и восстановление электроснабжения неповреждённых секций, а программный прототип SCADA подтверждает реализуемость предложенного подхода.</w:t>
      </w:r>
    </w:p>
    <w:p w14:paraId="12E45AA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ценность работы заключается в возможности использования предложенных алгоритмов в проектах автоматизации распределительных сетей 6–10 кВ с ориентацией на промышленное внедрение.</w:t>
      </w:r>
    </w:p>
    <w:p w14:paraId="74B9701F">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r>
        <w:rPr>
          <w:rFonts w:ascii="Times New Roman" w:hAnsi="Times New Roman" w:eastAsia="Times New Roman" w:cs="Times New Roman"/>
          <w:b/>
          <w:sz w:val="28"/>
        </w:rPr>
        <w:t>СПИСОК ИСПОЛЬЗОВАННЫХ ИСТОЧНИКОВ</w:t>
      </w:r>
    </w:p>
    <w:p w14:paraId="729D00F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Правила устройства электроустановок. ПУЭ. 7-е изд., с изм. и доп. Разделы 1–7. – М.: НЦ ЭНАС, 2003. – 552 с.</w:t>
      </w:r>
    </w:p>
    <w:p w14:paraId="6608AC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Стандарты ПАО «Россети» по автоматизации распределительных сетей 6–10 кВ. – М.: ПАО «Россети», 2017–2022.</w:t>
      </w:r>
    </w:p>
    <w:p w14:paraId="73E87D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Централизованное решение по автоматике распределительных сетей 6–10 кВ с использованием «умных» разъединителей и выключателей нагрузки // Электроэнергия. Передача и распределение, 2025.</w:t>
      </w:r>
    </w:p>
    <w:p w14:paraId="15A19D6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СТО 34.01-23.1-001-2017. Объём и нормы испытаний электрооборудования. – М.: ПАО «Россети», 2017.</w:t>
      </w:r>
    </w:p>
    <w:p w14:paraId="3060ED2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5. СТО 34.01-3.2-004-2016. Реклоузеры 6–35 кВ. Общие технические требования. – М.: ПАО «Россети», 2016.</w:t>
      </w:r>
    </w:p>
    <w:p w14:paraId="21AD90B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6. РД 153-34.3-35.613-00. Правила технического обслуживания устройств релейной защиты и электроавтоматики электрических сетей 0,4–35 кВ. – М.: ОАО «ОРГРЭС», 2000.</w:t>
      </w:r>
    </w:p>
    <w:p w14:paraId="78323E8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7. Секционирование электрических сетей 10(6) кВ при помощи реклоузеров // НВ Журнал, 2024.</w:t>
      </w:r>
    </w:p>
    <w:p w14:paraId="7915509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8. Решения для воздушных ЛЭП 6–10 кВ. – Prosoft Systems, 2024.</w:t>
      </w:r>
    </w:p>
    <w:p w14:paraId="1D8C95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9. Шабад М.А. Расчёты релейной защиты и автоматики распределительных сетей. – СПб.: ПЭИПК, 2003. – 350 с.</w:t>
      </w:r>
    </w:p>
    <w:p w14:paraId="2E8A77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10. Федосеев А.М. Релейная защита электроэнергетических систем. – М.: Энергоатомиздат, 1984. – 520 с.</w:t>
      </w:r>
    </w:p>
    <w:p w14:paraId="47512DD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11. IEEE Std C37.60-2012. IEEE Standard for High-Voltage Switchgear. – New York: IEEE, 2012.</w:t>
      </w:r>
    </w:p>
    <w:p w14:paraId="777862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12. IEEE Std 1366-2012. IEEE Guide for Electric Power Distribution Reliability Indices. – New York: IEEE, 2012.</w:t>
      </w:r>
    </w:p>
    <w:p w14:paraId="3F63F7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13. Каталог продукции АО «Таврида Электрик». Реклоузеры PBA/TEL-10. – М.: Таврида Электрик, 2023.</w:t>
      </w:r>
    </w:p>
    <w:p w14:paraId="340AC39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14. ГОСТ Р 52735-2007. Короткие замыкания в электроустановках. Методы расчёта в электроустановках переменного тока напряжением свыше 1 кВ. – М.: Стандартинформ, 2007.</w:t>
      </w:r>
    </w:p>
    <w:p w14:paraId="381DF4B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15. Андреев В.А. Релейная защита и автоматика систем электроснабжения. – М.: Высш. шк., 2006. – 639 с.</w:t>
      </w:r>
    </w:p>
    <w:p w14:paraId="19B1CC4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16.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w:t>
      </w:r>
    </w:p>
    <w:p w14:paraId="3430B1F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17. Гуревич В.И. Интеллектуальные сети: новые перспективы или новые проблемы? // Электротехнический рынок. – 2010. – № 6. – С. 50–55.</w:t>
      </w:r>
    </w:p>
    <w:p w14:paraId="2224F4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18. МЭК 60870-5-104:2006. Протоколы телемеханики. Стандарт-компаньон для сетей TCP/IP. – Женева: МЭК, 2006.</w:t>
      </w:r>
    </w:p>
    <w:p w14:paraId="56E37EC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19. МЭК 61850:2013. Сети и системы связи на подстанциях. – Женева: МЭК, 2013.</w:t>
      </w:r>
    </w:p>
    <w:p w14:paraId="6385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20. Modbus Application Protocol Specification V1.1b3. – Modbus Organization, 2012.</w:t>
      </w:r>
    </w:p>
    <w:p w14:paraId="68FAFA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21. ГОСТ Р 59109-2020. Единая энергетическая система и изолированно работающие энергосистемы. Релейная защита и автоматика. Автоматика ликвидации асинхронного режима. – М.: Стандартинформ, 2020.</w:t>
      </w:r>
    </w:p>
    <w:p w14:paraId="42CF3C6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22. Распоряжение Правительства РФ от 03.04.2013 № 511-р. Стратегия развития электросетевого комплекса Российской Федерации.</w:t>
      </w:r>
    </w:p>
    <w:p w14:paraId="34217A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23. Концепция «Цифровая трансформация 2030» ПАО «Россети». – М.: ПАО «Россети», 2018.</w:t>
      </w:r>
    </w:p>
    <w:p w14:paraId="50B1EDE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24. Нагай В.И. Релейная защита. Алгоритмы и схемы. – Ростов-на-Дону: СКНЦ ВШ, 2005. – 312 с.</w:t>
      </w:r>
    </w:p>
    <w:p w14:paraId="4141C3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25. Справочник по проектированию электрических сетей / Под ред. Д.Л. Файбисовича. – М.: ЭНАС, 2012. – 376 с.</w:t>
      </w:r>
    </w:p>
    <w:p w14:paraId="1FFAAB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26. Программа повышения надёжности электрических сетей ПАО «Россети» на 2022–2027 гг. – М.: ПАО «Россети», 2022.</w:t>
      </w:r>
    </w:p>
    <w:p w14:paraId="2CBAA4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27. Герасименко А.А., Федин В.Т. Передача и распределение электрической энергии. – М.: КНОРУС, 2014. – 648 с.</w:t>
      </w:r>
    </w:p>
    <w:p w14:paraId="1BDF30B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28. ГОСТ Р 7.0.5-2008. Библиографическая ссылка. Общие требования и правила составления. – М.: Стандартинформ, 2009.</w:t>
      </w:r>
    </w:p>
    <w:p w14:paraId="7474DF1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29. Кузнецов О.Н. Компьютерные сети. Принципы, технологии, протоколы. – СПб.: Питер, 2022. – 1008 с.</w:t>
      </w:r>
    </w:p>
    <w:p w14:paraId="77E4B4E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30. Постановление Правительства РФ от 13.08.2018 № 937. Об утверждении Правил технологического функционирования электроэнергетических систем.</w:t>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C3199">
    <w:pPr>
      <w:pStyle w:val="4"/>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1E67F3"/>
    <w:rsid w:val="3FBF2F96"/>
    <w:rsid w:val="3FD88289"/>
    <w:rsid w:val="3FEF67E2"/>
    <w:rsid w:val="598F31FA"/>
    <w:rsid w:val="6FDC6A94"/>
    <w:rsid w:val="727E2BBF"/>
    <w:rsid w:val="737EB736"/>
    <w:rsid w:val="779DB752"/>
    <w:rsid w:val="7BDB21D9"/>
    <w:rsid w:val="7BEF7F28"/>
    <w:rsid w:val="7FF70129"/>
    <w:rsid w:val="BF1E67F3"/>
    <w:rsid w:val="BFD9560D"/>
    <w:rsid w:val="DDE6660C"/>
    <w:rsid w:val="EDFF9E16"/>
    <w:rsid w:val="EFEEE4CA"/>
    <w:rsid w:val="FCFBEB44"/>
    <w:rsid w:val="FEB84B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nhideWhenUsed/>
    <w:uiPriority w:val="99"/>
    <w:pPr>
      <w:tabs>
        <w:tab w:val="center" w:pos="4680"/>
        <w:tab w:val="right" w:pos="9360"/>
      </w:tabs>
      <w:spacing w:after="0" w:line="240" w:lineRule="auto"/>
    </w:p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toc 1"/>
    <w:basedOn w:val="1"/>
    <w:next w:val="1"/>
    <w:uiPriority w:val="0"/>
  </w:style>
  <w:style w:type="paragraph" w:styleId="7">
    <w:name w:val="toc 2"/>
    <w:basedOn w:val="1"/>
    <w:next w:val="1"/>
    <w:uiPriority w:val="0"/>
    <w:pPr>
      <w:ind w:left="420" w:leftChars="200"/>
    </w:pPr>
  </w:style>
  <w:style w:type="paragraph" w:styleId="8">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68</Pages>
  <Words>0</Words>
  <Characters>0</Characters>
  <Lines>0</Lines>
  <Paragraphs>0</Paragraphs>
  <TotalTime>56</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2026-03-21T23:01:00Z</dcterms:created>
  <dc:creator>m</dc:creator>
  <cp:lastModifiedBy>m</cp:lastModifiedBy>
  <dcterms:modified xsi:type="dcterms:W3CDTF">2026-04-02T04:55:12Z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BCA3B70358F2275CC48DC669F9778D98_41</vt:lpwstr>
  </property>
</Properties>
</file>