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media/image6.jpeg" ContentType="image/jpeg"/>
  <Override PartName="/word/media/image7.jpeg" ContentType="image/jpeg"/>
  <Override PartName="/word/media/image8.jpeg" ContentType="image/jpeg"/>
  <Override PartName="/word/media/image9.jpeg" ContentType="image/jpeg"/>
  <Override PartName="/word/media/image10.jpeg" ContentType="image/jpeg"/>
  <Override PartName="/word/media/image11.jpeg" ContentType="image/jpeg"/>
  <Override PartName="/word/media/image12.jpeg" ContentType="image/jpeg"/>
  <Override PartName="/word/media/image13.jpeg" ContentType="image/jpeg"/>
  <Override PartName="/word/media/image14.jpeg" ContentType="image/jpeg"/>
  <Override PartName="/word/media/image15.jpeg" ContentType="image/jpeg"/>
  <Override PartName="/word/media/image16.jpeg" ContentType="image/jpeg"/>
  <Override PartName="/word/media/image17.jpeg" ContentType="image/jpeg"/>
  <Override PartName="/word/media/image18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"/>
        <w:bidi w:val="0"/>
      </w:pPr>
      <w:r>
        <w:rPr>
          <w:rFonts w:ascii="Times New Roman" w:hAnsi="Times New Roman" w:hint="default"/>
          <w:b w:val="1"/>
          <w:bCs w:val="1"/>
          <w:sz w:val="32"/>
          <w:szCs w:val="32"/>
          <w:rtl w:val="0"/>
        </w:rPr>
        <w:t>ЛАБОРАТОРНАЯ РАБОТА</w:t>
      </w:r>
      <w:r>
        <w:rPr>
          <w:rFonts w:ascii="Times New Roman" w:hAnsi="Times New Roman"/>
          <w:b w:val="1"/>
          <w:bCs w:val="1"/>
          <w:sz w:val="32"/>
          <w:szCs w:val="32"/>
          <w:rtl w:val="0"/>
          <w:lang w:val="en-US"/>
        </w:rPr>
        <w:t xml:space="preserve"> </w:t>
      </w:r>
      <w:r>
        <w:rPr>
          <w:rFonts w:ascii="Times New Roman" w:hAnsi="Times New Roman" w:hint="default"/>
          <w:b w:val="1"/>
          <w:bCs w:val="1"/>
          <w:sz w:val="32"/>
          <w:szCs w:val="32"/>
          <w:rtl w:val="0"/>
          <w:lang w:val="ru-RU"/>
        </w:rPr>
        <w:t xml:space="preserve">№ </w:t>
      </w:r>
      <w:r>
        <w:rPr>
          <w:rFonts w:ascii="Times New Roman" w:hAnsi="Times New Roman"/>
          <w:b w:val="1"/>
          <w:bCs w:val="1"/>
          <w:sz w:val="32"/>
          <w:szCs w:val="32"/>
          <w:rtl w:val="0"/>
          <w:lang w:val="ru-RU"/>
        </w:rPr>
        <w:t>3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Параметрический синтез и исследование цифровой системы управления с И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-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>регулятором и апериодическим звеном</w:t>
      </w:r>
    </w:p>
    <w:p>
      <w:pPr>
        <w:pStyle w:val="Основной текст"/>
        <w:bidi w:val="0"/>
      </w:pPr>
      <w:r>
        <w:rPr>
          <w:rFonts w:ascii="Times New Roman" w:hAnsi="Times New Roman"/>
          <w:b w:val="1"/>
          <w:bCs w:val="1"/>
          <w:sz w:val="32"/>
          <w:szCs w:val="32"/>
          <w:rtl w:val="0"/>
        </w:rPr>
        <w:t xml:space="preserve">1. </w:t>
      </w:r>
      <w:r>
        <w:rPr>
          <w:rFonts w:ascii="Times New Roman" w:hAnsi="Times New Roman" w:hint="default"/>
          <w:b w:val="1"/>
          <w:bCs w:val="1"/>
          <w:sz w:val="32"/>
          <w:szCs w:val="32"/>
          <w:rtl w:val="0"/>
          <w:lang w:val="ru-RU"/>
        </w:rPr>
        <w:t>Цель работы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Целью работы является синтез цифровой системы управления с интегральным регулятором и объектом в виде апериодического звена первого порядка</w:t>
      </w:r>
      <w:r>
        <w:rPr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а также исследование влияния периода дискретизации и вычислительной задержки на качество переходного процесса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ой текст"/>
        <w:bidi w:val="0"/>
      </w:pPr>
    </w:p>
    <w:p>
      <w:pPr>
        <w:pStyle w:val="Основной текст"/>
        <w:bidi w:val="0"/>
      </w:pPr>
      <w:r>
        <w:rPr>
          <w:rFonts w:ascii="Times New Roman" w:hAnsi="Times New Roman"/>
          <w:b w:val="1"/>
          <w:bCs w:val="1"/>
          <w:sz w:val="32"/>
          <w:szCs w:val="32"/>
          <w:rtl w:val="0"/>
        </w:rPr>
        <w:t xml:space="preserve">2. </w:t>
      </w:r>
      <w:r>
        <w:rPr>
          <w:rFonts w:ascii="Times New Roman" w:hAnsi="Times New Roman" w:hint="default"/>
          <w:b w:val="1"/>
          <w:bCs w:val="1"/>
          <w:sz w:val="32"/>
          <w:szCs w:val="32"/>
          <w:rtl w:val="0"/>
          <w:lang w:val="ru-RU"/>
        </w:rPr>
        <w:t>Исходные данные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Объект управления — апериодическое звено первого порядка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ой текст"/>
        <w:bidi w:val="0"/>
      </w:pPr>
      <w:r>
        <w:rPr>
          <w:rFonts w:ascii="Times New Roman" w:hAnsi="Times New Roman"/>
          <w:i w:val="1"/>
          <w:iCs w:val="1"/>
          <w:sz w:val="24"/>
          <w:szCs w:val="24"/>
          <w:rtl w:val="0"/>
          <w:lang w:val="de-DE"/>
        </w:rPr>
        <w:t>W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>о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(s) = 1 / (T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s + 1)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И</w:t>
      </w:r>
      <w:r>
        <w:rPr>
          <w:rFonts w:ascii="Times New Roman" w:hAnsi="Times New Roman"/>
          <w:sz w:val="24"/>
          <w:szCs w:val="24"/>
          <w:rtl w:val="0"/>
        </w:rPr>
        <w:t>-</w:t>
      </w:r>
      <w:r>
        <w:rPr>
          <w:rFonts w:ascii="Times New Roman" w:hAnsi="Times New Roman" w:hint="default"/>
          <w:sz w:val="24"/>
          <w:szCs w:val="24"/>
          <w:rtl w:val="0"/>
        </w:rPr>
        <w:t>регулятор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ой текст"/>
        <w:bidi w:val="0"/>
      </w:pPr>
      <w:r>
        <w:rPr>
          <w:rFonts w:ascii="Times New Roman" w:hAnsi="Times New Roman"/>
          <w:i w:val="1"/>
          <w:iCs w:val="1"/>
          <w:sz w:val="24"/>
          <w:szCs w:val="24"/>
          <w:rtl w:val="0"/>
          <w:lang w:val="de-DE"/>
        </w:rPr>
        <w:t>W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>р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(s) = K / s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Рассматриваются значения</w:t>
      </w:r>
      <w:r>
        <w:rPr>
          <w:rFonts w:ascii="Times New Roman" w:hAnsi="Times New Roman"/>
          <w:sz w:val="24"/>
          <w:szCs w:val="24"/>
          <w:rtl w:val="0"/>
        </w:rPr>
        <w:t>: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sz w:val="24"/>
          <w:szCs w:val="24"/>
          <w:rtl w:val="0"/>
        </w:rPr>
        <w:t>= 1; 0.5; 0.25</w:t>
      </w:r>
    </w:p>
    <w:p>
      <w:pPr>
        <w:pStyle w:val="Основной текст"/>
        <w:bidi w:val="0"/>
      </w:pPr>
    </w:p>
    <w:p>
      <w:pPr>
        <w:pStyle w:val="Основной текст"/>
        <w:bidi w:val="0"/>
      </w:pPr>
      <w:r>
        <w:rPr>
          <w:rFonts w:ascii="Times New Roman" w:hAnsi="Times New Roman"/>
          <w:b w:val="1"/>
          <w:bCs w:val="1"/>
          <w:sz w:val="32"/>
          <w:szCs w:val="32"/>
          <w:rtl w:val="0"/>
        </w:rPr>
        <w:t xml:space="preserve">3. </w:t>
      </w:r>
      <w:r>
        <w:rPr>
          <w:rFonts w:ascii="Times New Roman" w:hAnsi="Times New Roman" w:hint="default"/>
          <w:b w:val="1"/>
          <w:bCs w:val="1"/>
          <w:sz w:val="32"/>
          <w:szCs w:val="32"/>
          <w:rtl w:val="0"/>
        </w:rPr>
        <w:t xml:space="preserve">Синтез методом переоборудования </w:t>
      </w:r>
      <w:r>
        <w:rPr>
          <w:rFonts w:ascii="Times New Roman" w:hAnsi="Times New Roman"/>
          <w:b w:val="1"/>
          <w:bCs w:val="1"/>
          <w:sz w:val="32"/>
          <w:szCs w:val="32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32"/>
          <w:szCs w:val="32"/>
          <w:rtl w:val="0"/>
        </w:rPr>
        <w:t xml:space="preserve">ε </w:t>
      </w:r>
      <w:r>
        <w:rPr>
          <w:rFonts w:ascii="Times New Roman" w:hAnsi="Times New Roman"/>
          <w:b w:val="1"/>
          <w:bCs w:val="1"/>
          <w:sz w:val="32"/>
          <w:szCs w:val="32"/>
          <w:rtl w:val="0"/>
        </w:rPr>
        <w:t>= 0)</w:t>
      </w:r>
    </w:p>
    <w:p>
      <w:pPr>
        <w:pStyle w:val="Основной текст"/>
        <w:bidi w:val="0"/>
      </w:pP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3.1 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Исследование влияния периода дискретизации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Рассматриваются значения </w:t>
      </w: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sz w:val="24"/>
          <w:szCs w:val="24"/>
          <w:rtl w:val="0"/>
        </w:rPr>
        <w:t>= 0,1T</w:t>
      </w:r>
      <w:r>
        <w:rPr>
          <w:rFonts w:ascii="Times New Roman" w:hAnsi="Times New Roman" w:hint="default"/>
          <w:sz w:val="24"/>
          <w:szCs w:val="24"/>
          <w:rtl w:val="0"/>
        </w:rPr>
        <w:t>μ</w:t>
      </w:r>
      <w:r>
        <w:rPr>
          <w:rFonts w:ascii="Times New Roman" w:hAnsi="Times New Roman"/>
          <w:sz w:val="24"/>
          <w:szCs w:val="24"/>
          <w:rtl w:val="0"/>
        </w:rPr>
        <w:t>1,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sz w:val="24"/>
          <w:szCs w:val="24"/>
          <w:rtl w:val="0"/>
        </w:rPr>
        <w:t>= T</w:t>
      </w:r>
      <w:r>
        <w:rPr>
          <w:rFonts w:ascii="Times New Roman" w:hAnsi="Times New Roman" w:hint="default"/>
          <w:sz w:val="24"/>
          <w:szCs w:val="24"/>
          <w:rtl w:val="0"/>
        </w:rPr>
        <w:t>μ</w:t>
      </w:r>
      <w:r>
        <w:rPr>
          <w:rFonts w:ascii="Times New Roman" w:hAnsi="Times New Roman"/>
          <w:sz w:val="24"/>
          <w:szCs w:val="24"/>
          <w:rtl w:val="0"/>
        </w:rPr>
        <w:t xml:space="preserve">1,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где </w:t>
      </w: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>μ</w:t>
      </w:r>
      <w:r>
        <w:rPr>
          <w:rFonts w:ascii="Times New Roman" w:hAnsi="Times New Roman"/>
          <w:sz w:val="24"/>
          <w:szCs w:val="24"/>
          <w:rtl w:val="0"/>
          <w:lang w:val="ru-RU"/>
        </w:rPr>
        <w:t>1 =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Структурная схема аналоговой системы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ой текст"/>
        <w:bidi w:val="0"/>
      </w:pPr>
      <w:r>
        <w:drawing xmlns:a="http://schemas.openxmlformats.org/drawingml/2006/main">
          <wp:inline distT="0" distB="0" distL="0" distR="0">
            <wp:extent cx="5143500" cy="1238250"/>
            <wp:effectExtent l="0" t="0" r="0" b="0"/>
            <wp:docPr id="1073741825" name="officeArt object" descr="Структурная схема аналоговой системы&#10;&#10;Структурная схема аналоговой систем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Структурная схема аналоговой системыСтруктурная схема аналоговой системы" descr="Структурная схема аналоговой системыСтруктурная схема аналоговой системы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2382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3.1a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– Структурная схема аналоговой системы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Структурная схема цифровой системы с </w:t>
      </w:r>
      <w:r>
        <w:rPr>
          <w:rFonts w:ascii="Times New Roman" w:hAnsi="Times New Roman"/>
          <w:sz w:val="24"/>
          <w:szCs w:val="24"/>
          <w:rtl w:val="0"/>
          <w:lang w:val="de-DE"/>
        </w:rPr>
        <w:t>ZOH:</w:t>
      </w:r>
    </w:p>
    <w:p>
      <w:pPr>
        <w:pStyle w:val="Основной текст"/>
        <w:bidi w:val="0"/>
      </w:pPr>
      <w:r>
        <w:drawing xmlns:a="http://schemas.openxmlformats.org/drawingml/2006/main">
          <wp:inline distT="0" distB="0" distL="0" distR="0">
            <wp:extent cx="5143500" cy="847725"/>
            <wp:effectExtent l="0" t="0" r="0" b="0"/>
            <wp:docPr id="1073741826" name="officeArt object" descr="Структурная схема цифровой системы (ZOH)&#10;&#10;Структурная схема цифровой системы (ZOH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Структурная схема цифровой системы (ZOH)Структурная схема цифровой системы (ZOH)" descr="Структурная схема цифровой системы (ZOH)Структурная схема цифровой системы (ZOH)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8477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3.1b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Структурная схема цифровой системы </w:t>
      </w:r>
      <w:r>
        <w:rPr>
          <w:rFonts w:ascii="Times New Roman" w:hAnsi="Times New Roman"/>
          <w:i w:val="1"/>
          <w:iCs w:val="1"/>
          <w:rtl w:val="0"/>
          <w:lang w:val="de-DE"/>
        </w:rPr>
        <w:t>(ZOH)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Переходные процессы при различных значениях </w:t>
      </w: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ой текст"/>
        <w:bidi w:val="0"/>
      </w:pPr>
    </w:p>
    <w:p>
      <w:pPr>
        <w:pStyle w:val="Основной текст"/>
        <w:bidi w:val="0"/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0,1T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μ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1</w:t>
      </w:r>
    </w:p>
    <w:p>
      <w:pPr>
        <w:pStyle w:val="Основной текст"/>
        <w:bidi w:val="0"/>
      </w:pPr>
      <w:r>
        <w:drawing xmlns:a="http://schemas.openxmlformats.org/drawingml/2006/main">
          <wp:inline distT="0" distB="0" distL="0" distR="0">
            <wp:extent cx="5143500" cy="3095625"/>
            <wp:effectExtent l="0" t="0" r="0" b="0"/>
            <wp:docPr id="1073741827" name="officeArt object" descr="Переходный процесс цифровой системы при T₀ = 0,1Tμ1&#10;&#10;Переходный процесс цифровой системы при T₀ = 0,1Tμ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Переходный процесс цифровой системы при T₀ = 0,1Tμ1Переходный процесс цифровой системы при T₀ = 0,1Tμ1" descr="Переходный процесс цифровой системы при T₀ = 0,1Tμ1Переходный процесс цифровой системы при T₀ = 0,1Tμ1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95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  <w:lang w:val="ru-RU"/>
        </w:rPr>
        <w:t xml:space="preserve">1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Переходный процесс цифровой системы при </w:t>
      </w:r>
      <w:r>
        <w:rPr>
          <w:rFonts w:ascii="Times New Roman" w:hAnsi="Times New Roman"/>
          <w:i w:val="1"/>
          <w:iCs w:val="1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  <w:r>
        <w:rPr>
          <w:rFonts w:ascii="Times New Roman" w:hAnsi="Times New Roman"/>
          <w:i w:val="1"/>
          <w:iCs w:val="1"/>
          <w:rtl w:val="0"/>
        </w:rPr>
        <w:t xml:space="preserve"> </w:t>
      </w:r>
      <w:r>
        <w:rPr>
          <w:rFonts w:ascii="Times New Roman" w:hAnsi="Times New Roman"/>
          <w:i w:val="1"/>
          <w:iCs w:val="1"/>
          <w:rtl w:val="0"/>
        </w:rPr>
        <w:t>= 0,1T</w:t>
      </w:r>
      <w:r>
        <w:rPr>
          <w:rFonts w:ascii="Times New Roman" w:hAnsi="Times New Roman" w:hint="default"/>
          <w:i w:val="1"/>
          <w:iCs w:val="1"/>
          <w:rtl w:val="0"/>
        </w:rPr>
        <w:t>μ</w:t>
      </w:r>
      <w:r>
        <w:rPr>
          <w:rFonts w:ascii="Times New Roman" w:hAnsi="Times New Roman"/>
          <w:i w:val="1"/>
          <w:iCs w:val="1"/>
          <w:rtl w:val="0"/>
        </w:rPr>
        <w:t>1</w:t>
      </w:r>
    </w:p>
    <w:p>
      <w:pPr>
        <w:pStyle w:val="Основной текст"/>
        <w:bidi w:val="0"/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T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μ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1</w:t>
      </w:r>
    </w:p>
    <w:p>
      <w:pPr>
        <w:pStyle w:val="Основной текст"/>
        <w:bidi w:val="0"/>
      </w:pPr>
      <w:r>
        <w:drawing xmlns:a="http://schemas.openxmlformats.org/drawingml/2006/main">
          <wp:inline distT="0" distB="0" distL="0" distR="0">
            <wp:extent cx="5143500" cy="3095625"/>
            <wp:effectExtent l="0" t="0" r="0" b="0"/>
            <wp:docPr id="1073741828" name="officeArt object" descr="Переходный процесс цифровой системы при T₀ = Tμ1&#10;&#10;Переходный процесс цифровой системы при T₀ = Tμ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Переходный процесс цифровой системы при T₀ = Tμ1Переходный процесс цифровой системы при T₀ = Tμ1" descr="Переходный процесс цифровой системы при T₀ = Tμ1Переходный процесс цифровой системы при T₀ = Tμ1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95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2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Переходный процесс цифровой системы при </w:t>
      </w:r>
      <w:r>
        <w:rPr>
          <w:rFonts w:ascii="Times New Roman" w:hAnsi="Times New Roman"/>
          <w:i w:val="1"/>
          <w:iCs w:val="1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  <w:r>
        <w:rPr>
          <w:rFonts w:ascii="Times New Roman" w:hAnsi="Times New Roman"/>
          <w:i w:val="1"/>
          <w:iCs w:val="1"/>
          <w:rtl w:val="0"/>
        </w:rPr>
        <w:t xml:space="preserve"> </w:t>
      </w:r>
      <w:r>
        <w:rPr>
          <w:rFonts w:ascii="Times New Roman" w:hAnsi="Times New Roman"/>
          <w:i w:val="1"/>
          <w:iCs w:val="1"/>
          <w:rtl w:val="0"/>
        </w:rPr>
        <w:t>= T</w:t>
      </w:r>
      <w:r>
        <w:rPr>
          <w:rFonts w:ascii="Times New Roman" w:hAnsi="Times New Roman" w:hint="default"/>
          <w:i w:val="1"/>
          <w:iCs w:val="1"/>
          <w:rtl w:val="0"/>
        </w:rPr>
        <w:t>μ</w:t>
      </w:r>
      <w:r>
        <w:rPr>
          <w:rFonts w:ascii="Times New Roman" w:hAnsi="Times New Roman"/>
          <w:i w:val="1"/>
          <w:iCs w:val="1"/>
          <w:rtl w:val="0"/>
        </w:rPr>
        <w:t>1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i w:val="1"/>
          <w:iCs w:val="1"/>
          <w:rtl w:val="0"/>
        </w:rPr>
        <w:t xml:space="preserve">Таблица </w:t>
      </w:r>
      <w:r>
        <w:rPr>
          <w:rFonts w:ascii="Times New Roman" w:hAnsi="Times New Roman"/>
          <w:i w:val="1"/>
          <w:iCs w:val="1"/>
          <w:rtl w:val="0"/>
          <w:lang w:val="ru-RU"/>
        </w:rPr>
        <w:t xml:space="preserve">1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– Параметры переходных процессов</w:t>
      </w:r>
    </w:p>
    <w:tbl>
      <w:tblPr>
        <w:tblW w:w="902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55"/>
        <w:gridCol w:w="1893"/>
        <w:gridCol w:w="1893"/>
        <w:gridCol w:w="1892"/>
        <w:gridCol w:w="1993"/>
      </w:tblGrid>
      <w:tr>
        <w:tblPrEx>
          <w:shd w:val="clear" w:color="auto" w:fill="ced7e7"/>
        </w:tblPrEx>
        <w:trPr>
          <w:trHeight w:val="281" w:hRule="atLeast"/>
        </w:trPr>
        <w:tc>
          <w:tcPr>
            <w:tcW w:type="dxa" w:w="13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T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z w:val="22"/>
                <w:szCs w:val="22"/>
                <w:u w:color="000000"/>
                <w:shd w:val="nil" w:color="auto" w:fill="auto"/>
                <w:rtl w:val="0"/>
              </w:rPr>
              <w:t>₁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T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z w:val="22"/>
                <w:szCs w:val="22"/>
                <w:u w:color="000000"/>
                <w:shd w:val="nil" w:color="auto" w:fill="auto"/>
                <w:rtl w:val="0"/>
              </w:rPr>
              <w:t>₀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 xml:space="preserve">tp1, </w:t>
            </w:r>
            <w:r>
              <w:rPr>
                <w:rFonts w:ascii="Times New Roman" w:hAnsi="Times New Roman" w:hint="default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с</w:t>
            </w:r>
          </w:p>
        </w:tc>
        <w:tc>
          <w:tcPr>
            <w:tcW w:type="dxa" w:w="18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 xml:space="preserve">tp2, </w:t>
            </w:r>
            <w:r>
              <w:rPr>
                <w:rFonts w:ascii="Times New Roman" w:hAnsi="Times New Roman" w:hint="default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с</w:t>
            </w:r>
          </w:p>
        </w:tc>
        <w:tc>
          <w:tcPr>
            <w:tcW w:type="dxa" w:w="19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 w:hint="default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Δ</w:t>
            </w: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y, %</w:t>
            </w:r>
          </w:p>
        </w:tc>
      </w:tr>
      <w:tr>
        <w:tblPrEx>
          <w:shd w:val="clear" w:color="auto" w:fill="ced7e7"/>
        </w:tblPrEx>
        <w:trPr>
          <w:trHeight w:val="251" w:hRule="atLeast"/>
        </w:trPr>
        <w:tc>
          <w:tcPr>
            <w:tcW w:type="dxa" w:w="13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0,1T</w:t>
            </w:r>
            <w:r>
              <w:rPr>
                <w:rFonts w:ascii="Times New Roman" w:hAnsi="Times New Roman" w:hint="default"/>
                <w:sz w:val="22"/>
                <w:szCs w:val="22"/>
                <w:u w:color="000000"/>
                <w:shd w:val="nil" w:color="auto" w:fill="auto"/>
                <w:rtl w:val="0"/>
              </w:rPr>
              <w:t>μ</w:t>
            </w: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2.300</w:t>
            </w:r>
          </w:p>
        </w:tc>
        <w:tc>
          <w:tcPr>
            <w:tcW w:type="dxa" w:w="18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5.900</w:t>
            </w:r>
          </w:p>
        </w:tc>
        <w:tc>
          <w:tcPr>
            <w:tcW w:type="dxa" w:w="19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18.37</w:t>
            </w:r>
          </w:p>
        </w:tc>
      </w:tr>
      <w:tr>
        <w:tblPrEx>
          <w:shd w:val="clear" w:color="auto" w:fill="ced7e7"/>
        </w:tblPrEx>
        <w:trPr>
          <w:trHeight w:val="251" w:hRule="atLeast"/>
        </w:trPr>
        <w:tc>
          <w:tcPr>
            <w:tcW w:type="dxa" w:w="13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T</w:t>
            </w:r>
            <w:r>
              <w:rPr>
                <w:rFonts w:ascii="Times New Roman" w:hAnsi="Times New Roman" w:hint="default"/>
                <w:sz w:val="22"/>
                <w:szCs w:val="22"/>
                <w:u w:color="000000"/>
                <w:shd w:val="nil" w:color="auto" w:fill="auto"/>
                <w:rtl w:val="0"/>
              </w:rPr>
              <w:t>μ</w:t>
            </w: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1.000</w:t>
            </w:r>
          </w:p>
        </w:tc>
        <w:tc>
          <w:tcPr>
            <w:tcW w:type="dxa" w:w="18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2.000</w:t>
            </w:r>
          </w:p>
        </w:tc>
        <w:tc>
          <w:tcPr>
            <w:tcW w:type="dxa" w:w="19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39.96</w:t>
            </w:r>
          </w:p>
        </w:tc>
      </w:tr>
      <w:tr>
        <w:tblPrEx>
          <w:shd w:val="clear" w:color="auto" w:fill="ced7e7"/>
        </w:tblPrEx>
        <w:trPr>
          <w:trHeight w:val="251" w:hRule="atLeast"/>
        </w:trPr>
        <w:tc>
          <w:tcPr>
            <w:tcW w:type="dxa" w:w="13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0.5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0,1T</w:t>
            </w:r>
            <w:r>
              <w:rPr>
                <w:rFonts w:ascii="Times New Roman" w:hAnsi="Times New Roman" w:hint="default"/>
                <w:sz w:val="22"/>
                <w:szCs w:val="22"/>
                <w:u w:color="000000"/>
                <w:shd w:val="nil" w:color="auto" w:fill="auto"/>
                <w:rtl w:val="0"/>
              </w:rPr>
              <w:t>μ</w:t>
            </w: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1.150</w:t>
            </w:r>
          </w:p>
        </w:tc>
        <w:tc>
          <w:tcPr>
            <w:tcW w:type="dxa" w:w="18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2.950</w:t>
            </w:r>
          </w:p>
        </w:tc>
        <w:tc>
          <w:tcPr>
            <w:tcW w:type="dxa" w:w="19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18.37</w:t>
            </w:r>
          </w:p>
        </w:tc>
      </w:tr>
      <w:tr>
        <w:tblPrEx>
          <w:shd w:val="clear" w:color="auto" w:fill="ced7e7"/>
        </w:tblPrEx>
        <w:trPr>
          <w:trHeight w:val="251" w:hRule="atLeast"/>
        </w:trPr>
        <w:tc>
          <w:tcPr>
            <w:tcW w:type="dxa" w:w="13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0.5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T</w:t>
            </w:r>
            <w:r>
              <w:rPr>
                <w:rFonts w:ascii="Times New Roman" w:hAnsi="Times New Roman" w:hint="default"/>
                <w:sz w:val="22"/>
                <w:szCs w:val="22"/>
                <w:u w:color="000000"/>
                <w:shd w:val="nil" w:color="auto" w:fill="auto"/>
                <w:rtl w:val="0"/>
              </w:rPr>
              <w:t>μ</w:t>
            </w: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0.500</w:t>
            </w:r>
          </w:p>
        </w:tc>
        <w:tc>
          <w:tcPr>
            <w:tcW w:type="dxa" w:w="18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1.000</w:t>
            </w:r>
          </w:p>
        </w:tc>
        <w:tc>
          <w:tcPr>
            <w:tcW w:type="dxa" w:w="19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39.96</w:t>
            </w:r>
          </w:p>
        </w:tc>
      </w:tr>
      <w:tr>
        <w:tblPrEx>
          <w:shd w:val="clear" w:color="auto" w:fill="ced7e7"/>
        </w:tblPrEx>
        <w:trPr>
          <w:trHeight w:val="251" w:hRule="atLeast"/>
        </w:trPr>
        <w:tc>
          <w:tcPr>
            <w:tcW w:type="dxa" w:w="13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0.25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0,1T</w:t>
            </w:r>
            <w:r>
              <w:rPr>
                <w:rFonts w:ascii="Times New Roman" w:hAnsi="Times New Roman" w:hint="default"/>
                <w:sz w:val="22"/>
                <w:szCs w:val="22"/>
                <w:u w:color="000000"/>
                <w:shd w:val="nil" w:color="auto" w:fill="auto"/>
                <w:rtl w:val="0"/>
              </w:rPr>
              <w:t>μ</w:t>
            </w: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0.575</w:t>
            </w:r>
          </w:p>
        </w:tc>
        <w:tc>
          <w:tcPr>
            <w:tcW w:type="dxa" w:w="18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1.475</w:t>
            </w:r>
          </w:p>
        </w:tc>
        <w:tc>
          <w:tcPr>
            <w:tcW w:type="dxa" w:w="19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18.37</w:t>
            </w:r>
          </w:p>
        </w:tc>
      </w:tr>
      <w:tr>
        <w:tblPrEx>
          <w:shd w:val="clear" w:color="auto" w:fill="ced7e7"/>
        </w:tblPrEx>
        <w:trPr>
          <w:trHeight w:val="251" w:hRule="atLeast"/>
        </w:trPr>
        <w:tc>
          <w:tcPr>
            <w:tcW w:type="dxa" w:w="13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0.25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T</w:t>
            </w:r>
            <w:r>
              <w:rPr>
                <w:rFonts w:ascii="Times New Roman" w:hAnsi="Times New Roman" w:hint="default"/>
                <w:sz w:val="22"/>
                <w:szCs w:val="22"/>
                <w:u w:color="000000"/>
                <w:shd w:val="nil" w:color="auto" w:fill="auto"/>
                <w:rtl w:val="0"/>
              </w:rPr>
              <w:t>μ</w:t>
            </w: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0.250</w:t>
            </w:r>
          </w:p>
        </w:tc>
        <w:tc>
          <w:tcPr>
            <w:tcW w:type="dxa" w:w="18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0.500</w:t>
            </w:r>
          </w:p>
        </w:tc>
        <w:tc>
          <w:tcPr>
            <w:tcW w:type="dxa" w:w="19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39.96</w:t>
            </w:r>
          </w:p>
        </w:tc>
      </w:tr>
    </w:tbl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Вывод</w:t>
      </w:r>
      <w:r>
        <w:rPr>
          <w:rFonts w:ascii="Times New Roman" w:hAnsi="Times New Roman"/>
          <w:sz w:val="24"/>
          <w:szCs w:val="24"/>
          <w:rtl w:val="0"/>
        </w:rPr>
        <w:t xml:space="preserve">: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увеличение периода дискретизации приводит к росту перерегулирования и ухудшению качества переходного процесса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32"/>
          <w:szCs w:val="32"/>
          <w:rtl w:val="0"/>
        </w:rPr>
        <w:t xml:space="preserve">4. </w:t>
      </w:r>
      <w:r>
        <w:rPr>
          <w:rFonts w:ascii="Times New Roman" w:hAnsi="Times New Roman" w:hint="default"/>
          <w:b w:val="1"/>
          <w:bCs w:val="1"/>
          <w:sz w:val="32"/>
          <w:szCs w:val="32"/>
          <w:rtl w:val="0"/>
          <w:lang w:val="ru-RU"/>
        </w:rPr>
        <w:t xml:space="preserve">Определение </w:t>
      </w:r>
      <w:r>
        <w:rPr>
          <w:rFonts w:ascii="Times New Roman" w:hAnsi="Times New Roman"/>
          <w:b w:val="1"/>
          <w:bCs w:val="1"/>
          <w:sz w:val="32"/>
          <w:szCs w:val="32"/>
          <w:rtl w:val="0"/>
        </w:rPr>
        <w:t>T</w:t>
      </w:r>
      <w:r>
        <w:rPr>
          <w:rFonts w:ascii="Times New Roman" w:hAnsi="Times New Roman" w:hint="default"/>
          <w:b w:val="1"/>
          <w:bCs w:val="1"/>
          <w:sz w:val="32"/>
          <w:szCs w:val="32"/>
          <w:rtl w:val="0"/>
          <w:lang w:val="ru-RU"/>
        </w:rPr>
        <w:t>зап по минимуму функционала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Структурная схема эквивалентной модели с блоком </w:t>
      </w: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>зап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143500" cy="876300"/>
            <wp:effectExtent l="0" t="0" r="0" b="0"/>
            <wp:docPr id="1073741829" name="officeArt object" descr="Структурная схема эквивалентной модели системы&#10;&#10;Структурная схема эквивалентной модели систем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Структурная схема эквивалентной модели системыСтруктурная схема эквивалентной модели системы" descr="Структурная схема эквивалентной модели системыСтруктурная схема эквивалентной модели системы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8763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4a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– Структурная схема эквивалентной модели системы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Рассматриваются значения</w:t>
      </w:r>
      <w:r>
        <w:rPr>
          <w:rFonts w:ascii="Times New Roman" w:hAnsi="Times New Roman"/>
          <w:sz w:val="24"/>
          <w:szCs w:val="24"/>
          <w:rtl w:val="0"/>
        </w:rPr>
        <w:t>: 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sz w:val="24"/>
          <w:szCs w:val="24"/>
          <w:rtl w:val="0"/>
        </w:rPr>
        <w:t>= 0,1T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>; 0,4T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>; 0,9T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Минимизируется функционал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i w:val="1"/>
          <w:iCs w:val="1"/>
          <w:sz w:val="24"/>
          <w:szCs w:val="24"/>
          <w:rtl w:val="0"/>
        </w:rPr>
        <w:t xml:space="preserve">F = 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>∫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 xml:space="preserve">ᵀ |y(t) 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 xml:space="preserve">−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y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  <w:lang w:val="ru-RU"/>
        </w:rPr>
        <w:t>э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(t)| dt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0,1T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143500" cy="3095625"/>
            <wp:effectExtent l="0" t="0" r="0" b="0"/>
            <wp:docPr id="1073741830" name="officeArt object" descr="Сравнение процессов при Tзап = 0,1T₀&#10;&#10;Сравнение процессов при Tзап = 0,1T₀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Сравнение процессов при Tзап = 0,1T₀Сравнение процессов при Tзап = 0,1T₀" descr="Сравнение процессов при Tзап = 0,1T₀Сравнение процессов при Tзап = 0,1T₀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95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3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Сравнение процессов при </w:t>
      </w:r>
      <w:r>
        <w:rPr>
          <w:rFonts w:ascii="Times New Roman" w:hAnsi="Times New Roman"/>
          <w:i w:val="1"/>
          <w:iCs w:val="1"/>
          <w:rtl w:val="0"/>
        </w:rPr>
        <w:t>T</w:t>
      </w:r>
      <w:r>
        <w:rPr>
          <w:rFonts w:ascii="Times New Roman" w:hAnsi="Times New Roman" w:hint="default"/>
          <w:i w:val="1"/>
          <w:iCs w:val="1"/>
          <w:rtl w:val="0"/>
        </w:rPr>
        <w:t xml:space="preserve">зап </w:t>
      </w:r>
      <w:r>
        <w:rPr>
          <w:rFonts w:ascii="Times New Roman" w:hAnsi="Times New Roman"/>
          <w:i w:val="1"/>
          <w:iCs w:val="1"/>
          <w:rtl w:val="0"/>
        </w:rPr>
        <w:t>= 0,1T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0,4T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143500" cy="3095625"/>
            <wp:effectExtent l="0" t="0" r="0" b="0"/>
            <wp:docPr id="1073741831" name="officeArt object" descr="Сравнение процессов при Tзап = 0,4T₀&#10;&#10;Сравнение процессов при Tзап = 0,4T₀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Сравнение процессов при Tзап = 0,4T₀Сравнение процессов при Tзап = 0,4T₀" descr="Сравнение процессов при Tзап = 0,4T₀Сравнение процессов при Tзап = 0,4T₀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95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4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Сравнение процессов при </w:t>
      </w:r>
      <w:r>
        <w:rPr>
          <w:rFonts w:ascii="Times New Roman" w:hAnsi="Times New Roman"/>
          <w:i w:val="1"/>
          <w:iCs w:val="1"/>
          <w:rtl w:val="0"/>
        </w:rPr>
        <w:t>T</w:t>
      </w:r>
      <w:r>
        <w:rPr>
          <w:rFonts w:ascii="Times New Roman" w:hAnsi="Times New Roman" w:hint="default"/>
          <w:i w:val="1"/>
          <w:iCs w:val="1"/>
          <w:rtl w:val="0"/>
        </w:rPr>
        <w:t xml:space="preserve">зап </w:t>
      </w:r>
      <w:r>
        <w:rPr>
          <w:rFonts w:ascii="Times New Roman" w:hAnsi="Times New Roman"/>
          <w:i w:val="1"/>
          <w:iCs w:val="1"/>
          <w:rtl w:val="0"/>
        </w:rPr>
        <w:t>= 0,4T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0,9T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143500" cy="3095625"/>
            <wp:effectExtent l="0" t="0" r="0" b="0"/>
            <wp:docPr id="1073741832" name="officeArt object" descr="Сравнение процессов при Tзап = 0,9T₀&#10;&#10;Сравнение процессов при Tзап = 0,9T₀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Сравнение процессов при Tзап = 0,9T₀Сравнение процессов при Tзап = 0,9T₀" descr="Сравнение процессов при Tзап = 0,9T₀Сравнение процессов при Tзап = 0,9T₀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95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5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Сравнение процессов при </w:t>
      </w:r>
      <w:r>
        <w:rPr>
          <w:rFonts w:ascii="Times New Roman" w:hAnsi="Times New Roman"/>
          <w:i w:val="1"/>
          <w:iCs w:val="1"/>
          <w:rtl w:val="0"/>
        </w:rPr>
        <w:t>T</w:t>
      </w:r>
      <w:r>
        <w:rPr>
          <w:rFonts w:ascii="Times New Roman" w:hAnsi="Times New Roman" w:hint="default"/>
          <w:i w:val="1"/>
          <w:iCs w:val="1"/>
          <w:rtl w:val="0"/>
        </w:rPr>
        <w:t xml:space="preserve">зап </w:t>
      </w:r>
      <w:r>
        <w:rPr>
          <w:rFonts w:ascii="Times New Roman" w:hAnsi="Times New Roman"/>
          <w:i w:val="1"/>
          <w:iCs w:val="1"/>
          <w:rtl w:val="0"/>
        </w:rPr>
        <w:t>= 0,9T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Таблица </w:t>
      </w:r>
      <w:r>
        <w:rPr>
          <w:rFonts w:ascii="Times New Roman" w:hAnsi="Times New Roman"/>
          <w:i w:val="1"/>
          <w:iCs w:val="1"/>
          <w:rtl w:val="0"/>
        </w:rPr>
        <w:t xml:space="preserve">2 </w:t>
      </w:r>
      <w:r>
        <w:rPr>
          <w:rFonts w:ascii="Times New Roman" w:hAnsi="Times New Roman" w:hint="default"/>
          <w:i w:val="1"/>
          <w:iCs w:val="1"/>
          <w:rtl w:val="0"/>
        </w:rPr>
        <w:t xml:space="preserve">– Значения функционала </w:t>
      </w:r>
      <w:r>
        <w:rPr>
          <w:rFonts w:ascii="Times New Roman" w:hAnsi="Times New Roman"/>
          <w:i w:val="1"/>
          <w:iCs w:val="1"/>
          <w:rtl w:val="0"/>
        </w:rPr>
        <w:t>F</w:t>
      </w:r>
    </w:p>
    <w:tbl>
      <w:tblPr>
        <w:tblW w:w="902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507"/>
        <w:gridCol w:w="2173"/>
        <w:gridCol w:w="2173"/>
        <w:gridCol w:w="2173"/>
      </w:tblGrid>
      <w:tr>
        <w:tblPrEx>
          <w:shd w:val="clear" w:color="auto" w:fill="ced7e7"/>
        </w:tblPrEx>
        <w:trPr>
          <w:trHeight w:val="281" w:hRule="atLeast"/>
        </w:trPr>
        <w:tc>
          <w:tcPr>
            <w:tcW w:type="dxa" w:w="250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T</w:t>
            </w:r>
            <w:r>
              <w:rPr>
                <w:rFonts w:ascii="Times New Roman" w:hAnsi="Times New Roman" w:hint="default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зап</w:t>
            </w:r>
          </w:p>
        </w:tc>
        <w:tc>
          <w:tcPr>
            <w:tcW w:type="dxa" w:w="217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0,1T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z w:val="22"/>
                <w:szCs w:val="22"/>
                <w:u w:color="000000"/>
                <w:shd w:val="nil" w:color="auto" w:fill="auto"/>
                <w:rtl w:val="0"/>
              </w:rPr>
              <w:t>₀</w:t>
            </w:r>
          </w:p>
        </w:tc>
        <w:tc>
          <w:tcPr>
            <w:tcW w:type="dxa" w:w="217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0,4T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z w:val="22"/>
                <w:szCs w:val="22"/>
                <w:u w:color="000000"/>
                <w:shd w:val="nil" w:color="auto" w:fill="auto"/>
                <w:rtl w:val="0"/>
              </w:rPr>
              <w:t>₀</w:t>
            </w:r>
          </w:p>
        </w:tc>
        <w:tc>
          <w:tcPr>
            <w:tcW w:type="dxa" w:w="217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0,9T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z w:val="22"/>
                <w:szCs w:val="22"/>
                <w:u w:color="000000"/>
                <w:shd w:val="nil" w:color="auto" w:fill="auto"/>
                <w:rtl w:val="0"/>
              </w:rPr>
              <w:t>₀</w:t>
            </w:r>
          </w:p>
        </w:tc>
      </w:tr>
      <w:tr>
        <w:tblPrEx>
          <w:shd w:val="clear" w:color="auto" w:fill="ced7e7"/>
        </w:tblPrEx>
        <w:trPr>
          <w:trHeight w:val="251" w:hRule="atLeast"/>
        </w:trPr>
        <w:tc>
          <w:tcPr>
            <w:tcW w:type="dxa" w:w="250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F</w:t>
            </w:r>
          </w:p>
        </w:tc>
        <w:tc>
          <w:tcPr>
            <w:tcW w:type="dxa" w:w="217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0.410</w:t>
            </w:r>
          </w:p>
        </w:tc>
        <w:tc>
          <w:tcPr>
            <w:tcW w:type="dxa" w:w="217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0.239</w:t>
            </w:r>
          </w:p>
        </w:tc>
        <w:tc>
          <w:tcPr>
            <w:tcW w:type="dxa" w:w="217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0.688</w:t>
            </w:r>
          </w:p>
        </w:tc>
      </w:tr>
    </w:tbl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Минимальное значение функционала достигается при</w:t>
      </w:r>
      <w:r>
        <w:rPr>
          <w:rFonts w:ascii="Times New Roman" w:hAnsi="Times New Roman"/>
          <w:sz w:val="24"/>
          <w:szCs w:val="24"/>
          <w:rtl w:val="0"/>
        </w:rPr>
        <w:t>: 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sz w:val="24"/>
          <w:szCs w:val="24"/>
          <w:rtl w:val="0"/>
        </w:rPr>
        <w:t>= 0,4T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 xml:space="preserve">График зависимости функционала </w:t>
      </w:r>
      <w:r>
        <w:rPr>
          <w:rFonts w:ascii="Times New Roman" w:hAnsi="Times New Roman"/>
          <w:sz w:val="24"/>
          <w:szCs w:val="24"/>
          <w:rtl w:val="0"/>
        </w:rPr>
        <w:t xml:space="preserve">F 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от </w:t>
      </w: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>зап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143500" cy="3095625"/>
            <wp:effectExtent l="0" t="0" r="0" b="0"/>
            <wp:docPr id="1073741833" name="officeArt object" descr="Зависимость функционала F от Tзап&#10;&#10;Зависимость функционала F от Tзап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Зависимость функционала F от TзапЗависимость функционала F от Tзап" descr="Зависимость функционала F от TзапЗависимость функционала F от Tзап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95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4b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Зависимость функционала </w:t>
      </w:r>
      <w:r>
        <w:rPr>
          <w:rFonts w:ascii="Times New Roman" w:hAnsi="Times New Roman"/>
          <w:i w:val="1"/>
          <w:iCs w:val="1"/>
          <w:rtl w:val="0"/>
        </w:rPr>
        <w:t xml:space="preserve">F </w:t>
      </w:r>
      <w:r>
        <w:rPr>
          <w:rFonts w:ascii="Times New Roman" w:hAnsi="Times New Roman" w:hint="default"/>
          <w:i w:val="1"/>
          <w:iCs w:val="1"/>
          <w:rtl w:val="0"/>
        </w:rPr>
        <w:t xml:space="preserve">от </w:t>
      </w:r>
      <w:r>
        <w:rPr>
          <w:rFonts w:ascii="Times New Roman" w:hAnsi="Times New Roman"/>
          <w:i w:val="1"/>
          <w:iCs w:val="1"/>
          <w:rtl w:val="0"/>
        </w:rPr>
        <w:t>T</w:t>
      </w:r>
      <w:r>
        <w:rPr>
          <w:rFonts w:ascii="Times New Roman" w:hAnsi="Times New Roman" w:hint="default"/>
          <w:i w:val="1"/>
          <w:iCs w:val="1"/>
          <w:rtl w:val="0"/>
        </w:rPr>
        <w:t>зап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32"/>
          <w:szCs w:val="32"/>
          <w:rtl w:val="0"/>
        </w:rPr>
        <w:t xml:space="preserve">5. </w:t>
      </w:r>
      <w:r>
        <w:rPr>
          <w:rFonts w:ascii="Times New Roman" w:hAnsi="Times New Roman" w:hint="default"/>
          <w:b w:val="1"/>
          <w:bCs w:val="1"/>
          <w:sz w:val="32"/>
          <w:szCs w:val="32"/>
          <w:rtl w:val="0"/>
          <w:lang w:val="ru-RU"/>
        </w:rPr>
        <w:t xml:space="preserve">Настройка по оптимуму по модулю </w:t>
      </w:r>
      <w:r>
        <w:rPr>
          <w:rFonts w:ascii="Times New Roman" w:hAnsi="Times New Roman"/>
          <w:b w:val="1"/>
          <w:bCs w:val="1"/>
          <w:sz w:val="32"/>
          <w:szCs w:val="32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32"/>
          <w:szCs w:val="32"/>
          <w:rtl w:val="0"/>
        </w:rPr>
        <w:t xml:space="preserve">ε </w:t>
      </w:r>
      <w:r>
        <w:rPr>
          <w:rFonts w:ascii="Times New Roman" w:hAnsi="Times New Roman"/>
          <w:b w:val="1"/>
          <w:bCs w:val="1"/>
          <w:sz w:val="32"/>
          <w:szCs w:val="32"/>
          <w:rtl w:val="0"/>
        </w:rPr>
        <w:t>= 0)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Малая некомпенсированная постоянная времени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T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 xml:space="preserve">μ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=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+ T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>зап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1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143500" cy="3095625"/>
            <wp:effectExtent l="0" t="0" r="0" b="0"/>
            <wp:docPr id="1073741834" name="officeArt object" descr="Оптимум по модулю при T₁ = 1&#10;&#10;Оптимум по модулю при T₁ =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Оптимум по модулю при T₁ = 1Оптимум по модулю при T₁ = 1" descr="Оптимум по модулю при T₁ = 1Оптимум по модулю при T₁ = 1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95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6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Оптимум по модулю при </w:t>
      </w:r>
      <w:r>
        <w:rPr>
          <w:rFonts w:ascii="Times New Roman" w:hAnsi="Times New Roman"/>
          <w:i w:val="1"/>
          <w:iCs w:val="1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₁</w:t>
      </w:r>
      <w:r>
        <w:rPr>
          <w:rFonts w:ascii="Times New Roman" w:hAnsi="Times New Roman"/>
          <w:i w:val="1"/>
          <w:iCs w:val="1"/>
          <w:rtl w:val="0"/>
        </w:rPr>
        <w:t xml:space="preserve"> </w:t>
      </w:r>
      <w:r>
        <w:rPr>
          <w:rFonts w:ascii="Times New Roman" w:hAnsi="Times New Roman"/>
          <w:i w:val="1"/>
          <w:iCs w:val="1"/>
          <w:rtl w:val="0"/>
        </w:rPr>
        <w:t>= 1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0.5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143500" cy="3095625"/>
            <wp:effectExtent l="0" t="0" r="0" b="0"/>
            <wp:docPr id="1073741835" name="officeArt object" descr="Оптимум по модулю при T₁ = 0.5&#10;&#10;Оптимум по модулю при T₁ = 0.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Оптимум по модулю при T₁ = 0.5Оптимум по модулю при T₁ = 0.5" descr="Оптимум по модулю при T₁ = 0.5Оптимум по модулю при T₁ = 0.5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95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  <w:lang w:val="ru-RU"/>
        </w:rPr>
        <w:t xml:space="preserve">7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Оптимум по модулю при </w:t>
      </w:r>
      <w:r>
        <w:rPr>
          <w:rFonts w:ascii="Times New Roman" w:hAnsi="Times New Roman"/>
          <w:i w:val="1"/>
          <w:iCs w:val="1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₁</w:t>
      </w:r>
      <w:r>
        <w:rPr>
          <w:rFonts w:ascii="Times New Roman" w:hAnsi="Times New Roman"/>
          <w:i w:val="1"/>
          <w:iCs w:val="1"/>
          <w:rtl w:val="0"/>
        </w:rPr>
        <w:t xml:space="preserve"> </w:t>
      </w:r>
      <w:r>
        <w:rPr>
          <w:rFonts w:ascii="Times New Roman" w:hAnsi="Times New Roman"/>
          <w:i w:val="1"/>
          <w:iCs w:val="1"/>
          <w:rtl w:val="0"/>
        </w:rPr>
        <w:t>= 0.5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Таблица </w:t>
      </w:r>
      <w:r>
        <w:rPr>
          <w:rFonts w:ascii="Times New Roman" w:hAnsi="Times New Roman"/>
          <w:i w:val="1"/>
          <w:iCs w:val="1"/>
          <w:rtl w:val="0"/>
        </w:rPr>
        <w:t xml:space="preserve">3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– Параметры переходных процессов</w:t>
      </w:r>
    </w:p>
    <w:tbl>
      <w:tblPr>
        <w:tblW w:w="902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55"/>
        <w:gridCol w:w="1893"/>
        <w:gridCol w:w="1893"/>
        <w:gridCol w:w="1892"/>
        <w:gridCol w:w="1993"/>
      </w:tblGrid>
      <w:tr>
        <w:tblPrEx>
          <w:shd w:val="clear" w:color="auto" w:fill="ced7e7"/>
        </w:tblPrEx>
        <w:trPr>
          <w:trHeight w:val="281" w:hRule="atLeast"/>
        </w:trPr>
        <w:tc>
          <w:tcPr>
            <w:tcW w:type="dxa" w:w="13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T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z w:val="22"/>
                <w:szCs w:val="22"/>
                <w:u w:color="000000"/>
                <w:shd w:val="nil" w:color="auto" w:fill="auto"/>
                <w:rtl w:val="0"/>
              </w:rPr>
              <w:t>₁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T</w:t>
            </w:r>
            <w:r>
              <w:rPr>
                <w:rFonts w:ascii="Times New Roman" w:hAnsi="Times New Roman" w:hint="default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μ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 xml:space="preserve">tp1, </w:t>
            </w:r>
            <w:r>
              <w:rPr>
                <w:rFonts w:ascii="Times New Roman" w:hAnsi="Times New Roman" w:hint="default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с</w:t>
            </w:r>
          </w:p>
        </w:tc>
        <w:tc>
          <w:tcPr>
            <w:tcW w:type="dxa" w:w="18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 xml:space="preserve">tp2, </w:t>
            </w:r>
            <w:r>
              <w:rPr>
                <w:rFonts w:ascii="Times New Roman" w:hAnsi="Times New Roman" w:hint="default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с</w:t>
            </w:r>
          </w:p>
        </w:tc>
        <w:tc>
          <w:tcPr>
            <w:tcW w:type="dxa" w:w="19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 w:hint="default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Δ</w:t>
            </w: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y, %</w:t>
            </w:r>
          </w:p>
        </w:tc>
      </w:tr>
      <w:tr>
        <w:tblPrEx>
          <w:shd w:val="clear" w:color="auto" w:fill="ced7e7"/>
        </w:tblPrEx>
        <w:trPr>
          <w:trHeight w:val="251" w:hRule="atLeast"/>
        </w:trPr>
        <w:tc>
          <w:tcPr>
            <w:tcW w:type="dxa" w:w="13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1.025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2.467</w:t>
            </w:r>
          </w:p>
        </w:tc>
        <w:tc>
          <w:tcPr>
            <w:tcW w:type="dxa" w:w="18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6.155</w:t>
            </w:r>
          </w:p>
        </w:tc>
        <w:tc>
          <w:tcPr>
            <w:tcW w:type="dxa" w:w="19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15.82</w:t>
            </w:r>
          </w:p>
        </w:tc>
      </w:tr>
      <w:tr>
        <w:tblPrEx>
          <w:shd w:val="clear" w:color="auto" w:fill="ced7e7"/>
        </w:tblPrEx>
        <w:trPr>
          <w:trHeight w:val="251" w:hRule="atLeast"/>
        </w:trPr>
        <w:tc>
          <w:tcPr>
            <w:tcW w:type="dxa" w:w="13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0.5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0.525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1.258</w:t>
            </w:r>
          </w:p>
        </w:tc>
        <w:tc>
          <w:tcPr>
            <w:tcW w:type="dxa" w:w="18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3.132</w:t>
            </w:r>
          </w:p>
        </w:tc>
        <w:tc>
          <w:tcPr>
            <w:tcW w:type="dxa" w:w="19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15.35</w:t>
            </w:r>
          </w:p>
        </w:tc>
      </w:tr>
    </w:tbl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Перерегулирование уменьшается по сравнению с методом переоборудования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32"/>
          <w:szCs w:val="32"/>
          <w:rtl w:val="0"/>
        </w:rPr>
        <w:t xml:space="preserve">6. </w:t>
      </w:r>
      <w:r>
        <w:rPr>
          <w:rFonts w:ascii="Times New Roman" w:hAnsi="Times New Roman" w:hint="default"/>
          <w:b w:val="1"/>
          <w:bCs w:val="1"/>
          <w:sz w:val="32"/>
          <w:szCs w:val="32"/>
          <w:rtl w:val="0"/>
          <w:lang w:val="ru-RU"/>
        </w:rPr>
        <w:t xml:space="preserve">Учет вычислительной задержки ε </w:t>
      </w:r>
      <w:r>
        <w:rPr>
          <w:rFonts w:ascii="Times New Roman" w:hAnsi="Times New Roman"/>
          <w:b w:val="1"/>
          <w:bCs w:val="1"/>
          <w:sz w:val="32"/>
          <w:szCs w:val="32"/>
          <w:rtl w:val="0"/>
        </w:rPr>
        <w:t>=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32"/>
          <w:szCs w:val="32"/>
          <w:rtl w:val="0"/>
        </w:rPr>
        <w:t>₀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Структурная схема системы с вычислительной задержкой ε </w:t>
      </w:r>
      <w:r>
        <w:rPr>
          <w:rFonts w:ascii="Times New Roman" w:hAnsi="Times New Roman"/>
          <w:sz w:val="24"/>
          <w:szCs w:val="24"/>
          <w:rtl w:val="0"/>
        </w:rPr>
        <w:t>=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143500" cy="1133475"/>
            <wp:effectExtent l="0" t="0" r="0" b="0"/>
            <wp:docPr id="1073741836" name="officeArt object" descr="Структурная схема системы с задержкой ε = T₀&#10;&#10;Структурная схема системы с задержкой ε = T₀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Структурная схема системы с задержкой ε = T₀Структурная схема системы с задержкой ε = T₀" descr="Структурная схема системы с задержкой ε = T₀Структурная схема системы с задержкой ε = T₀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1334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6a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Структурная схема системы с задержкой ε </w:t>
      </w:r>
      <w:r>
        <w:rPr>
          <w:rFonts w:ascii="Times New Roman" w:hAnsi="Times New Roman"/>
          <w:i w:val="1"/>
          <w:iCs w:val="1"/>
          <w:rtl w:val="0"/>
        </w:rPr>
        <w:t>=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Малая некомпенсированная постоянная времени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T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 xml:space="preserve">μ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=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+ T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+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1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143500" cy="3095625"/>
            <wp:effectExtent l="0" t="0" r="0" b="0"/>
            <wp:docPr id="1073741837" name="officeArt object" descr="Переходный процесс при ε = T₀, T₁ = 1&#10;&#10;Переходный процесс при ε = T₀, T₁ =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Переходный процесс при ε = T₀, T₁ = 1Переходный процесс при ε = T₀, T₁ = 1" descr="Переходный процесс при ε = T₀, T₁ = 1Переходный процесс при ε = T₀, T₁ = 1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95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8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Переходный процесс при ε </w:t>
      </w:r>
      <w:r>
        <w:rPr>
          <w:rFonts w:ascii="Times New Roman" w:hAnsi="Times New Roman"/>
          <w:i w:val="1"/>
          <w:iCs w:val="1"/>
          <w:rtl w:val="0"/>
        </w:rPr>
        <w:t>=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  <w:r>
        <w:rPr>
          <w:rFonts w:ascii="Times New Roman" w:hAnsi="Times New Roman"/>
          <w:i w:val="1"/>
          <w:iCs w:val="1"/>
          <w:rtl w:val="0"/>
        </w:rPr>
        <w:t>,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₁</w:t>
      </w:r>
      <w:r>
        <w:rPr>
          <w:rFonts w:ascii="Times New Roman" w:hAnsi="Times New Roman"/>
          <w:i w:val="1"/>
          <w:iCs w:val="1"/>
          <w:rtl w:val="0"/>
        </w:rPr>
        <w:t xml:space="preserve"> </w:t>
      </w:r>
      <w:r>
        <w:rPr>
          <w:rFonts w:ascii="Times New Roman" w:hAnsi="Times New Roman"/>
          <w:i w:val="1"/>
          <w:iCs w:val="1"/>
          <w:rtl w:val="0"/>
        </w:rPr>
        <w:t>= 1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0.5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143500" cy="3095625"/>
            <wp:effectExtent l="0" t="0" r="0" b="0"/>
            <wp:docPr id="1073741838" name="officeArt object" descr="Переходный процесс при ε = T₀, T₁ = 0.5&#10;&#10;Переходный процесс при ε = T₀, T₁ = 0.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Переходный процесс при ε = T₀, T₁ = 0.5Переходный процесс при ε = T₀, T₁ = 0.5" descr="Переходный процесс при ε = T₀, T₁ = 0.5Переходный процесс при ε = T₀, T₁ = 0.5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95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9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Переходный процесс при ε </w:t>
      </w:r>
      <w:r>
        <w:rPr>
          <w:rFonts w:ascii="Times New Roman" w:hAnsi="Times New Roman"/>
          <w:i w:val="1"/>
          <w:iCs w:val="1"/>
          <w:rtl w:val="0"/>
        </w:rPr>
        <w:t>=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  <w:r>
        <w:rPr>
          <w:rFonts w:ascii="Times New Roman" w:hAnsi="Times New Roman"/>
          <w:i w:val="1"/>
          <w:iCs w:val="1"/>
          <w:rtl w:val="0"/>
        </w:rPr>
        <w:t>,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₁</w:t>
      </w:r>
      <w:r>
        <w:rPr>
          <w:rFonts w:ascii="Times New Roman" w:hAnsi="Times New Roman"/>
          <w:i w:val="1"/>
          <w:iCs w:val="1"/>
          <w:rtl w:val="0"/>
        </w:rPr>
        <w:t xml:space="preserve"> </w:t>
      </w:r>
      <w:r>
        <w:rPr>
          <w:rFonts w:ascii="Times New Roman" w:hAnsi="Times New Roman"/>
          <w:i w:val="1"/>
          <w:iCs w:val="1"/>
          <w:rtl w:val="0"/>
        </w:rPr>
        <w:t>= 0.5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Таблица </w:t>
      </w:r>
      <w:r>
        <w:rPr>
          <w:rFonts w:ascii="Times New Roman" w:hAnsi="Times New Roman"/>
          <w:i w:val="1"/>
          <w:iCs w:val="1"/>
          <w:rtl w:val="0"/>
        </w:rPr>
        <w:t xml:space="preserve">4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– Параметры переходных процессов</w:t>
      </w:r>
    </w:p>
    <w:tbl>
      <w:tblPr>
        <w:tblW w:w="902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55"/>
        <w:gridCol w:w="1893"/>
        <w:gridCol w:w="1893"/>
        <w:gridCol w:w="1892"/>
        <w:gridCol w:w="1993"/>
      </w:tblGrid>
      <w:tr>
        <w:tblPrEx>
          <w:shd w:val="clear" w:color="auto" w:fill="ced7e7"/>
        </w:tblPrEx>
        <w:trPr>
          <w:trHeight w:val="281" w:hRule="atLeast"/>
        </w:trPr>
        <w:tc>
          <w:tcPr>
            <w:tcW w:type="dxa" w:w="13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T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z w:val="22"/>
                <w:szCs w:val="22"/>
                <w:u w:color="000000"/>
                <w:shd w:val="nil" w:color="auto" w:fill="auto"/>
                <w:rtl w:val="0"/>
              </w:rPr>
              <w:t>₁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T</w:t>
            </w:r>
            <w:r>
              <w:rPr>
                <w:rFonts w:ascii="Times New Roman" w:hAnsi="Times New Roman" w:hint="default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μ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 xml:space="preserve">tp1, </w:t>
            </w:r>
            <w:r>
              <w:rPr>
                <w:rFonts w:ascii="Times New Roman" w:hAnsi="Times New Roman" w:hint="default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с</w:t>
            </w:r>
          </w:p>
        </w:tc>
        <w:tc>
          <w:tcPr>
            <w:tcW w:type="dxa" w:w="18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 xml:space="preserve">tp2, </w:t>
            </w:r>
            <w:r>
              <w:rPr>
                <w:rFonts w:ascii="Times New Roman" w:hAnsi="Times New Roman" w:hint="default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с</w:t>
            </w:r>
          </w:p>
        </w:tc>
        <w:tc>
          <w:tcPr>
            <w:tcW w:type="dxa" w:w="19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 w:hint="default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Δ</w:t>
            </w: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u w:color="000000"/>
                <w:shd w:val="nil" w:color="auto" w:fill="auto"/>
                <w:rtl w:val="0"/>
              </w:rPr>
              <w:t>y, %</w:t>
            </w:r>
          </w:p>
        </w:tc>
      </w:tr>
      <w:tr>
        <w:tblPrEx>
          <w:shd w:val="clear" w:color="auto" w:fill="ced7e7"/>
        </w:tblPrEx>
        <w:trPr>
          <w:trHeight w:val="251" w:hRule="atLeast"/>
        </w:trPr>
        <w:tc>
          <w:tcPr>
            <w:tcW w:type="dxa" w:w="13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2.100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5.006</w:t>
            </w:r>
          </w:p>
        </w:tc>
        <w:tc>
          <w:tcPr>
            <w:tcW w:type="dxa" w:w="18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11.612</w:t>
            </w:r>
          </w:p>
        </w:tc>
        <w:tc>
          <w:tcPr>
            <w:tcW w:type="dxa" w:w="19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3.68</w:t>
            </w:r>
          </w:p>
        </w:tc>
      </w:tr>
      <w:tr>
        <w:tblPrEx>
          <w:shd w:val="clear" w:color="auto" w:fill="ced7e7"/>
        </w:tblPrEx>
        <w:trPr>
          <w:trHeight w:val="251" w:hRule="atLeast"/>
        </w:trPr>
        <w:tc>
          <w:tcPr>
            <w:tcW w:type="dxa" w:w="13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0.5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1.050</w:t>
            </w:r>
          </w:p>
        </w:tc>
        <w:tc>
          <w:tcPr>
            <w:tcW w:type="dxa" w:w="18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2.503</w:t>
            </w:r>
          </w:p>
        </w:tc>
        <w:tc>
          <w:tcPr>
            <w:tcW w:type="dxa" w:w="18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5.806</w:t>
            </w:r>
          </w:p>
        </w:tc>
        <w:tc>
          <w:tcPr>
            <w:tcW w:type="dxa" w:w="199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2"/>
                <w:szCs w:val="22"/>
                <w:u w:color="000000"/>
                <w:shd w:val="nil" w:color="auto" w:fill="auto"/>
                <w:rtl w:val="0"/>
              </w:rPr>
              <w:t>3.68</w:t>
            </w:r>
          </w:p>
        </w:tc>
      </w:tr>
    </w:tbl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Учет вычислительной задержки приводит к существенному снижению перерегулирования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32"/>
          <w:szCs w:val="32"/>
          <w:rtl w:val="0"/>
        </w:rPr>
        <w:t xml:space="preserve">7. </w:t>
      </w:r>
      <w:r>
        <w:rPr>
          <w:rFonts w:ascii="Times New Roman" w:hAnsi="Times New Roman" w:hint="default"/>
          <w:b w:val="1"/>
          <w:bCs w:val="1"/>
          <w:sz w:val="32"/>
          <w:szCs w:val="32"/>
          <w:rtl w:val="0"/>
          <w:lang w:val="ru-RU"/>
        </w:rPr>
        <w:t>Биномиальная настройка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1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143500" cy="3095625"/>
            <wp:effectExtent l="0" t="0" r="0" b="0"/>
            <wp:docPr id="1073741839" name="officeArt object" descr="Биномиальная настройка при T₁ = 1&#10;&#10;Биномиальная настройка при T₁ =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Биномиальная настройка при T₁ = 1Биномиальная настройка при T₁ = 1" descr="Биномиальная настройка при T₁ = 1Биномиальная настройка при T₁ = 1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95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10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Биномиальная настройка при </w:t>
      </w:r>
      <w:r>
        <w:rPr>
          <w:rFonts w:ascii="Times New Roman" w:hAnsi="Times New Roman"/>
          <w:i w:val="1"/>
          <w:iCs w:val="1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₁</w:t>
      </w:r>
      <w:r>
        <w:rPr>
          <w:rFonts w:ascii="Times New Roman" w:hAnsi="Times New Roman"/>
          <w:i w:val="1"/>
          <w:iCs w:val="1"/>
          <w:rtl w:val="0"/>
        </w:rPr>
        <w:t xml:space="preserve"> </w:t>
      </w:r>
      <w:r>
        <w:rPr>
          <w:rFonts w:ascii="Times New Roman" w:hAnsi="Times New Roman"/>
          <w:i w:val="1"/>
          <w:iCs w:val="1"/>
          <w:rtl w:val="0"/>
        </w:rPr>
        <w:t>= 1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0.5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143500" cy="3095625"/>
            <wp:effectExtent l="0" t="0" r="0" b="0"/>
            <wp:docPr id="1073741840" name="officeArt object" descr="Биномиальная настройка при T₁ = 0.5&#10;&#10;Биномиальная настройка при T₁ = 0.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Биномиальная настройка при T₁ = 0.5Биномиальная настройка при T₁ = 0.5" descr="Биномиальная настройка при T₁ = 0.5Биномиальная настройка при T₁ = 0.5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95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11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Биномиальная настройка при </w:t>
      </w:r>
      <w:r>
        <w:rPr>
          <w:rFonts w:ascii="Times New Roman" w:hAnsi="Times New Roman"/>
          <w:i w:val="1"/>
          <w:iCs w:val="1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₁</w:t>
      </w:r>
      <w:r>
        <w:rPr>
          <w:rFonts w:ascii="Times New Roman" w:hAnsi="Times New Roman"/>
          <w:i w:val="1"/>
          <w:iCs w:val="1"/>
          <w:rtl w:val="0"/>
        </w:rPr>
        <w:t xml:space="preserve"> </w:t>
      </w:r>
      <w:r>
        <w:rPr>
          <w:rFonts w:ascii="Times New Roman" w:hAnsi="Times New Roman"/>
          <w:i w:val="1"/>
          <w:iCs w:val="1"/>
          <w:rtl w:val="0"/>
        </w:rPr>
        <w:t>= 0.5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Биномиальная настройка обеспечивает апериодический характер переходного процесса без перерегулирования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32"/>
          <w:szCs w:val="32"/>
          <w:rtl w:val="0"/>
        </w:rPr>
        <w:t xml:space="preserve">8. </w:t>
      </w:r>
      <w:r>
        <w:rPr>
          <w:rFonts w:ascii="Times New Roman" w:hAnsi="Times New Roman" w:hint="default"/>
          <w:b w:val="1"/>
          <w:bCs w:val="1"/>
          <w:sz w:val="32"/>
          <w:szCs w:val="32"/>
          <w:rtl w:val="0"/>
          <w:lang w:val="ru-RU"/>
        </w:rPr>
        <w:t>Исследование работы И</w:t>
      </w:r>
      <w:r>
        <w:rPr>
          <w:rFonts w:ascii="Times New Roman" w:hAnsi="Times New Roman"/>
          <w:b w:val="1"/>
          <w:bCs w:val="1"/>
          <w:sz w:val="32"/>
          <w:szCs w:val="32"/>
          <w:rtl w:val="0"/>
        </w:rPr>
        <w:t>-</w:t>
      </w:r>
      <w:r>
        <w:rPr>
          <w:rFonts w:ascii="Times New Roman" w:hAnsi="Times New Roman" w:hint="default"/>
          <w:b w:val="1"/>
          <w:bCs w:val="1"/>
          <w:sz w:val="32"/>
          <w:szCs w:val="32"/>
          <w:rtl w:val="0"/>
        </w:rPr>
        <w:t>регулятора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143500" cy="3095625"/>
            <wp:effectExtent l="0" t="0" r="0" b="0"/>
            <wp:docPr id="1073741841" name="officeArt object" descr="Работа регуляторов при постоянном воздействии (ε = T₀)&#10;&#10;Работа регуляторов при постоянном воздействии (ε = T₀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Работа регуляторов при постоянном воздействии (ε = T₀)Работа регуляторов при постоянном воздействии (ε = T₀)" descr="Работа регуляторов при постоянном воздействии (ε = T₀)Работа регуляторов при постоянном воздействии (ε = T₀)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95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12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Работа регуляторов при постоянном воздействии </w:t>
      </w:r>
      <w:r>
        <w:rPr>
          <w:rFonts w:ascii="Times New Roman" w:hAnsi="Times New Roman"/>
          <w:i w:val="1"/>
          <w:iCs w:val="1"/>
          <w:rtl w:val="0"/>
        </w:rPr>
        <w:t>(</w:t>
      </w:r>
      <w:r>
        <w:rPr>
          <w:rFonts w:ascii="Times New Roman" w:hAnsi="Times New Roman" w:hint="default"/>
          <w:i w:val="1"/>
          <w:iCs w:val="1"/>
          <w:rtl w:val="0"/>
        </w:rPr>
        <w:t xml:space="preserve">ε </w:t>
      </w:r>
      <w:r>
        <w:rPr>
          <w:rFonts w:ascii="Times New Roman" w:hAnsi="Times New Roman"/>
          <w:i w:val="1"/>
          <w:iCs w:val="1"/>
          <w:rtl w:val="0"/>
        </w:rPr>
        <w:t>=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  <w:r>
        <w:rPr>
          <w:rFonts w:ascii="Times New Roman" w:hAnsi="Times New Roman"/>
          <w:i w:val="1"/>
          <w:iCs w:val="1"/>
          <w:rtl w:val="0"/>
        </w:rPr>
        <w:t>)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143500" cy="3095625"/>
            <wp:effectExtent l="0" t="0" r="0" b="0"/>
            <wp:docPr id="1073741842" name="officeArt object" descr="Работа регуляторов при линейно нарастающем воздействии (ε = T₀)&#10;&#10;Работа регуляторов при линейно нарастающем воздействии (ε = T₀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Работа регуляторов при линейно нарастающем воздействии (ε = T₀)Работа регуляторов при линейно нарастающем воздействии (ε = T₀)" descr="Работа регуляторов при линейно нарастающем воздействии (ε = T₀)Работа регуляторов при линейно нарастающем воздействии (ε = T₀)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95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i w:val="1"/>
          <w:iCs w:val="1"/>
          <w:rtl w:val="0"/>
        </w:rPr>
        <w:t xml:space="preserve">Рисунок </w:t>
      </w:r>
      <w:r>
        <w:rPr>
          <w:rFonts w:ascii="Times New Roman" w:hAnsi="Times New Roman"/>
          <w:i w:val="1"/>
          <w:iCs w:val="1"/>
          <w:rtl w:val="0"/>
        </w:rPr>
        <w:t xml:space="preserve">13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– Работа регуляторов при линейно нарастающем воздействии </w:t>
      </w:r>
      <w:r>
        <w:rPr>
          <w:rFonts w:ascii="Times New Roman" w:hAnsi="Times New Roman"/>
          <w:i w:val="1"/>
          <w:iCs w:val="1"/>
          <w:rtl w:val="0"/>
        </w:rPr>
        <w:t>(</w:t>
      </w:r>
      <w:r>
        <w:rPr>
          <w:rFonts w:ascii="Times New Roman" w:hAnsi="Times New Roman" w:hint="default"/>
          <w:i w:val="1"/>
          <w:iCs w:val="1"/>
          <w:rtl w:val="0"/>
        </w:rPr>
        <w:t xml:space="preserve">ε </w:t>
      </w:r>
      <w:r>
        <w:rPr>
          <w:rFonts w:ascii="Times New Roman" w:hAnsi="Times New Roman"/>
          <w:i w:val="1"/>
          <w:iCs w:val="1"/>
          <w:rtl w:val="0"/>
        </w:rPr>
        <w:t>=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  <w:r>
        <w:rPr>
          <w:rFonts w:ascii="Times New Roman" w:hAnsi="Times New Roman"/>
          <w:i w:val="1"/>
          <w:iCs w:val="1"/>
          <w:rtl w:val="0"/>
        </w:rPr>
        <w:t>)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32"/>
          <w:szCs w:val="32"/>
          <w:rtl w:val="0"/>
        </w:rPr>
        <w:t xml:space="preserve">9. </w:t>
      </w:r>
      <w:r>
        <w:rPr>
          <w:rFonts w:ascii="Times New Roman" w:hAnsi="Times New Roman" w:hint="default"/>
          <w:b w:val="1"/>
          <w:bCs w:val="1"/>
          <w:sz w:val="32"/>
          <w:szCs w:val="32"/>
          <w:rtl w:val="0"/>
          <w:lang w:val="ru-RU"/>
        </w:rPr>
        <w:t>Выводы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 xml:space="preserve">1.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Метод переоборудования позволяет получить цифровую систему</w:t>
      </w:r>
      <w:r>
        <w:rPr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близкую к непрерывной при малом периоде дискретизации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 xml:space="preserve">2.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Минимальное расхождение процессов наблюдается при </w:t>
      </w: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sz w:val="24"/>
          <w:szCs w:val="24"/>
          <w:rtl w:val="0"/>
        </w:rPr>
        <w:t>= 0,4T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 xml:space="preserve">3.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Настройка по оптимуму по модулю уменьшает перерегулирование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 xml:space="preserve">4.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Учет вычислительной задержки значительно снижает колебательность процесса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 xml:space="preserve">5.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Биномиальная настройка обеспечивает апериодический переходный процесс без перерегулирования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sectPr>
      <w:headerReference w:type="default" r:id="rId22"/>
      <w:footerReference w:type="default" r:id="rId23"/>
      <w:pgSz w:w="11900" w:h="16840" w:orient="portrait"/>
      <w:pgMar w:top="1440" w:right="1008" w:bottom="1440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image" Target="media/image2.jpeg"/><Relationship Id="rId6" Type="http://schemas.openxmlformats.org/officeDocument/2006/relationships/image" Target="media/image3.jpeg"/><Relationship Id="rId7" Type="http://schemas.openxmlformats.org/officeDocument/2006/relationships/image" Target="media/image4.jpeg"/><Relationship Id="rId8" Type="http://schemas.openxmlformats.org/officeDocument/2006/relationships/image" Target="media/image5.jpeg"/><Relationship Id="rId9" Type="http://schemas.openxmlformats.org/officeDocument/2006/relationships/image" Target="media/image6.jpeg"/><Relationship Id="rId10" Type="http://schemas.openxmlformats.org/officeDocument/2006/relationships/image" Target="media/image7.jpeg"/><Relationship Id="rId11" Type="http://schemas.openxmlformats.org/officeDocument/2006/relationships/image" Target="media/image8.jpeg"/><Relationship Id="rId12" Type="http://schemas.openxmlformats.org/officeDocument/2006/relationships/image" Target="media/image9.jpeg"/><Relationship Id="rId13" Type="http://schemas.openxmlformats.org/officeDocument/2006/relationships/image" Target="media/image10.jpeg"/><Relationship Id="rId14" Type="http://schemas.openxmlformats.org/officeDocument/2006/relationships/image" Target="media/image11.jpeg"/><Relationship Id="rId15" Type="http://schemas.openxmlformats.org/officeDocument/2006/relationships/image" Target="media/image12.jpeg"/><Relationship Id="rId16" Type="http://schemas.openxmlformats.org/officeDocument/2006/relationships/image" Target="media/image13.jpeg"/><Relationship Id="rId17" Type="http://schemas.openxmlformats.org/officeDocument/2006/relationships/image" Target="media/image14.jpeg"/><Relationship Id="rId18" Type="http://schemas.openxmlformats.org/officeDocument/2006/relationships/image" Target="media/image15.jpeg"/><Relationship Id="rId19" Type="http://schemas.openxmlformats.org/officeDocument/2006/relationships/image" Target="media/image16.jpeg"/><Relationship Id="rId20" Type="http://schemas.openxmlformats.org/officeDocument/2006/relationships/image" Target="media/image17.jpeg"/><Relationship Id="rId21" Type="http://schemas.openxmlformats.org/officeDocument/2006/relationships/image" Target="media/image18.jpeg"/><Relationship Id="rId22" Type="http://schemas.openxmlformats.org/officeDocument/2006/relationships/header" Target="header1.xml"/><Relationship Id="rId23" Type="http://schemas.openxmlformats.org/officeDocument/2006/relationships/footer" Target="footer1.xml"/><Relationship Id="rId24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