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media/image13.jpeg" ContentType="image/jpeg"/>
  <Override PartName="/word/media/image14.jpeg" ContentType="image/jpeg"/>
  <Override PartName="/word/media/image15.jpeg" ContentType="image/jpeg"/>
  <Override PartName="/word/media/image16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ЛАБОРАТОРНАЯ РАБОТА №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2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Параметрический синтез и исследование цифровой системы управления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с П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-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регулятором и объектом в виде последовательно включённых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апериодического и интегрирующего звеньев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из условия обеспечения заданного переходного процесса</w:t>
      </w:r>
    </w:p>
    <w:p>
      <w:pPr>
        <w:pStyle w:val="Основной текст"/>
        <w:bidi w:val="0"/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1.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Исследование эквивалентных аналогового и цифровых П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-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регуляторов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ε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= 0)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Построена модель системы при линейно нарастающем входном воздействии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Вычислительная задержка отсутствует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sz w:val="24"/>
          <w:szCs w:val="24"/>
          <w:rtl w:val="0"/>
        </w:rPr>
        <w:t>= 0).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drawing xmlns:a="http://schemas.openxmlformats.org/drawingml/2006/main">
          <wp:inline distT="0" distB="0" distL="0" distR="0">
            <wp:extent cx="5334000" cy="1971675"/>
            <wp:effectExtent l="0" t="0" r="0" b="0"/>
            <wp:docPr id="1073741825" name="officeArt object" descr="f96939b493f337956413f099ac473d98a6d2ea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f96939b493f337956413f099ac473d98a6d2ea33.png" descr="f96939b493f337956413f099ac473d98a6d2ea33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– Схема эквивалентных аналогового и цифрового П</w:t>
      </w:r>
      <w:r>
        <w:rPr>
          <w:rFonts w:ascii="Times New Roman" w:hAnsi="Times New Roman"/>
          <w:sz w:val="24"/>
          <w:szCs w:val="24"/>
          <w:rtl w:val="0"/>
        </w:rPr>
        <w:t>-</w:t>
      </w:r>
      <w:r>
        <w:rPr>
          <w:rFonts w:ascii="Times New Roman" w:hAnsi="Times New Roman" w:hint="default"/>
          <w:sz w:val="24"/>
          <w:szCs w:val="24"/>
          <w:rtl w:val="0"/>
        </w:rPr>
        <w:t xml:space="preserve">регуляторов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sz w:val="24"/>
          <w:szCs w:val="24"/>
          <w:rtl w:val="0"/>
        </w:rPr>
        <w:t>= 0)</w:t>
      </w:r>
    </w:p>
    <w:p>
      <w:pPr>
        <w:pStyle w:val="Основной текст"/>
        <w:bidi w:val="0"/>
      </w:pPr>
      <w:r>
        <w:drawing xmlns:a="http://schemas.openxmlformats.org/drawingml/2006/main">
          <wp:inline distT="0" distB="0" distL="0" distR="0">
            <wp:extent cx="4762500" cy="3390900"/>
            <wp:effectExtent l="0" t="0" r="0" b="0"/>
            <wp:docPr id="1073741826" name="officeArt object" descr="672dc9581ed0f4333c195dffad14f26961727da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672dc9581ed0f4333c195dffad14f26961727dac.png" descr="672dc9581ed0f4333c195dffad14f26961727dac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90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2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– Временные диаграммы работы регуляторов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sz w:val="24"/>
          <w:szCs w:val="24"/>
          <w:rtl w:val="0"/>
        </w:rPr>
        <w:t>= 0)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drawing xmlns:a="http://schemas.openxmlformats.org/drawingml/2006/main">
          <wp:inline distT="0" distB="0" distL="0" distR="0">
            <wp:extent cx="5334000" cy="1971675"/>
            <wp:effectExtent l="0" t="0" r="0" b="0"/>
            <wp:docPr id="1073741827" name="officeArt object" descr="6007de5afb5897ee2080a8bd6b279b1adade86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6007de5afb5897ee2080a8bd6b279b1adade8657.png" descr="6007de5afb5897ee2080a8bd6b279b1adade8657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3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– Схема эквивалентных аналогового и цифрового П</w:t>
      </w:r>
      <w:r>
        <w:rPr>
          <w:rFonts w:ascii="Times New Roman" w:hAnsi="Times New Roman"/>
          <w:sz w:val="24"/>
          <w:szCs w:val="24"/>
          <w:rtl w:val="0"/>
        </w:rPr>
        <w:t>-</w:t>
      </w:r>
      <w:r>
        <w:rPr>
          <w:rFonts w:ascii="Times New Roman" w:hAnsi="Times New Roman" w:hint="default"/>
          <w:sz w:val="24"/>
          <w:szCs w:val="24"/>
          <w:rtl w:val="0"/>
        </w:rPr>
        <w:t xml:space="preserve">регуляторов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sz w:val="24"/>
          <w:szCs w:val="24"/>
          <w:rtl w:val="0"/>
        </w:rPr>
        <w:t>=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>)</w:t>
      </w:r>
    </w:p>
    <w:p>
      <w:pPr>
        <w:pStyle w:val="Основной текст"/>
        <w:bidi w:val="0"/>
      </w:pPr>
      <w:r>
        <w:drawing xmlns:a="http://schemas.openxmlformats.org/drawingml/2006/main">
          <wp:inline distT="0" distB="0" distL="0" distR="0">
            <wp:extent cx="4762500" cy="3390900"/>
            <wp:effectExtent l="0" t="0" r="0" b="0"/>
            <wp:docPr id="1073741828" name="officeArt object" descr="e72fad3b8d288a57dc94a627e0a0004206304bc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e72fad3b8d288a57dc94a627e0a0004206304bc0.png" descr="e72fad3b8d288a57dc94a627e0a0004206304bc0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90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4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– Временные диаграммы работы регуляторов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sz w:val="24"/>
          <w:szCs w:val="24"/>
          <w:rtl w:val="0"/>
        </w:rPr>
        <w:t>=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>)</w:t>
      </w:r>
    </w:p>
    <w:p>
      <w:pPr>
        <w:pStyle w:val="Основной текст"/>
        <w:bidi w:val="0"/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2.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Синтез системы методом переоборудования</w:t>
      </w:r>
    </w:p>
    <w:p>
      <w:pPr>
        <w:pStyle w:val="Основной текст"/>
        <w:bidi w:val="0"/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2.1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Настройка на оптимум по модулю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Задано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ой текст"/>
        <w:bidi w:val="0"/>
      </w:pP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T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</w:rPr>
        <w:t>μ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1 = T1 = 0.05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Коэффициент регулятора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ой текст"/>
        <w:bidi w:val="0"/>
      </w:pP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Kp = 1 / T1 = 20</w:t>
      </w:r>
    </w:p>
    <w:p>
      <w:pPr>
        <w:pStyle w:val="Основной текст"/>
        <w:bidi w:val="0"/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2.2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Определение периода дискретности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Исследованы значения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ой текст"/>
        <w:bidi w:val="0"/>
      </w:pP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 xml:space="preserve"> = 0.1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de-DE"/>
        </w:rPr>
        <w:t xml:space="preserve">· 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T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</w:rPr>
        <w:t>μ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1 = 0.005</w:t>
      </w:r>
    </w:p>
    <w:p>
      <w:pPr>
        <w:pStyle w:val="Основной текст"/>
        <w:bidi w:val="0"/>
      </w:pP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 xml:space="preserve"> = T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</w:rPr>
        <w:t>μ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1 = 0.05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Аналоговая система</w:t>
      </w:r>
    </w:p>
    <w:p>
      <w:pPr>
        <w:pStyle w:val="Основной текст"/>
        <w:bidi w:val="0"/>
      </w:pPr>
      <w:r>
        <w:drawing xmlns:a="http://schemas.openxmlformats.org/drawingml/2006/main">
          <wp:inline distT="0" distB="0" distL="0" distR="0">
            <wp:extent cx="5524500" cy="3590925"/>
            <wp:effectExtent l="0" t="0" r="0" b="0"/>
            <wp:docPr id="1073741829" name="officeArt object" descr="a18b913ebd5d61469cceb49904635d6479a71dc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a18b913ebd5d61469cceb49904635d6479a71dc0.png" descr="a18b913ebd5d61469cceb49904635d6479a71dc0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3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– Переходная характеристика аналоговой системы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Время регулирования</w:t>
      </w:r>
      <w:r>
        <w:rPr>
          <w:rFonts w:ascii="Times New Roman" w:hAnsi="Times New Roman"/>
          <w:sz w:val="24"/>
          <w:szCs w:val="24"/>
          <w:rtl w:val="0"/>
        </w:rPr>
        <w:t>: 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тр </w:t>
      </w:r>
      <w:r>
        <w:rPr>
          <w:rFonts w:ascii="Times New Roman" w:hAnsi="Times New Roman"/>
          <w:sz w:val="24"/>
          <w:szCs w:val="24"/>
          <w:rtl w:val="0"/>
        </w:rPr>
        <w:t xml:space="preserve">= 0.4038 </w:t>
      </w:r>
      <w:r>
        <w:rPr>
          <w:rFonts w:ascii="Times New Roman" w:hAnsi="Times New Roman" w:hint="default"/>
          <w:sz w:val="24"/>
          <w:szCs w:val="24"/>
          <w:rtl w:val="0"/>
        </w:rPr>
        <w:t>с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Перерегулирование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</w:rPr>
        <w:t>Δ</w:t>
      </w:r>
      <w:r>
        <w:rPr>
          <w:rFonts w:ascii="Times New Roman" w:hAnsi="Times New Roman"/>
          <w:sz w:val="24"/>
          <w:szCs w:val="24"/>
          <w:rtl w:val="0"/>
        </w:rPr>
        <w:t>y = 16.29 %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Цифровая система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(T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 = 0.005)</w:t>
      </w:r>
    </w:p>
    <w:p>
      <w:pPr>
        <w:pStyle w:val="Основной текст"/>
        <w:bidi w:val="0"/>
      </w:pPr>
      <w:r>
        <w:drawing xmlns:a="http://schemas.openxmlformats.org/drawingml/2006/main">
          <wp:inline distT="0" distB="0" distL="0" distR="0">
            <wp:extent cx="5524500" cy="3590925"/>
            <wp:effectExtent l="0" t="0" r="0" b="0"/>
            <wp:docPr id="1073741830" name="officeArt object" descr="9058756d196100a0af0ab1e952c2ce882d91d29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9058756d196100a0af0ab1e952c2ce882d91d29b.png" descr="9058756d196100a0af0ab1e952c2ce882d91d29b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4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– Переходная характеристика цифровой системы </w:t>
      </w:r>
      <w:r>
        <w:rPr>
          <w:rFonts w:ascii="Times New Roman" w:hAnsi="Times New Roman"/>
          <w:sz w:val="24"/>
          <w:szCs w:val="24"/>
          <w:rtl w:val="0"/>
        </w:rPr>
        <w:t>(T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 xml:space="preserve"> = 0.005)</w:t>
      </w:r>
    </w:p>
    <w:p>
      <w:pPr>
        <w:pStyle w:val="Основной текст"/>
        <w:bidi w:val="0"/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тр </w:t>
      </w:r>
      <w:r>
        <w:rPr>
          <w:rFonts w:ascii="Times New Roman" w:hAnsi="Times New Roman"/>
          <w:sz w:val="24"/>
          <w:szCs w:val="24"/>
          <w:rtl w:val="0"/>
        </w:rPr>
        <w:t xml:space="preserve">= 0.4150 </w:t>
      </w:r>
      <w:r>
        <w:rPr>
          <w:rFonts w:ascii="Times New Roman" w:hAnsi="Times New Roman" w:hint="default"/>
          <w:sz w:val="24"/>
          <w:szCs w:val="24"/>
          <w:rtl w:val="0"/>
        </w:rPr>
        <w:t>с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</w:rPr>
        <w:t>Δ</w:t>
      </w:r>
      <w:r>
        <w:rPr>
          <w:rFonts w:ascii="Times New Roman" w:hAnsi="Times New Roman"/>
          <w:sz w:val="24"/>
          <w:szCs w:val="24"/>
          <w:rtl w:val="0"/>
        </w:rPr>
        <w:t>y = 18.37 %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Цифровая система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(T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 = 0.05)</w:t>
      </w:r>
    </w:p>
    <w:p>
      <w:pPr>
        <w:pStyle w:val="Основной текст"/>
        <w:bidi w:val="0"/>
      </w:pPr>
      <w:r>
        <w:drawing xmlns:a="http://schemas.openxmlformats.org/drawingml/2006/main">
          <wp:inline distT="0" distB="0" distL="0" distR="0">
            <wp:extent cx="5524500" cy="3590925"/>
            <wp:effectExtent l="0" t="0" r="0" b="0"/>
            <wp:docPr id="1073741831" name="officeArt object" descr="c26e80b1a008502214840d053ee838aa2e1ced5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c26e80b1a008502214840d053ee838aa2e1ced5c.png" descr="c26e80b1a008502214840d053ee838aa2e1ced5c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5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– Переходная характеристика цифровой системы </w:t>
      </w:r>
      <w:r>
        <w:rPr>
          <w:rFonts w:ascii="Times New Roman" w:hAnsi="Times New Roman"/>
          <w:sz w:val="24"/>
          <w:szCs w:val="24"/>
          <w:rtl w:val="0"/>
        </w:rPr>
        <w:t>(T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 xml:space="preserve"> = 0.05)</w:t>
      </w:r>
    </w:p>
    <w:p>
      <w:pPr>
        <w:pStyle w:val="Основной текст"/>
        <w:bidi w:val="0"/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тр </w:t>
      </w:r>
      <w:r>
        <w:rPr>
          <w:rFonts w:ascii="Times New Roman" w:hAnsi="Times New Roman"/>
          <w:sz w:val="24"/>
          <w:szCs w:val="24"/>
          <w:rtl w:val="0"/>
        </w:rPr>
        <w:t xml:space="preserve">= 0.8000 </w:t>
      </w:r>
      <w:r>
        <w:rPr>
          <w:rFonts w:ascii="Times New Roman" w:hAnsi="Times New Roman" w:hint="default"/>
          <w:sz w:val="24"/>
          <w:szCs w:val="24"/>
          <w:rtl w:val="0"/>
        </w:rPr>
        <w:t>с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</w:rPr>
        <w:t>Δ</w:t>
      </w:r>
      <w:r>
        <w:rPr>
          <w:rFonts w:ascii="Times New Roman" w:hAnsi="Times New Roman"/>
          <w:sz w:val="24"/>
          <w:szCs w:val="24"/>
          <w:rtl w:val="0"/>
        </w:rPr>
        <w:t>y = 39.96 %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Таблица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1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– Параметры переходных процессов</w:t>
      </w:r>
    </w:p>
    <w:tbl>
      <w:tblPr>
        <w:tblW w:w="92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67"/>
        <w:gridCol w:w="3067"/>
        <w:gridCol w:w="3066"/>
      </w:tblGrid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306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u w:color="000000"/>
                <w:shd w:val="nil" w:color="auto" w:fill="auto"/>
                <w:rtl w:val="0"/>
              </w:rPr>
              <w:t>₀</w:t>
            </w:r>
          </w:p>
        </w:tc>
        <w:tc>
          <w:tcPr>
            <w:tcW w:type="dxa" w:w="306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тр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с</w:t>
            </w:r>
          </w:p>
        </w:tc>
        <w:tc>
          <w:tcPr>
            <w:tcW w:type="dxa" w:w="306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Δ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y, %</w:t>
            </w:r>
          </w:p>
        </w:tc>
      </w:tr>
      <w:tr>
        <w:tblPrEx>
          <w:shd w:val="clear" w:color="auto" w:fill="ced7e7"/>
        </w:tblPrEx>
        <w:trPr>
          <w:trHeight w:val="292" w:hRule="atLeast"/>
        </w:trPr>
        <w:tc>
          <w:tcPr>
            <w:tcW w:type="dxa" w:w="306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0.005</w:t>
            </w:r>
          </w:p>
        </w:tc>
        <w:tc>
          <w:tcPr>
            <w:tcW w:type="dxa" w:w="306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0.4150</w:t>
            </w:r>
          </w:p>
        </w:tc>
        <w:tc>
          <w:tcPr>
            <w:tcW w:type="dxa" w:w="306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18.37</w:t>
            </w:r>
          </w:p>
        </w:tc>
      </w:tr>
      <w:tr>
        <w:tblPrEx>
          <w:shd w:val="clear" w:color="auto" w:fill="ced7e7"/>
        </w:tblPrEx>
        <w:trPr>
          <w:trHeight w:val="292" w:hRule="atLeast"/>
        </w:trPr>
        <w:tc>
          <w:tcPr>
            <w:tcW w:type="dxa" w:w="306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pt-PT"/>
              </w:rPr>
              <w:t>0.05</w:t>
            </w:r>
          </w:p>
        </w:tc>
        <w:tc>
          <w:tcPr>
            <w:tcW w:type="dxa" w:w="306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0.8000</w:t>
            </w:r>
          </w:p>
        </w:tc>
        <w:tc>
          <w:tcPr>
            <w:tcW w:type="dxa" w:w="306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39.96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3.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Синтез системы с использованием эквивалентной модели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ε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= 0)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Режим моделирования</w:t>
      </w:r>
      <w:r>
        <w:rPr>
          <w:rFonts w:ascii="Times New Roman" w:hAnsi="Times New Roman"/>
          <w:sz w:val="24"/>
          <w:szCs w:val="24"/>
          <w:rtl w:val="0"/>
        </w:rPr>
        <w:t>: T1 = T0 = 1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Исходные параметры</w:t>
      </w:r>
      <w:r>
        <w:rPr>
          <w:rFonts w:ascii="Times New Roman" w:hAnsi="Times New Roman"/>
          <w:sz w:val="24"/>
          <w:szCs w:val="24"/>
          <w:rtl w:val="0"/>
        </w:rPr>
        <w:t>: T1 = 1, T0 = 1, Kp = 1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3.1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Определение постоянной времени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зап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Рассмотрены значения</w:t>
      </w:r>
      <w:r>
        <w:rPr>
          <w:rFonts w:ascii="Times New Roman" w:hAnsi="Times New Roman"/>
          <w:sz w:val="24"/>
          <w:szCs w:val="24"/>
          <w:rtl w:val="0"/>
        </w:rPr>
        <w:t>: 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зап </w:t>
      </w:r>
      <w:r>
        <w:rPr>
          <w:rFonts w:ascii="Times New Roman" w:hAnsi="Times New Roman"/>
          <w:sz w:val="24"/>
          <w:szCs w:val="24"/>
          <w:rtl w:val="0"/>
        </w:rPr>
        <w:t>= 0.1T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  <w:lang w:val="pt-PT"/>
        </w:rPr>
        <w:t>, 0.4T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  <w:lang w:val="pt-PT"/>
        </w:rPr>
        <w:t>, 0.9T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524500" cy="3590925"/>
            <wp:effectExtent l="0" t="0" r="0" b="0"/>
            <wp:docPr id="1073741832" name="officeArt object" descr="de0e12ed5ca29921cff74bf9460bf903b4c6c4e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de0e12ed5ca29921cff74bf9460bf903b4c6c4ec.png" descr="de0e12ed5ca29921cff74bf9460bf903b4c6c4ec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6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– Переходный процесс цифровой системы </w:t>
      </w:r>
      <w:r>
        <w:rPr>
          <w:rFonts w:ascii="Times New Roman" w:hAnsi="Times New Roman"/>
          <w:sz w:val="24"/>
          <w:szCs w:val="24"/>
          <w:rtl w:val="0"/>
        </w:rPr>
        <w:t>(T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sz w:val="24"/>
          <w:szCs w:val="24"/>
          <w:rtl w:val="0"/>
        </w:rPr>
        <w:t xml:space="preserve"> =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 xml:space="preserve"> = 1)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524500" cy="3638550"/>
            <wp:effectExtent l="0" t="0" r="0" b="0"/>
            <wp:docPr id="1073741833" name="officeArt object" descr="0dc582853246c6d76e7db0d0eb3f3ba0551190b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0dc582853246c6d76e7db0d0eb3f3ba0551190b5.png" descr="0dc582853246c6d76e7db0d0eb3f3ba0551190b5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638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7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– Переходные процессы эквивалентной модели при различных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зап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524500" cy="3590925"/>
            <wp:effectExtent l="0" t="0" r="0" b="0"/>
            <wp:docPr id="1073741834" name="officeArt object" descr="602a796cc4639a296d3042aa98a1474cdc233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602a796cc4639a296d3042aa98a1474cdc233e69.png" descr="602a796cc4639a296d3042aa98a1474cdc233e69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8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– Зависимость функционала </w:t>
      </w:r>
      <w:r>
        <w:rPr>
          <w:rFonts w:ascii="Times New Roman" w:hAnsi="Times New Roman"/>
          <w:sz w:val="24"/>
          <w:szCs w:val="24"/>
          <w:rtl w:val="0"/>
        </w:rPr>
        <w:t xml:space="preserve">F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от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зап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Численные значения функционала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F(0.1T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>) = 1.7008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F(0.4T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>) = 1.2625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F(0.9T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>) = 2.5765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Минимум достигается при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зап </w:t>
      </w:r>
      <w:r>
        <w:rPr>
          <w:rFonts w:ascii="Times New Roman" w:hAnsi="Times New Roman"/>
          <w:sz w:val="24"/>
          <w:szCs w:val="24"/>
          <w:rtl w:val="0"/>
        </w:rPr>
        <w:t>= 0.4T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Таблица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2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– Значения функционала</w:t>
      </w:r>
    </w:p>
    <w:tbl>
      <w:tblPr>
        <w:tblW w:w="92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0"/>
        <w:gridCol w:w="2300"/>
        <w:gridCol w:w="2300"/>
        <w:gridCol w:w="2300"/>
      </w:tblGrid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зап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0.1T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u w:color="000000"/>
                <w:shd w:val="nil" w:color="auto" w:fill="auto"/>
                <w:rtl w:val="0"/>
              </w:rPr>
              <w:t>₀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0.4T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u w:color="000000"/>
                <w:shd w:val="nil" w:color="auto" w:fill="auto"/>
                <w:rtl w:val="0"/>
              </w:rPr>
              <w:t>₀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0.9T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u w:color="000000"/>
                <w:shd w:val="nil" w:color="auto" w:fill="auto"/>
                <w:rtl w:val="0"/>
              </w:rPr>
              <w:t>₀</w:t>
            </w:r>
          </w:p>
        </w:tc>
      </w:tr>
      <w:tr>
        <w:tblPrEx>
          <w:shd w:val="clear" w:color="auto" w:fill="ced7e7"/>
        </w:tblPrEx>
        <w:trPr>
          <w:trHeight w:val="292" w:hRule="atLeast"/>
        </w:trPr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F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1.7008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1.2625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2.5765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3.3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Настройка полной модели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= 0)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T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</w:rPr>
        <w:t xml:space="preserve">μ 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=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 xml:space="preserve"> + T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</w:rPr>
        <w:t>зап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 = 1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524500" cy="3590925"/>
            <wp:effectExtent l="0" t="0" r="0" b="0"/>
            <wp:docPr id="1073741835" name="officeArt object" descr="3ff1b4ab3117ac2f7625431098b87d6eb3a44a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3ff1b4ab3117ac2f7625431098b87d6eb3a44a17.png" descr="3ff1b4ab3117ac2f7625431098b87d6eb3a44a17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9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– Оптимум по модулю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sz w:val="24"/>
          <w:szCs w:val="24"/>
          <w:rtl w:val="0"/>
        </w:rPr>
        <w:t>= 0),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sz w:val="24"/>
          <w:szCs w:val="24"/>
          <w:rtl w:val="0"/>
        </w:rPr>
        <w:t xml:space="preserve"> = 1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μ </w:t>
      </w:r>
      <w:r>
        <w:rPr>
          <w:rFonts w:ascii="Times New Roman" w:hAnsi="Times New Roman"/>
          <w:sz w:val="24"/>
          <w:szCs w:val="24"/>
          <w:rtl w:val="0"/>
        </w:rPr>
        <w:t>= 1.4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ρ</w:t>
      </w:r>
      <w:r>
        <w:rPr>
          <w:rFonts w:ascii="Times New Roman" w:hAnsi="Times New Roman"/>
          <w:sz w:val="24"/>
          <w:szCs w:val="24"/>
          <w:rtl w:val="0"/>
        </w:rPr>
        <w:t xml:space="preserve">1 = 10.5523 </w:t>
      </w:r>
      <w:r>
        <w:rPr>
          <w:rFonts w:ascii="Times New Roman" w:hAnsi="Times New Roman" w:hint="default"/>
          <w:sz w:val="24"/>
          <w:szCs w:val="24"/>
          <w:rtl w:val="0"/>
        </w:rPr>
        <w:t>с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>Δ</w:t>
      </w:r>
      <w:r>
        <w:rPr>
          <w:rFonts w:ascii="Times New Roman" w:hAnsi="Times New Roman"/>
          <w:sz w:val="24"/>
          <w:szCs w:val="24"/>
          <w:rtl w:val="0"/>
        </w:rPr>
        <w:t>y = 24.13 %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 = 0.5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524500" cy="3590925"/>
            <wp:effectExtent l="0" t="0" r="0" b="0"/>
            <wp:docPr id="1073741836" name="officeArt object" descr="565581a876703095a39a5b7aaa3c97dbbe1618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565581a876703095a39a5b7aaa3c97dbbe161835.png" descr="565581a876703095a39a5b7aaa3c97dbbe161835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10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– Оптимум по модулю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sz w:val="24"/>
          <w:szCs w:val="24"/>
          <w:rtl w:val="0"/>
        </w:rPr>
        <w:t>= 0),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sz w:val="24"/>
          <w:szCs w:val="24"/>
          <w:rtl w:val="0"/>
        </w:rPr>
        <w:t xml:space="preserve"> = 0.5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μ </w:t>
      </w:r>
      <w:r>
        <w:rPr>
          <w:rFonts w:ascii="Times New Roman" w:hAnsi="Times New Roman"/>
          <w:sz w:val="24"/>
          <w:szCs w:val="24"/>
          <w:rtl w:val="0"/>
        </w:rPr>
        <w:t>= 0.9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ρ</w:t>
      </w:r>
      <w:r>
        <w:rPr>
          <w:rFonts w:ascii="Times New Roman" w:hAnsi="Times New Roman"/>
          <w:sz w:val="24"/>
          <w:szCs w:val="24"/>
          <w:rtl w:val="0"/>
        </w:rPr>
        <w:t xml:space="preserve">1 = 8.2112 </w:t>
      </w:r>
      <w:r>
        <w:rPr>
          <w:rFonts w:ascii="Times New Roman" w:hAnsi="Times New Roman" w:hint="default"/>
          <w:sz w:val="24"/>
          <w:szCs w:val="24"/>
          <w:rtl w:val="0"/>
        </w:rPr>
        <w:t>с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>Δ</w:t>
      </w:r>
      <w:r>
        <w:rPr>
          <w:rFonts w:ascii="Times New Roman" w:hAnsi="Times New Roman"/>
          <w:sz w:val="24"/>
          <w:szCs w:val="24"/>
          <w:rtl w:val="0"/>
        </w:rPr>
        <w:t>y = 28.80 %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Таблица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3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– Параметры переходных процессов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= 0)</w:t>
      </w:r>
    </w:p>
    <w:tbl>
      <w:tblPr>
        <w:tblW w:w="92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0"/>
        <w:gridCol w:w="2300"/>
        <w:gridCol w:w="2300"/>
        <w:gridCol w:w="2300"/>
      </w:tblGrid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u w:color="000000"/>
                <w:shd w:val="nil" w:color="auto" w:fill="auto"/>
                <w:rtl w:val="0"/>
              </w:rPr>
              <w:t>₁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μ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ρ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 xml:space="preserve">1,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с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Δ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y, %</w:t>
            </w:r>
          </w:p>
        </w:tc>
      </w:tr>
      <w:tr>
        <w:tblPrEx>
          <w:shd w:val="clear" w:color="auto" w:fill="ced7e7"/>
        </w:tblPrEx>
        <w:trPr>
          <w:trHeight w:val="292" w:hRule="atLeast"/>
        </w:trPr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1.4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10.5523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24.13</w:t>
            </w:r>
          </w:p>
        </w:tc>
      </w:tr>
      <w:tr>
        <w:tblPrEx>
          <w:shd w:val="clear" w:color="auto" w:fill="ced7e7"/>
        </w:tblPrEx>
        <w:trPr>
          <w:trHeight w:val="292" w:hRule="atLeast"/>
        </w:trPr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0.5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0.9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8.2112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28.80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4.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Синтез системы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ε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=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₀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)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T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</w:rPr>
        <w:t xml:space="preserve">μ 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=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 xml:space="preserve"> + T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</w:rPr>
        <w:t xml:space="preserve">зап 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+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 xml:space="preserve"> = 0.05, 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зап </w:t>
      </w:r>
      <w:r>
        <w:rPr>
          <w:rFonts w:ascii="Times New Roman" w:hAnsi="Times New Roman"/>
          <w:sz w:val="24"/>
          <w:szCs w:val="24"/>
          <w:rtl w:val="0"/>
        </w:rPr>
        <w:t>= 0.02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 = 1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524500" cy="3590925"/>
            <wp:effectExtent l="0" t="0" r="0" b="0"/>
            <wp:docPr id="1073741837" name="officeArt object" descr="15aab123ffa21ea2e74847639ae4a3840a02b6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15aab123ffa21ea2e74847639ae4a3840a02b635.png" descr="15aab123ffa21ea2e74847639ae4a3840a02b635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11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– Оптимум по модулю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sz w:val="24"/>
          <w:szCs w:val="24"/>
          <w:rtl w:val="0"/>
        </w:rPr>
        <w:t>=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>),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sz w:val="24"/>
          <w:szCs w:val="24"/>
          <w:rtl w:val="0"/>
        </w:rPr>
        <w:t xml:space="preserve"> = 1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μ </w:t>
      </w:r>
      <w:r>
        <w:rPr>
          <w:rFonts w:ascii="Times New Roman" w:hAnsi="Times New Roman"/>
          <w:sz w:val="24"/>
          <w:szCs w:val="24"/>
          <w:rtl w:val="0"/>
        </w:rPr>
        <w:t>= 1.07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ρ</w:t>
      </w:r>
      <w:r>
        <w:rPr>
          <w:rFonts w:ascii="Times New Roman" w:hAnsi="Times New Roman"/>
          <w:sz w:val="24"/>
          <w:szCs w:val="24"/>
          <w:rtl w:val="0"/>
        </w:rPr>
        <w:t xml:space="preserve">1 = 8.5539 </w:t>
      </w:r>
      <w:r>
        <w:rPr>
          <w:rFonts w:ascii="Times New Roman" w:hAnsi="Times New Roman" w:hint="default"/>
          <w:sz w:val="24"/>
          <w:szCs w:val="24"/>
          <w:rtl w:val="0"/>
        </w:rPr>
        <w:t>с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>Δ</w:t>
      </w:r>
      <w:r>
        <w:rPr>
          <w:rFonts w:ascii="Times New Roman" w:hAnsi="Times New Roman"/>
          <w:sz w:val="24"/>
          <w:szCs w:val="24"/>
          <w:rtl w:val="0"/>
        </w:rPr>
        <w:t>y = 17.69 %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 = 0.5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524500" cy="3590925"/>
            <wp:effectExtent l="0" t="0" r="0" b="0"/>
            <wp:docPr id="1073741838" name="officeArt object" descr="55c829771a2589f94d407d42300fe261942ca5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55c829771a2589f94d407d42300fe261942ca508.png" descr="55c829771a2589f94d407d42300fe261942ca508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12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– Оптимум по модулю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sz w:val="24"/>
          <w:szCs w:val="24"/>
          <w:rtl w:val="0"/>
        </w:rPr>
        <w:t>=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>),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sz w:val="24"/>
          <w:szCs w:val="24"/>
          <w:rtl w:val="0"/>
        </w:rPr>
        <w:t xml:space="preserve"> = 0.5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μ </w:t>
      </w:r>
      <w:r>
        <w:rPr>
          <w:rFonts w:ascii="Times New Roman" w:hAnsi="Times New Roman"/>
          <w:sz w:val="24"/>
          <w:szCs w:val="24"/>
          <w:rtl w:val="0"/>
        </w:rPr>
        <w:t>= 0.57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ρ</w:t>
      </w:r>
      <w:r>
        <w:rPr>
          <w:rFonts w:ascii="Times New Roman" w:hAnsi="Times New Roman"/>
          <w:sz w:val="24"/>
          <w:szCs w:val="24"/>
          <w:rtl w:val="0"/>
        </w:rPr>
        <w:t xml:space="preserve">1 = 4.4986 </w:t>
      </w:r>
      <w:r>
        <w:rPr>
          <w:rFonts w:ascii="Times New Roman" w:hAnsi="Times New Roman" w:hint="default"/>
          <w:sz w:val="24"/>
          <w:szCs w:val="24"/>
          <w:rtl w:val="0"/>
        </w:rPr>
        <w:t>с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>Δ</w:t>
      </w:r>
      <w:r>
        <w:rPr>
          <w:rFonts w:ascii="Times New Roman" w:hAnsi="Times New Roman"/>
          <w:sz w:val="24"/>
          <w:szCs w:val="24"/>
          <w:rtl w:val="0"/>
        </w:rPr>
        <w:t>y = 19.10 %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Таблица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4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– Параметры переходных процессов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ε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=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)</w:t>
      </w:r>
    </w:p>
    <w:tbl>
      <w:tblPr>
        <w:tblW w:w="92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0"/>
        <w:gridCol w:w="2300"/>
        <w:gridCol w:w="2300"/>
        <w:gridCol w:w="2300"/>
      </w:tblGrid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u w:color="000000"/>
                <w:shd w:val="nil" w:color="auto" w:fill="auto"/>
                <w:rtl w:val="0"/>
              </w:rPr>
              <w:t>₁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μ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ρ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 xml:space="preserve">1,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с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Δ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y, %</w:t>
            </w:r>
          </w:p>
        </w:tc>
      </w:tr>
      <w:tr>
        <w:tblPrEx>
          <w:shd w:val="clear" w:color="auto" w:fill="ced7e7"/>
        </w:tblPrEx>
        <w:trPr>
          <w:trHeight w:val="292" w:hRule="atLeast"/>
        </w:trPr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1.07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8.5539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17.69</w:t>
            </w:r>
          </w:p>
        </w:tc>
      </w:tr>
      <w:tr>
        <w:tblPrEx>
          <w:shd w:val="clear" w:color="auto" w:fill="ced7e7"/>
        </w:tblPrEx>
        <w:trPr>
          <w:trHeight w:val="292" w:hRule="atLeast"/>
        </w:trPr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0.5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0.57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4.4986</w:t>
            </w:r>
          </w:p>
        </w:tc>
        <w:tc>
          <w:tcPr>
            <w:tcW w:type="dxa" w:w="23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19.10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Примечание – </w:t>
      </w:r>
      <w:r>
        <w:rPr>
          <w:rFonts w:ascii="Times Roman" w:hAnsi="Times Roman"/>
          <w:rtl w:val="0"/>
          <w:lang w:val="de-DE"/>
        </w:rPr>
        <w:t xml:space="preserve">tp2 </w:t>
      </w:r>
      <w:r>
        <w:rPr>
          <w:rFonts w:ascii="Times Roman" w:hAnsi="Times Roman" w:hint="default"/>
          <w:rtl w:val="0"/>
          <w:lang w:val="ru-RU"/>
        </w:rPr>
        <w:t>не определялось в рамках данной работы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5.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Синтез системы при биномиальной настройке</w:t>
      </w:r>
    </w:p>
    <w:p>
      <w:pPr>
        <w:pStyle w:val="Основной текст"/>
        <w:widowControl w:val="0"/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5.1 Закон биномиальной настройки</w:t>
      </w:r>
    </w:p>
    <w:p>
      <w:pPr>
        <w:pStyle w:val="Основной текст"/>
        <w:widowControl w:val="0"/>
      </w:pPr>
      <w:r>
        <w:rPr>
          <w:rFonts w:ascii="Times New Roman" w:hAnsi="Times New Roman"/>
          <w:sz w:val="24"/>
          <w:szCs w:val="24"/>
          <w:rtl w:val="0"/>
        </w:rPr>
        <w:t>Биномиальная настройка П-регулятора определяется выражением: Kp = 1 / (4 · T₁). Рассмотрены случаи: T₁ = 1 и T₁ = 0.5.</w:t>
      </w:r>
    </w:p>
    <w:p>
      <w:pPr>
        <w:pStyle w:val="Основной текст"/>
        <w:widowControl w:val="0"/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5.2 Исследование влияния периода дискретности (аналог п.2)</w:t>
      </w:r>
    </w:p>
    <w:p>
      <w:pPr>
        <w:pStyle w:val="Основной текст"/>
        <w:widowControl w:val="0"/>
      </w:pPr>
      <w:r>
        <w:rPr>
          <w:rFonts w:ascii="Times New Roman" w:hAnsi="Times New Roman"/>
          <w:sz w:val="24"/>
          <w:szCs w:val="24"/>
          <w:rtl w:val="0"/>
        </w:rPr>
        <w:t>Рассмотрены значения: T₀ = 0.1Tμ₁ = 0.005, T₀ = Tμ₁ = 0.05.</w:t>
      </w:r>
    </w:p>
    <w:tbl>
      <w:tblPr>
        <w:tblStyle w:val="TableGrid"/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30"/>
        <w:gridCol w:w="2131"/>
        <w:gridCol w:w="2131"/>
        <w:gridCol w:w="2130"/>
      </w:tblGrid>
      <w:tr>
        <w:tc>
          <w:tcPr>
            <w:tcW w:w="2130" w:type="dxa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T₁</w:t>
            </w:r>
          </w:p>
        </w:tc>
        <w:tc>
          <w:tcPr>
            <w:tcW w:w="2131" w:type="dxa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T₀</w:t>
            </w:r>
          </w:p>
        </w:tc>
        <w:tc>
          <w:tcPr>
            <w:tcW w:w="2131" w:type="dxa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tтр, с</w:t>
            </w:r>
          </w:p>
        </w:tc>
        <w:tc>
          <w:tcPr>
            <w:tcW w:w="2130" w:type="dxa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Δy, %</w:t>
            </w:r>
          </w:p>
        </w:tc>
      </w:tr>
      <w:tr>
        <w:tc>
          <w:tcPr>
            <w:tcW w:w="213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0.005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11.6550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>
        <w:tc>
          <w:tcPr>
            <w:tcW w:w="213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0.05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11.5500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>
        <w:tc>
          <w:tcPr>
            <w:tcW w:w="213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0.5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0.005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5.8200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>
        <w:tc>
          <w:tcPr>
            <w:tcW w:w="213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0.5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0.05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5.7000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>
      <w:pPr>
        <w:pStyle w:val="Основной текст"/>
        <w:widowControl w:val="0"/>
      </w:pPr>
      <w:r>
        <w:rPr>
          <w:rFonts w:ascii="Times New Roman" w:hAnsi="Times New Roman"/>
          <w:i/>
          <w:sz w:val="24"/>
          <w:szCs w:val="24"/>
        </w:rPr>
        <w:t>Таблица 5.1 – Параметры переходных процессов (биномиальная настройка)</w:t>
      </w:r>
    </w:p>
    <w:p>
      <w:pPr>
        <w:pStyle w:val="Основной текст"/>
        <w:widowControl w:val="0"/>
      </w:pPr>
      <w:r>
        <w:rPr>
          <w:rFonts w:ascii="Times New Roman" w:hAnsi="Times New Roman"/>
          <w:sz w:val="24"/>
          <w:szCs w:val="24"/>
        </w:rPr>
        <w:t>Вывод: биномиальная настройка обеспечивает апериодический переходный процесс без перерегулирования. Изменение периода дискретности практически не влияет на динамику.</w:t>
      </w:r>
    </w:p>
    <w:p>
      <w:pPr>
        <w:pStyle w:val="Основной текст"/>
        <w:widowControl w:val="0"/>
      </w:pPr>
      <w:r>
        <w:rPr>
          <w:rFonts w:ascii="Times New Roman" w:hAnsi="Times New Roman"/>
          <w:b/>
          <w:bCs/>
          <w:sz w:val="24"/>
          <w:szCs w:val="24"/>
        </w:rPr>
        <w:t>5.3 Определение Tзап по минимуму функционала (аналог п.3)</w:t>
      </w:r>
    </w:p>
    <w:p>
      <w:pPr>
        <w:pStyle w:val="Основной текст"/>
        <w:widowControl w:val="0"/>
      </w:pPr>
      <w:r>
        <w:rPr>
          <w:rFonts w:ascii="Times New Roman" w:hAnsi="Times New Roman"/>
          <w:sz w:val="24"/>
          <w:szCs w:val="24"/>
        </w:rPr>
        <w:t>Функционал: F = ∫|y(t) − yэ(t)|dt. Рассмотрены: Tзап = 0.1T₀, 0.4T₀, 0.9T₀.</w:t>
      </w:r>
    </w:p>
    <w:tbl>
      <w:tblPr>
        <w:tblStyle w:val="TableGrid"/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40"/>
        <w:gridCol w:w="1894"/>
        <w:gridCol w:w="1894"/>
        <w:gridCol w:w="1894"/>
      </w:tblGrid>
      <w:tr>
        <w:tc>
          <w:tcPr>
            <w:tcW w:w="2840" w:type="dxa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Tзап</w:t>
            </w:r>
          </w:p>
        </w:tc>
        <w:tc>
          <w:tcPr>
            <w:tcW w:w="1894" w:type="dxa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0.1T₀</w:t>
            </w:r>
          </w:p>
        </w:tc>
        <w:tc>
          <w:tcPr>
            <w:tcW w:w="1894" w:type="dxa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0.4T₀</w:t>
            </w:r>
          </w:p>
        </w:tc>
        <w:tc>
          <w:tcPr>
            <w:tcW w:w="1894" w:type="dxa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0.9T₀</w:t>
            </w:r>
          </w:p>
        </w:tc>
      </w:tr>
      <w:tr>
        <w:tc>
          <w:tcPr>
            <w:tcW w:w="284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</w:t>
            </w:r>
          </w:p>
        </w:tc>
        <w:tc>
          <w:tcPr>
            <w:tcW w:w="189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0.02480</w:t>
            </w:r>
          </w:p>
        </w:tc>
        <w:tc>
          <w:tcPr>
            <w:tcW w:w="189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0.02494</w:t>
            </w:r>
          </w:p>
        </w:tc>
        <w:tc>
          <w:tcPr>
            <w:tcW w:w="189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0.03452</w:t>
            </w:r>
          </w:p>
        </w:tc>
      </w:tr>
    </w:tbl>
    <w:p>
      <w:pPr>
        <w:pStyle w:val="Основной текст"/>
        <w:widowControl w:val="0"/>
      </w:pPr>
      <w:r>
        <w:rPr>
          <w:rFonts w:ascii="Times New Roman" w:hAnsi="Times New Roman"/>
          <w:i/>
          <w:sz w:val="24"/>
          <w:szCs w:val="24"/>
        </w:rPr>
        <w:t>Таблица 5.2 – Значения функционала F (биномиальная настройка)</w:t>
      </w:r>
    </w:p>
    <w:p>
      <w:pPr>
        <w:pStyle w:val="Основной текст"/>
        <w:widowControl w:val="0"/>
      </w:pPr>
      <w:r>
        <w:rPr>
          <w:rFonts w:ascii="Times New Roman" w:hAnsi="Times New Roman"/>
          <w:sz w:val="24"/>
          <w:szCs w:val="24"/>
        </w:rPr>
        <w:t>Минимум достигается при Tзап = 0.1T₀ = 0.005.</w:t>
      </w:r>
    </w:p>
    <w:p>
      <w:pPr>
        <w:pStyle w:val="Основной текст"/>
        <w:widowControl w:val="0"/>
      </w:pPr>
      <w:r>
        <w:rPr>
          <w:rFonts w:ascii="Times New Roman" w:hAnsi="Times New Roman"/>
          <w:b/>
          <w:bCs/>
          <w:sz w:val="24"/>
          <w:szCs w:val="24"/>
        </w:rPr>
        <w:t>5.4 Настройка полной модели при ε = 0 (аналог п.3.3)</w:t>
      </w:r>
    </w:p>
    <w:p>
      <w:pPr>
        <w:pStyle w:val="Основной текст"/>
        <w:widowControl w:val="0"/>
      </w:pPr>
      <w:r>
        <w:rPr>
          <w:rFonts w:ascii="Times New Roman" w:hAnsi="Times New Roman"/>
          <w:sz w:val="24"/>
          <w:szCs w:val="24"/>
        </w:rPr>
        <w:t>Tμ = T₁ + Tзап. Процесс апериодический, второй максимум отсутствует.</w:t>
      </w:r>
    </w:p>
    <w:tbl>
      <w:tblPr>
        <w:tblStyle w:val="TableGrid"/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30"/>
        <w:gridCol w:w="2131"/>
        <w:gridCol w:w="2131"/>
        <w:gridCol w:w="2130"/>
      </w:tblGrid>
      <w:tr>
        <w:tc>
          <w:tcPr>
            <w:tcW w:w="2130" w:type="dxa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T₁</w:t>
            </w:r>
          </w:p>
        </w:tc>
        <w:tc>
          <w:tcPr>
            <w:tcW w:w="2131" w:type="dxa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Tμ</w:t>
            </w:r>
          </w:p>
        </w:tc>
        <w:tc>
          <w:tcPr>
            <w:tcW w:w="2131" w:type="dxa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tp1, с</w:t>
            </w:r>
          </w:p>
        </w:tc>
        <w:tc>
          <w:tcPr>
            <w:tcW w:w="2130" w:type="dxa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Δy, %</w:t>
            </w:r>
          </w:p>
        </w:tc>
      </w:tr>
      <w:tr>
        <w:tc>
          <w:tcPr>
            <w:tcW w:w="213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1.02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11.5738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>
        <w:tc>
          <w:tcPr>
            <w:tcW w:w="213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0.5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0.52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5.7394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>
      <w:pPr>
        <w:pStyle w:val="Основной текст"/>
        <w:widowControl w:val="0"/>
      </w:pPr>
      <w:r>
        <w:rPr>
          <w:rFonts w:ascii="Times New Roman" w:hAnsi="Times New Roman"/>
          <w:i/>
          <w:sz w:val="24"/>
          <w:szCs w:val="24"/>
        </w:rPr>
        <w:t>Таблица 5.3 – Параметры переходных процессов (ε = 0, биномиальная настройка)</w:t>
      </w:r>
    </w:p>
    <w:p>
      <w:pPr>
        <w:pStyle w:val="Основной текст"/>
        <w:widowControl w:val="0"/>
      </w:pPr>
      <w:r>
        <w:rPr>
          <w:rFonts w:ascii="Times New Roman" w:hAnsi="Times New Roman"/>
          <w:b/>
          <w:bCs/>
          <w:sz w:val="24"/>
          <w:szCs w:val="24"/>
        </w:rPr>
        <w:t>5.5 Настройка при ε = T₀ (аналог п.4)</w:t>
      </w:r>
    </w:p>
    <w:p>
      <w:pPr>
        <w:pStyle w:val="Основной текст"/>
        <w:widowControl w:val="0"/>
      </w:pPr>
      <w:r>
        <w:rPr>
          <w:rFonts w:ascii="Times New Roman" w:hAnsi="Times New Roman"/>
          <w:sz w:val="24"/>
          <w:szCs w:val="24"/>
        </w:rPr>
        <w:t>Tμ = T₁ + Tзап + T₀. Перерегулирование отсутствует, tp2 не определяется.</w:t>
      </w:r>
    </w:p>
    <w:tbl>
      <w:tblPr>
        <w:tblStyle w:val="TableGrid"/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30"/>
        <w:gridCol w:w="2131"/>
        <w:gridCol w:w="2131"/>
        <w:gridCol w:w="2130"/>
      </w:tblGrid>
      <w:tr>
        <w:tc>
          <w:tcPr>
            <w:tcW w:w="2130" w:type="dxa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T₁</w:t>
            </w:r>
          </w:p>
        </w:tc>
        <w:tc>
          <w:tcPr>
            <w:tcW w:w="2131" w:type="dxa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Tμ</w:t>
            </w:r>
          </w:p>
        </w:tc>
        <w:tc>
          <w:tcPr>
            <w:tcW w:w="2131" w:type="dxa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tp1, с</w:t>
            </w:r>
          </w:p>
        </w:tc>
        <w:tc>
          <w:tcPr>
            <w:tcW w:w="2130" w:type="dxa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Δy, %</w:t>
            </w:r>
          </w:p>
        </w:tc>
      </w:tr>
      <w:tr>
        <w:tc>
          <w:tcPr>
            <w:tcW w:w="213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1.07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11.3352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>
        <w:tc>
          <w:tcPr>
            <w:tcW w:w="213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0.5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0.57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5.4961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>
      <w:pPr>
        <w:pStyle w:val="Основной текст"/>
        <w:widowControl w:val="0"/>
      </w:pPr>
      <w:r>
        <w:rPr>
          <w:rFonts w:ascii="Times New Roman" w:hAnsi="Times New Roman"/>
          <w:i/>
          <w:sz w:val="24"/>
          <w:szCs w:val="24"/>
        </w:rPr>
        <w:t>Таблица 5.4 – Параметры переходных процессов (ε = T₀, биномиальная настройка)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24"/>
          <w:szCs w:val="24"/>
          <w:rtl w:val="0"/>
        </w:rPr>
        <w:t xml:space="preserve">Kp = 1 / (4 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de-DE"/>
        </w:rPr>
        <w:t xml:space="preserve">· 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i w:val="1"/>
          <w:iCs w:val="1"/>
          <w:sz w:val="24"/>
          <w:szCs w:val="24"/>
          <w:rtl w:val="0"/>
        </w:rPr>
        <w:t>)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 = 1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524500" cy="3590925"/>
            <wp:effectExtent l="0" t="0" r="0" b="0"/>
            <wp:docPr id="1073741839" name="officeArt object" descr="853fc72eb3b6704aebb53c9a516587e2743ef20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853fc72eb3b6704aebb53c9a516587e2743ef20f.png" descr="853fc72eb3b6704aebb53c9a516587e2743ef20f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13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– Биномиальная настройка</w:t>
      </w:r>
      <w:r>
        <w:rPr>
          <w:rFonts w:ascii="Times New Roman" w:hAnsi="Times New Roman"/>
          <w:sz w:val="24"/>
          <w:szCs w:val="24"/>
          <w:rtl w:val="0"/>
        </w:rPr>
        <w:t>,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sz w:val="24"/>
          <w:szCs w:val="24"/>
          <w:rtl w:val="0"/>
        </w:rPr>
        <w:t xml:space="preserve"> = 1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Kp = 0.25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р </w:t>
      </w:r>
      <w:r>
        <w:rPr>
          <w:rFonts w:ascii="Times New Roman" w:hAnsi="Times New Roman"/>
          <w:sz w:val="24"/>
          <w:szCs w:val="24"/>
          <w:rtl w:val="0"/>
        </w:rPr>
        <w:t xml:space="preserve">= 11.6682 </w:t>
      </w:r>
      <w:r>
        <w:rPr>
          <w:rFonts w:ascii="Times New Roman" w:hAnsi="Times New Roman" w:hint="default"/>
          <w:sz w:val="24"/>
          <w:szCs w:val="24"/>
          <w:rtl w:val="0"/>
        </w:rPr>
        <w:t>с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>Δ</w:t>
      </w:r>
      <w:r>
        <w:rPr>
          <w:rFonts w:ascii="Times New Roman" w:hAnsi="Times New Roman"/>
          <w:sz w:val="24"/>
          <w:szCs w:val="24"/>
          <w:rtl w:val="0"/>
        </w:rPr>
        <w:t>y = 0 %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 = 0.5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524500" cy="3590925"/>
            <wp:effectExtent l="0" t="0" r="0" b="0"/>
            <wp:docPr id="1073741840" name="officeArt object" descr="f0354043c9d03b5ef42c9f6f34c69ad06e9fb7a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f0354043c9d03b5ef42c9f6f34c69ad06e9fb7ab.png" descr="f0354043c9d03b5ef42c9f6f34c69ad06e9fb7ab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 xml:space="preserve">Рисунок </w:t>
      </w:r>
      <w:r>
        <w:rPr>
          <w:rFonts w:ascii="Times New Roman" w:hAnsi="Times New Roman"/>
          <w:sz w:val="24"/>
          <w:szCs w:val="24"/>
          <w:rtl w:val="0"/>
        </w:rPr>
        <w:t xml:space="preserve">14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– Биномиальная настройка</w:t>
      </w:r>
      <w:r>
        <w:rPr>
          <w:rFonts w:ascii="Times New Roman" w:hAnsi="Times New Roman"/>
          <w:sz w:val="24"/>
          <w:szCs w:val="24"/>
          <w:rtl w:val="0"/>
        </w:rPr>
        <w:t>,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₁</w:t>
      </w:r>
      <w:r>
        <w:rPr>
          <w:rFonts w:ascii="Times New Roman" w:hAnsi="Times New Roman"/>
          <w:sz w:val="24"/>
          <w:szCs w:val="24"/>
          <w:rtl w:val="0"/>
        </w:rPr>
        <w:t xml:space="preserve"> = 0.5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Kp = 0.5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р </w:t>
      </w:r>
      <w:r>
        <w:rPr>
          <w:rFonts w:ascii="Times New Roman" w:hAnsi="Times New Roman"/>
          <w:sz w:val="24"/>
          <w:szCs w:val="24"/>
          <w:rtl w:val="0"/>
        </w:rPr>
        <w:t xml:space="preserve">= 5.8341 </w:t>
      </w:r>
      <w:r>
        <w:rPr>
          <w:rFonts w:ascii="Times New Roman" w:hAnsi="Times New Roman" w:hint="default"/>
          <w:sz w:val="24"/>
          <w:szCs w:val="24"/>
          <w:rtl w:val="0"/>
        </w:rPr>
        <w:t>с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>Δ</w:t>
      </w:r>
      <w:r>
        <w:rPr>
          <w:rFonts w:ascii="Times New Roman" w:hAnsi="Times New Roman"/>
          <w:sz w:val="24"/>
          <w:szCs w:val="24"/>
          <w:rtl w:val="0"/>
        </w:rPr>
        <w:t>y = 0 %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Итоговый вывод по биномиальной настройке</w:t>
      </w:r>
    </w:p>
    <w:p>
      <w:pPr>
        <w:pStyle w:val="Основной текст"/>
        <w:widowControl w:val="0"/>
      </w:pPr>
      <w:r>
        <w:rPr>
          <w:rFonts w:ascii="Times New Roman" w:hAnsi="Times New Roman"/>
          <w:sz w:val="24"/>
          <w:szCs w:val="24"/>
          <w:rtl w:val="0"/>
        </w:rPr>
        <w:t>Биномиальная настройка обеспечивает апериодический характер переходного процесса и полностью устраняет перерегулирование во всех режимах моделирования. Система слабо чувствительна к изменению периода дискретности. Наилучшее совпадение цифровой системы и эквивалентной модели достигается при Tзап = 0.1T₀. По сравнению с оптимумом по модулю биномиальная настройка приводит к увеличению времени регулирования, однако полностью исключает колебательность.</w:t>
      </w:r>
    </w:p>
    <w:p>
      <w:pPr>
        <w:pStyle w:val="Основной текст"/>
        <w:widowControl w:val="0"/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Вывод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 работе выполнен параметрический синтез цифровой системы управления с П</w:t>
      </w:r>
      <w:r>
        <w:rPr>
          <w:rFonts w:ascii="Times New Roman" w:hAnsi="Times New Roman"/>
          <w:sz w:val="24"/>
          <w:szCs w:val="24"/>
          <w:rtl w:val="0"/>
        </w:rPr>
        <w:t>-</w:t>
      </w:r>
      <w:r>
        <w:rPr>
          <w:rFonts w:ascii="Times New Roman" w:hAnsi="Times New Roman" w:hint="default"/>
          <w:sz w:val="24"/>
          <w:szCs w:val="24"/>
          <w:rtl w:val="0"/>
        </w:rPr>
        <w:t>регулятором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Исследовано влияние периода дискретности и вычислительной задержки на качество переходного процесса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 w:hint="default"/>
          <w:sz w:val="24"/>
          <w:szCs w:val="24"/>
          <w:rtl w:val="0"/>
        </w:rPr>
        <w:t>Установлено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что увеличение периода дискретности ухудшает динамические показатели</w:t>
      </w:r>
      <w:r>
        <w:rPr>
          <w:rFonts w:ascii="Times New Roman" w:hAnsi="Times New Roman"/>
          <w:sz w:val="24"/>
          <w:szCs w:val="24"/>
          <w:rtl w:val="0"/>
        </w:rPr>
        <w:t xml:space="preserve">;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наилучшее совпадение цифровой системы и эквивалентной модели достигается при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зап </w:t>
      </w:r>
      <w:r>
        <w:rPr>
          <w:rFonts w:ascii="Times New Roman" w:hAnsi="Times New Roman"/>
          <w:sz w:val="24"/>
          <w:szCs w:val="24"/>
          <w:rtl w:val="0"/>
        </w:rPr>
        <w:t>= 0.4T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₀</w:t>
      </w:r>
      <w:r>
        <w:rPr>
          <w:rFonts w:ascii="Times New Roman" w:hAnsi="Times New Roman"/>
          <w:sz w:val="24"/>
          <w:szCs w:val="24"/>
          <w:rtl w:val="0"/>
        </w:rPr>
        <w:t xml:space="preserve">;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учёт вычислительной задержки уменьшает перерегулирование</w:t>
      </w:r>
      <w:r>
        <w:rPr>
          <w:rFonts w:ascii="Times New Roman" w:hAnsi="Times New Roman"/>
          <w:sz w:val="24"/>
          <w:szCs w:val="24"/>
          <w:rtl w:val="0"/>
        </w:rPr>
        <w:t xml:space="preserve">;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биномиальная настройка обеспечивает отсутствие перерегулирования при увеличении времени регулирования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sectPr>
      <w:headerReference w:type="default" r:id="rId20"/>
      <w:footerReference w:type="default" r:id="rId21"/>
      <w:pgSz w:w="11900" w:h="16840" w:orient="portrait"/>
      <w:pgMar w:top="1440" w:right="1008" w:bottom="1440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image" Target="media/image10.jpeg"/><Relationship Id="rId14" Type="http://schemas.openxmlformats.org/officeDocument/2006/relationships/image" Target="media/image11.jpeg"/><Relationship Id="rId15" Type="http://schemas.openxmlformats.org/officeDocument/2006/relationships/image" Target="media/image12.jpeg"/><Relationship Id="rId16" Type="http://schemas.openxmlformats.org/officeDocument/2006/relationships/image" Target="media/image13.jpeg"/><Relationship Id="rId17" Type="http://schemas.openxmlformats.org/officeDocument/2006/relationships/image" Target="media/image14.jpeg"/><Relationship Id="rId18" Type="http://schemas.openxmlformats.org/officeDocument/2006/relationships/image" Target="media/image15.jpeg"/><Relationship Id="rId19" Type="http://schemas.openxmlformats.org/officeDocument/2006/relationships/image" Target="media/image16.jpe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