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06190">
      <w:pPr>
        <w:spacing w:before="240" w:after="120" w:line="360" w:lineRule="auto"/>
        <w:jc w:val="center"/>
      </w:pPr>
      <w:r>
        <w:rPr>
          <w:rFonts w:ascii="Times New Roman" w:hAnsi="Times New Roman" w:eastAsia="Times New Roman" w:cs="Times New Roman"/>
          <w:b/>
          <w:i w:val="0"/>
          <w:color w:val="000000"/>
          <w:sz w:val="28"/>
        </w:rPr>
        <w:t>АННОТАЦИЯ</w:t>
      </w:r>
    </w:p>
    <w:p w14:paraId="737244F7">
      <w:pPr>
        <w:spacing w:before="0" w:after="0" w:line="360" w:lineRule="auto"/>
        <w:ind w:firstLine="709"/>
        <w:jc w:val="both"/>
      </w:pPr>
      <w:r>
        <w:rPr>
          <w:rFonts w:ascii="Times New Roman" w:hAnsi="Times New Roman" w:eastAsia="Times New Roman" w:cs="Times New Roman"/>
          <w:b w:val="0"/>
          <w:i w:val="0"/>
          <w:color w:val="000000"/>
          <w:sz w:val="28"/>
        </w:rPr>
        <w:t>Работа посвящена практике применения инструментов цифрового маркетинга в стоматологии и проектированию мобильного приложения для сети клиник. В первой главе рассмотрены понятие и инструментарий digital-маркетинга, рыночные тенденции последних лет, особенности цифровых каналов при привлечении и удержании клиентов стоматологической клиники, а также нормативные изменения 2025–2026 годов в части персональных данных, телемедицины и рекламы медицинских услуг. Во второй главе выполнен анализ внутренней и внешней среды конкретной сети клиник, определены барьеры пациентского пути и точки трения в процессах записи и пост-визитной коммуникации. В третьей главе разработан концепт мобильного приложения уровня MVP: сформулированы функциональные и нефункциональные требования, пользовательские истории и сценарии, спроектированы архитектура и модель данных, определён состав внешних интеграций и нормативных требований, рассчитан прогноз экономической эффективности. Базовый сценарий внедрения в одной клинике сети показывает чистый годовой эффект 16,3 млн руб. при сроке окупаемости 19 месяцев. Полученные результаты применимы при планировании цифровой трансформации стоматологических клиник среднего размера.</w:t>
      </w:r>
    </w:p>
    <w:p w14:paraId="4C1416AB">
      <w:pPr>
        <w:spacing w:before="240" w:after="120" w:line="360" w:lineRule="auto"/>
        <w:jc w:val="center"/>
        <w:rPr>
          <w:rFonts w:ascii="Times New Roman" w:hAnsi="Times New Roman" w:eastAsia="Times New Roman" w:cs="Times New Roman"/>
          <w:b/>
          <w:i w:val="0"/>
          <w:color w:val="000000"/>
          <w:sz w:val="28"/>
        </w:rPr>
      </w:pPr>
    </w:p>
    <w:p w14:paraId="571CD189">
      <w:pPr>
        <w:spacing w:before="240" w:after="120" w:line="360" w:lineRule="auto"/>
        <w:jc w:val="center"/>
        <w:rPr>
          <w:rFonts w:ascii="Times New Roman" w:hAnsi="Times New Roman" w:eastAsia="Times New Roman" w:cs="Times New Roman"/>
          <w:b/>
          <w:i w:val="0"/>
          <w:color w:val="000000"/>
          <w:sz w:val="28"/>
        </w:rPr>
      </w:pPr>
    </w:p>
    <w:p w14:paraId="43242416">
      <w:pPr>
        <w:spacing w:before="240" w:after="120" w:line="360" w:lineRule="auto"/>
        <w:jc w:val="center"/>
        <w:rPr>
          <w:rFonts w:ascii="Times New Roman" w:hAnsi="Times New Roman" w:eastAsia="Times New Roman" w:cs="Times New Roman"/>
          <w:b/>
          <w:i w:val="0"/>
          <w:color w:val="000000"/>
          <w:sz w:val="28"/>
        </w:rPr>
      </w:pPr>
    </w:p>
    <w:p w14:paraId="415B3BB8">
      <w:pPr>
        <w:spacing w:before="240" w:after="120" w:line="360" w:lineRule="auto"/>
        <w:jc w:val="center"/>
        <w:rPr>
          <w:rFonts w:ascii="Times New Roman" w:hAnsi="Times New Roman" w:eastAsia="Times New Roman" w:cs="Times New Roman"/>
          <w:b/>
          <w:i w:val="0"/>
          <w:color w:val="000000"/>
          <w:sz w:val="28"/>
        </w:rPr>
      </w:pPr>
    </w:p>
    <w:p w14:paraId="31DBDE48">
      <w:pPr>
        <w:spacing w:before="240" w:after="120" w:line="360" w:lineRule="auto"/>
        <w:jc w:val="center"/>
        <w:rPr>
          <w:rFonts w:ascii="Times New Roman" w:hAnsi="Times New Roman" w:eastAsia="Times New Roman" w:cs="Times New Roman"/>
          <w:b/>
          <w:i w:val="0"/>
          <w:color w:val="000000"/>
          <w:sz w:val="28"/>
        </w:rPr>
      </w:pPr>
    </w:p>
    <w:p w14:paraId="5CF65232">
      <w:pPr>
        <w:spacing w:before="240" w:after="120" w:line="360" w:lineRule="auto"/>
        <w:jc w:val="center"/>
      </w:pPr>
      <w:r>
        <w:rPr>
          <w:rFonts w:ascii="Times New Roman" w:hAnsi="Times New Roman" w:eastAsia="Times New Roman" w:cs="Times New Roman"/>
          <w:b/>
          <w:i w:val="0"/>
          <w:color w:val="000000"/>
          <w:sz w:val="28"/>
        </w:rPr>
        <w:t>ВВЕДЕНИЕ</w:t>
      </w:r>
    </w:p>
    <w:p w14:paraId="2456E695">
      <w:pPr>
        <w:spacing w:before="0" w:after="0" w:line="360" w:lineRule="auto"/>
        <w:ind w:firstLine="709"/>
        <w:jc w:val="both"/>
      </w:pPr>
      <w:r>
        <w:rPr>
          <w:rFonts w:ascii="Times New Roman" w:hAnsi="Times New Roman" w:eastAsia="Times New Roman" w:cs="Times New Roman"/>
          <w:b w:val="0"/>
          <w:i w:val="0"/>
          <w:color w:val="000000"/>
          <w:sz w:val="28"/>
        </w:rPr>
        <w:t>Российский рынок стоматологических услуг продолжает рост: по оценке DentalData (Ведомости, 01.2025), объём рынка в 2024 году достиг 712,7 млрд руб. при опережающем росте сегмента крупных городов, где конкуренция за лояльность пациента обострена сильнее. Аналитика медицинского маркетинга за последний год фиксирует рост расходов на рекламу в отрасли на 23,6 % и удорожание единицы коммуникации (заявки и звонка) примерно на 25 %. Доля клиник, которые в полной мере используют цифровые инструменты в коммуникациях с пациентом, по разным оценкам не превышает 10–15 %. Сочетание роста стоимости привлечения и недоиспользования цифровых каналов превращает цифровую трансформацию пациентского пути в условие сохранения рентабельности клиники.</w:t>
      </w:r>
    </w:p>
    <w:p w14:paraId="0C950170">
      <w:pPr>
        <w:spacing w:before="0" w:after="0" w:line="360" w:lineRule="auto"/>
        <w:ind w:firstLine="709"/>
        <w:jc w:val="both"/>
      </w:pPr>
      <w:r>
        <w:rPr>
          <w:rFonts w:ascii="Times New Roman" w:hAnsi="Times New Roman" w:eastAsia="Times New Roman" w:cs="Times New Roman"/>
          <w:b w:val="0"/>
          <w:i w:val="0"/>
          <w:color w:val="000000"/>
          <w:sz w:val="28"/>
        </w:rPr>
        <w:t>Поведение пациента меняется параллельно с рынком. Телефонный звонок сохраняет лидерство в общем потоке обращений, но среди первичных коммуникаций уже доминируют чаты и формы заявок: пациенты избегают голосового канала и ожидают от клиники удобной онлайн-записи, прозрачного ценообразования и доступа к истории визитов в одном цифровом контуре. Запрос на digital-сервис подтверждает и зарубежная статистика: до 83 % пациентов предпочитают самостоятельную онлайн-запись (Resonate), а 81 % готовы рекомендовать клинику при превышении ожиданий по коммуникациям (Smart Communications, 2025).</w:t>
      </w:r>
    </w:p>
    <w:p w14:paraId="2B1F8418">
      <w:pPr>
        <w:spacing w:before="0" w:after="0" w:line="360" w:lineRule="auto"/>
        <w:ind w:firstLine="709"/>
        <w:jc w:val="both"/>
      </w:pPr>
      <w:r>
        <w:rPr>
          <w:rFonts w:ascii="Times New Roman" w:hAnsi="Times New Roman" w:eastAsia="Times New Roman" w:cs="Times New Roman"/>
          <w:b w:val="0"/>
          <w:i w:val="0"/>
          <w:color w:val="000000"/>
          <w:sz w:val="28"/>
        </w:rPr>
        <w:t>Управленческая проблема исследования формулируется как несоответствие текущей цепочки касаний клиники ожиданиям пациента: удобной онлайн-записи, прозрачному статусу лечения и доступу к истории визитов. Внешними проявлениями выступают низкая конверсия первичного трафика, рост числа неявок на записанные приёмы, отказы от лечения из-за трудоёмкости переноса записи, отток пациентов на этапе пост-диагностики, увеличение операционной нагрузки на регистратуру, снижение частоты профилактических визитов и зависимость бизнеса от единственного телефонного канала записи.</w:t>
      </w:r>
    </w:p>
    <w:p w14:paraId="0F668B5E">
      <w:pPr>
        <w:spacing w:before="0" w:after="0" w:line="360" w:lineRule="auto"/>
        <w:ind w:firstLine="709"/>
        <w:jc w:val="both"/>
      </w:pPr>
      <w:r>
        <w:rPr>
          <w:rFonts w:ascii="Times New Roman" w:hAnsi="Times New Roman" w:eastAsia="Times New Roman" w:cs="Times New Roman"/>
          <w:b w:val="0"/>
          <w:i w:val="0"/>
          <w:color w:val="000000"/>
          <w:sz w:val="28"/>
        </w:rPr>
        <w:t>Актуальность темы обусловлена и нормативной средой. В 2025–2026 годах последовательно меняются требования к работе с персональными данными, телемедицинским технологиям и рекламе медицинских услуг. С 30 мая и 1 сентября 2025 года в силу вступают изменения в Федеральный закон «О персональных данных», внесённые Федеральным законом от 23.05.2025 № 121-ФЗ: согласие должно оформляться отдельным документом, ужесточаются требования к составу обязательных реквизитов и хранению. С 1 июля 2025 года введён запрет на обработку и хранение персональных данных российских граждан в базах, размещённых за пределами Российской Федерации. С 1 сентября 2025 года действуют новый порядок применения телемедицинских технологий, утверждённый приказом Минздрава России № 193н, и универсальный запрет рекламы на ограниченных и нежелательных интернет-ресурсах (ФЗ от 07.04.2025 № 72-ФЗ), меняющий правила продвижения медицинских услуг в интернете. Эти изменения напрямую определяют технические и продуктовые решения цифровых сервисов клиники.</w:t>
      </w:r>
    </w:p>
    <w:p w14:paraId="753A7BDF">
      <w:pPr>
        <w:spacing w:before="0" w:after="0" w:line="360" w:lineRule="auto"/>
        <w:ind w:firstLine="709"/>
        <w:jc w:val="both"/>
      </w:pPr>
      <w:r>
        <w:rPr>
          <w:rFonts w:ascii="Times New Roman" w:hAnsi="Times New Roman" w:eastAsia="Times New Roman" w:cs="Times New Roman"/>
          <w:b w:val="0"/>
          <w:i w:val="0"/>
          <w:color w:val="000000"/>
          <w:sz w:val="28"/>
        </w:rPr>
        <w:t>Объектом исследования выступает сеть стоматологических клиник как субъект рынка медицинских услуг, реализующий цифровую модель взаимодействия с пациентом. Предметом исследования являются инструменты цифрового маркетинга, применяемые при привлечении и удержании пациентов, и проектные решения мобильного приложения, поддерживающего ключевые этапы пациентского пути.</w:t>
      </w:r>
    </w:p>
    <w:p w14:paraId="262E6A39">
      <w:pPr>
        <w:spacing w:before="0" w:after="0" w:line="360" w:lineRule="auto"/>
        <w:ind w:firstLine="709"/>
        <w:jc w:val="both"/>
      </w:pPr>
      <w:r>
        <w:rPr>
          <w:rFonts w:ascii="Times New Roman" w:hAnsi="Times New Roman" w:eastAsia="Times New Roman" w:cs="Times New Roman"/>
          <w:b w:val="0"/>
          <w:i w:val="0"/>
          <w:color w:val="000000"/>
          <w:sz w:val="28"/>
        </w:rPr>
        <w:t>Цель работы — обосновать состав цифровых инструментов, снимающих барьеры пациентского пути в стоматологической клинике, и разработать концепт мобильного приложения уровня MVP, реализующий приоритетные сценарии записи, ведения профиля и оформления налогового вычета.</w:t>
      </w:r>
    </w:p>
    <w:p w14:paraId="26D3C112">
      <w:pPr>
        <w:spacing w:before="0" w:after="0" w:line="360" w:lineRule="auto"/>
        <w:ind w:firstLine="709"/>
        <w:jc w:val="both"/>
      </w:pPr>
      <w:r>
        <w:rPr>
          <w:rFonts w:ascii="Times New Roman" w:hAnsi="Times New Roman" w:eastAsia="Times New Roman" w:cs="Times New Roman"/>
          <w:b w:val="0"/>
          <w:i w:val="0"/>
          <w:color w:val="000000"/>
          <w:sz w:val="28"/>
        </w:rPr>
        <w:t>Для достижения цели поставлены следующие задачи:</w:t>
      </w:r>
    </w:p>
    <w:p w14:paraId="2CE6DBDB">
      <w:pPr>
        <w:spacing w:before="0" w:after="0" w:line="360" w:lineRule="auto"/>
        <w:ind w:firstLine="709"/>
        <w:jc w:val="both"/>
      </w:pPr>
      <w:r>
        <w:rPr>
          <w:rFonts w:ascii="Times New Roman" w:hAnsi="Times New Roman" w:eastAsia="Times New Roman" w:cs="Times New Roman"/>
          <w:b w:val="0"/>
          <w:i w:val="0"/>
          <w:color w:val="000000"/>
          <w:sz w:val="28"/>
        </w:rPr>
        <w:t>1) проанализировать понятие и инструментарий цифрового маркетинга, рыночные тенденции его развития и особенности применения в стоматологии;</w:t>
      </w:r>
    </w:p>
    <w:p w14:paraId="42118350">
      <w:pPr>
        <w:spacing w:before="0" w:after="0" w:line="360" w:lineRule="auto"/>
        <w:ind w:firstLine="709"/>
        <w:jc w:val="both"/>
      </w:pPr>
      <w:r>
        <w:rPr>
          <w:rFonts w:ascii="Times New Roman" w:hAnsi="Times New Roman" w:eastAsia="Times New Roman" w:cs="Times New Roman"/>
          <w:b w:val="0"/>
          <w:i w:val="0"/>
          <w:color w:val="000000"/>
          <w:sz w:val="28"/>
        </w:rPr>
        <w:t>2) изучить международный и российский опыт решения проблемы цифровых барьеров записи и удержания пациентов и определить теоретические предпосылки её устранения;</w:t>
      </w:r>
    </w:p>
    <w:p w14:paraId="16D7277B">
      <w:pPr>
        <w:spacing w:before="0" w:after="0" w:line="360" w:lineRule="auto"/>
        <w:ind w:firstLine="709"/>
        <w:jc w:val="both"/>
      </w:pPr>
      <w:r>
        <w:rPr>
          <w:rFonts w:ascii="Times New Roman" w:hAnsi="Times New Roman" w:eastAsia="Times New Roman" w:cs="Times New Roman"/>
          <w:b w:val="0"/>
          <w:i w:val="0"/>
          <w:color w:val="000000"/>
          <w:sz w:val="28"/>
        </w:rPr>
        <w:t>3) систематизировать нормативные изменения 2025–2026 годов в части персональных данных, телемедицины и рекламы медицинских услуг и оценить их влияние на проектные решения;</w:t>
      </w:r>
    </w:p>
    <w:p w14:paraId="31B39367">
      <w:pPr>
        <w:spacing w:before="0" w:after="0" w:line="360" w:lineRule="auto"/>
        <w:ind w:firstLine="709"/>
        <w:jc w:val="both"/>
      </w:pPr>
      <w:r>
        <w:rPr>
          <w:rFonts w:ascii="Times New Roman" w:hAnsi="Times New Roman" w:eastAsia="Times New Roman" w:cs="Times New Roman"/>
          <w:b w:val="0"/>
          <w:i w:val="0"/>
          <w:color w:val="000000"/>
          <w:sz w:val="28"/>
        </w:rPr>
        <w:t>4) обосновать выбор конкретного состава цифровых инструментов для клиники и сформулировать критерии их отбора;</w:t>
      </w:r>
    </w:p>
    <w:p w14:paraId="5B4A29C5">
      <w:pPr>
        <w:spacing w:before="0" w:after="0" w:line="360" w:lineRule="auto"/>
        <w:ind w:firstLine="709"/>
        <w:jc w:val="both"/>
      </w:pPr>
      <w:r>
        <w:rPr>
          <w:rFonts w:ascii="Times New Roman" w:hAnsi="Times New Roman" w:eastAsia="Times New Roman" w:cs="Times New Roman"/>
          <w:b w:val="0"/>
          <w:i w:val="0"/>
          <w:color w:val="000000"/>
          <w:sz w:val="28"/>
        </w:rPr>
        <w:t>5) разработать концепт мобильного приложения уровня MVP и оценить прогнозный экономический эффект внедрения.</w:t>
      </w:r>
    </w:p>
    <w:p w14:paraId="47A691B2">
      <w:pPr>
        <w:spacing w:before="0" w:after="0" w:line="360" w:lineRule="auto"/>
        <w:ind w:firstLine="709"/>
        <w:jc w:val="both"/>
      </w:pPr>
      <w:r>
        <w:rPr>
          <w:rFonts w:ascii="Times New Roman" w:hAnsi="Times New Roman" w:eastAsia="Times New Roman" w:cs="Times New Roman"/>
          <w:b w:val="0"/>
          <w:i w:val="0"/>
          <w:color w:val="000000"/>
          <w:sz w:val="28"/>
        </w:rPr>
        <w:t>Методологическую основу исследования составили общенаучные методы анализа и синтеза, системный и сравнительный подходы, методы кабинетного анализа открытых данных, контент-анализ научной литературы и нормативных актов, методы проектирования программного обеспечения по ГОСТ 34.602-89 и модели качества ISO/IEC 25010:2011, расчётные методы прогнозной экономической оценки.</w:t>
      </w:r>
    </w:p>
    <w:p w14:paraId="46BDA771">
      <w:pPr>
        <w:spacing w:before="0" w:after="0" w:line="360" w:lineRule="auto"/>
        <w:ind w:firstLine="709"/>
        <w:jc w:val="both"/>
      </w:pPr>
      <w:r>
        <w:rPr>
          <w:rFonts w:ascii="Times New Roman" w:hAnsi="Times New Roman" w:eastAsia="Times New Roman" w:cs="Times New Roman"/>
          <w:b w:val="0"/>
          <w:i w:val="0"/>
          <w:color w:val="000000"/>
          <w:sz w:val="28"/>
        </w:rPr>
        <w:t>Информационная база исследования включает работы российских и зарубежных авторов в области цифрового маркетинга и медицинских коммуникаций, отраслевые отчёты BusinesStat и аналитические обзоры медицинского маркетинга, законодательные и подзаконные акты Российской Федерации (в том числе федеральные законы № 152-ФЗ, № 323-ФЗ, № 38-ФЗ, приказы Минздрава России и ФСТЭК), международные источники (материалы Американской стоматологической ассоциации, Национальной службы здравоохранения Великобритании, профильные мета-анализы), а также собственные расчёты автора по базовому сценарию внедрения мобильного приложения.</w:t>
      </w:r>
    </w:p>
    <w:p w14:paraId="7E770D30">
      <w:pPr>
        <w:spacing w:before="0" w:after="0" w:line="360" w:lineRule="auto"/>
        <w:ind w:firstLine="709"/>
        <w:jc w:val="both"/>
      </w:pPr>
      <w:r>
        <w:rPr>
          <w:rFonts w:ascii="Times New Roman" w:hAnsi="Times New Roman" w:eastAsia="Times New Roman" w:cs="Times New Roman"/>
          <w:b w:val="0"/>
          <w:i w:val="0"/>
          <w:color w:val="000000"/>
          <w:sz w:val="28"/>
        </w:rPr>
        <w:t>Научная и практическая значимость работы заключается в систематизации связи между конкретными барьерами пациентского пути в стоматологии и составом цифровых инструментов, способных эти барьеры снимать, с привязкой к актуальной нормативной среде и проверяемым эмпирическим данным. Полученные проектные решения применимы сетями клиник среднего размера при подготовке цифровых продуктов и обосновании инвестиционных решений.</w:t>
      </w:r>
    </w:p>
    <w:p w14:paraId="1348FBB3">
      <w:pPr>
        <w:spacing w:before="0" w:after="0" w:line="360" w:lineRule="auto"/>
        <w:ind w:firstLine="709"/>
        <w:jc w:val="both"/>
      </w:pPr>
      <w:r>
        <w:rPr>
          <w:rFonts w:ascii="Times New Roman" w:hAnsi="Times New Roman" w:eastAsia="Times New Roman" w:cs="Times New Roman"/>
          <w:b w:val="0"/>
          <w:i w:val="0"/>
          <w:color w:val="000000"/>
          <w:sz w:val="28"/>
        </w:rPr>
        <w:t>Работа состоит из аннотации, введения, трёх глав, заключения и списка использованных источников. Первая глава посвящена теоретическим и рыночным основам применения цифрового маркетинга в стоматологии и включает дополнительный раздел о международной и российской практике решения проблемы цифровых барьеров. Во второй главе выполняется анализ среды и пациентского пути сети клиник, обосновывается выбор цифровых инструментов и формулируются критерии отбора. Третья глава содержит концепт мобильного приложения уровня MVP и расчёт прогнозного экономического эффекта.</w:t>
      </w:r>
    </w:p>
    <w:p w14:paraId="4A9BCB3D">
      <w:pPr>
        <w:spacing w:before="240" w:after="120" w:line="360" w:lineRule="auto"/>
        <w:ind w:firstLine="709"/>
        <w:jc w:val="left"/>
      </w:pPr>
      <w:r>
        <w:rPr>
          <w:rFonts w:ascii="Times New Roman" w:hAnsi="Times New Roman" w:eastAsia="Times New Roman" w:cs="Times New Roman"/>
          <w:b/>
          <w:i w:val="0"/>
          <w:color w:val="000000"/>
          <w:sz w:val="28"/>
        </w:rPr>
        <w:t>1.4. Международная и российская практика решения проблемы цифровых барьеров записи и удержания пациентов в стоматологии</w:t>
      </w:r>
    </w:p>
    <w:p w14:paraId="7F9A57CA">
      <w:pPr>
        <w:spacing w:before="0" w:after="0" w:line="360" w:lineRule="auto"/>
        <w:ind w:firstLine="709"/>
        <w:jc w:val="both"/>
      </w:pPr>
      <w:r>
        <w:rPr>
          <w:rFonts w:ascii="Times New Roman" w:hAnsi="Times New Roman" w:eastAsia="Times New Roman" w:cs="Times New Roman"/>
          <w:b w:val="0"/>
          <w:i w:val="0"/>
          <w:color w:val="000000"/>
          <w:sz w:val="28"/>
        </w:rPr>
        <w:t>Параграфы 1.1–1.3 первой главы дают обзор инструментов и тенденций цифрового маркетинга в стоматологии и фиксируют барьеры пациентского пути на уровне общих категорий. Однако управленческие проявления, с которыми сталкивается конкретная сеть клиник, лежат глубже: они связаны не с отсутствием инструментов как таковых, а с разрывами в цепочке касаний и с тем, что отдельные элементы коммуникации не работают друг с другом. В настоящем параграфе проблема переформулирована в терминах точек трения пациентского пути, приведён обзор международных и российских практик её решения и систематизированы изменения нормативной базы 2025–2026 годов, формирующие правовые рамки для проектных решений.</w:t>
      </w:r>
    </w:p>
    <w:p w14:paraId="39397CE2">
      <w:pPr>
        <w:spacing w:before="120" w:after="80" w:line="360" w:lineRule="auto"/>
        <w:ind w:firstLine="709"/>
        <w:jc w:val="left"/>
      </w:pPr>
      <w:r>
        <w:rPr>
          <w:rFonts w:ascii="Times New Roman" w:hAnsi="Times New Roman" w:eastAsia="Times New Roman" w:cs="Times New Roman"/>
          <w:b/>
          <w:i w:val="0"/>
          <w:color w:val="000000"/>
          <w:sz w:val="28"/>
        </w:rPr>
        <w:t>1.4.1. Постановка проблемы и теоретическая рамка точек трения</w:t>
      </w:r>
    </w:p>
    <w:p w14:paraId="3C489623">
      <w:pPr>
        <w:spacing w:before="0" w:after="0" w:line="360" w:lineRule="auto"/>
        <w:ind w:firstLine="709"/>
        <w:jc w:val="both"/>
      </w:pPr>
      <w:r>
        <w:rPr>
          <w:rFonts w:ascii="Times New Roman" w:hAnsi="Times New Roman" w:eastAsia="Times New Roman" w:cs="Times New Roman"/>
          <w:b w:val="0"/>
          <w:i w:val="0"/>
          <w:color w:val="000000"/>
          <w:sz w:val="28"/>
        </w:rPr>
        <w:t>В исследовательской литературе барьеры доступа к стоматологической помощи традиционно описываются на двух уровнях. Первый уровень включает структурные ограничения — стоимость услуг, наличие страхового покрытия, географическую удалённость, дефицит кадров. По данным Health Policy Institute Американской стоматологической ассоциации за 2023 год, 13 % взрослых американцев называют стоимость лечения главным барьером посещения стоматолога — это в три раза выше, чем в других сегментах здравоохранения. По оценке CareQuest Institute for Oral Health (2023), более 68 млн взрослых жителей США не имеют стоматологической страховки. Второй уровень относится к поведенческим и сервисным барьерам — страху лечения, недостатку времени, негативному опыту, трудностям записи, отсутствию информации.</w:t>
      </w:r>
    </w:p>
    <w:p w14:paraId="10D3E55E">
      <w:pPr>
        <w:spacing w:before="0" w:after="0" w:line="360" w:lineRule="auto"/>
        <w:ind w:firstLine="709"/>
        <w:jc w:val="both"/>
      </w:pPr>
      <w:r>
        <w:rPr>
          <w:rFonts w:ascii="Times New Roman" w:hAnsi="Times New Roman" w:eastAsia="Times New Roman" w:cs="Times New Roman"/>
          <w:b w:val="0"/>
          <w:i w:val="0"/>
          <w:color w:val="000000"/>
          <w:sz w:val="28"/>
        </w:rPr>
        <w:t>Параллельно в маркетинговых исследованиях развивается понятие точек трения (friction points) — конкретных эпизодов в пациентском пути, которые повышают усилие пациента и снижают вероятность продолжения сценария. Отраслевой обзор Vada о практике управления стоматологической клиникой (2026) фиксирует, что значительная доля новых пациентов не возвращается после первого визита, а часть пациентов откладывает или отказывается от лечения; основными причинами выступают слабая коммуникация, отсутствие прозрачных объяснений и несвязанные между собой каналы записи и пост-визитного контакта.</w:t>
      </w:r>
    </w:p>
    <w:p w14:paraId="5082A623">
      <w:pPr>
        <w:spacing w:before="0" w:after="0" w:line="360" w:lineRule="auto"/>
        <w:ind w:firstLine="709"/>
        <w:jc w:val="both"/>
      </w:pPr>
      <w:r>
        <w:rPr>
          <w:rFonts w:ascii="Times New Roman" w:hAnsi="Times New Roman" w:eastAsia="Times New Roman" w:cs="Times New Roman"/>
          <w:b w:val="0"/>
          <w:i w:val="0"/>
          <w:color w:val="000000"/>
          <w:sz w:val="28"/>
        </w:rPr>
        <w:t>Управленческая проблема в формулировке настоящей работы соединяет оба уровня: структурные барьеры выступают фоном, а решающее значение приобретают точки трения в цифровой части пути. Для систематизации проявлений, описанных в постановке исследовательского вопроса, в таблице 1.4.1 представлена сопоставительная классификация: проявление в работе клиники, тип барьера и стадия пациентского пути.</w:t>
      </w:r>
    </w:p>
    <w:p w14:paraId="1A4666D6">
      <w:pPr>
        <w:spacing w:before="120" w:after="40" w:line="360" w:lineRule="auto"/>
        <w:jc w:val="left"/>
      </w:pPr>
      <w:r>
        <w:rPr>
          <w:rFonts w:ascii="Times New Roman" w:hAnsi="Times New Roman" w:eastAsia="Times New Roman" w:cs="Times New Roman"/>
          <w:b w:val="0"/>
          <w:i w:val="0"/>
          <w:color w:val="000000"/>
          <w:sz w:val="28"/>
        </w:rPr>
        <w:t>Таблица 1.4.1 – Классификация проявлений управленческой проблемы по типу барьера и стадии пациентского пути</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14:paraId="4BEF85E1">
        <w:tc>
          <w:tcPr>
            <w:tcW w:w="4535" w:type="dxa"/>
            <w:vAlign w:val="center"/>
          </w:tcPr>
          <w:p w14:paraId="765FADE1">
            <w:pPr>
              <w:spacing w:before="0" w:after="0" w:line="360" w:lineRule="auto"/>
              <w:jc w:val="center"/>
            </w:pPr>
            <w:r>
              <w:rPr>
                <w:rFonts w:ascii="Times New Roman" w:hAnsi="Times New Roman" w:eastAsia="Times New Roman" w:cs="Times New Roman"/>
                <w:b/>
                <w:i w:val="0"/>
                <w:color w:val="000000"/>
                <w:sz w:val="28"/>
              </w:rPr>
              <w:t>Проявление в клинике</w:t>
            </w:r>
          </w:p>
        </w:tc>
        <w:tc>
          <w:tcPr>
            <w:tcW w:w="2835" w:type="dxa"/>
            <w:vAlign w:val="center"/>
          </w:tcPr>
          <w:p w14:paraId="1BD38348">
            <w:pPr>
              <w:spacing w:before="0" w:after="0" w:line="360" w:lineRule="auto"/>
              <w:jc w:val="center"/>
            </w:pPr>
            <w:r>
              <w:rPr>
                <w:rFonts w:ascii="Times New Roman" w:hAnsi="Times New Roman" w:eastAsia="Times New Roman" w:cs="Times New Roman"/>
                <w:b/>
                <w:i w:val="0"/>
                <w:color w:val="000000"/>
                <w:sz w:val="28"/>
              </w:rPr>
              <w:t>Тип барьера</w:t>
            </w:r>
          </w:p>
        </w:tc>
        <w:tc>
          <w:tcPr>
            <w:tcW w:w="2268" w:type="dxa"/>
            <w:vAlign w:val="center"/>
          </w:tcPr>
          <w:p w14:paraId="34618233">
            <w:pPr>
              <w:spacing w:before="0" w:after="0" w:line="360" w:lineRule="auto"/>
              <w:jc w:val="center"/>
            </w:pPr>
            <w:r>
              <w:rPr>
                <w:rFonts w:ascii="Times New Roman" w:hAnsi="Times New Roman" w:eastAsia="Times New Roman" w:cs="Times New Roman"/>
                <w:b/>
                <w:i w:val="0"/>
                <w:color w:val="000000"/>
                <w:sz w:val="28"/>
              </w:rPr>
              <w:t>Стадия пути</w:t>
            </w:r>
          </w:p>
        </w:tc>
      </w:tr>
      <w:tr w14:paraId="6520C57E">
        <w:tc>
          <w:tcPr>
            <w:tcW w:w="4535" w:type="dxa"/>
            <w:vAlign w:val="top"/>
          </w:tcPr>
          <w:p w14:paraId="22C38939">
            <w:pPr>
              <w:spacing w:before="0" w:after="0" w:line="360" w:lineRule="auto"/>
              <w:jc w:val="left"/>
            </w:pPr>
            <w:r>
              <w:rPr>
                <w:rFonts w:ascii="Times New Roman" w:hAnsi="Times New Roman" w:eastAsia="Times New Roman" w:cs="Times New Roman"/>
                <w:b w:val="0"/>
                <w:i w:val="0"/>
                <w:color w:val="000000"/>
                <w:sz w:val="28"/>
              </w:rPr>
              <w:t>Низкая конверсия первичного трафика сайта в записи</w:t>
            </w:r>
          </w:p>
        </w:tc>
        <w:tc>
          <w:tcPr>
            <w:tcW w:w="2835" w:type="dxa"/>
            <w:vAlign w:val="top"/>
          </w:tcPr>
          <w:p w14:paraId="15E83CD0">
            <w:pPr>
              <w:spacing w:before="0" w:after="0" w:line="360" w:lineRule="auto"/>
              <w:jc w:val="left"/>
            </w:pPr>
            <w:r>
              <w:rPr>
                <w:rFonts w:ascii="Times New Roman" w:hAnsi="Times New Roman" w:eastAsia="Times New Roman" w:cs="Times New Roman"/>
                <w:b w:val="0"/>
                <w:i w:val="0"/>
                <w:color w:val="000000"/>
                <w:sz w:val="28"/>
              </w:rPr>
              <w:t>Сервисный (трудоёмкость записи)</w:t>
            </w:r>
          </w:p>
        </w:tc>
        <w:tc>
          <w:tcPr>
            <w:tcW w:w="2268" w:type="dxa"/>
            <w:vAlign w:val="top"/>
          </w:tcPr>
          <w:p w14:paraId="423F6FCD">
            <w:pPr>
              <w:spacing w:before="0" w:after="0" w:line="360" w:lineRule="auto"/>
              <w:jc w:val="left"/>
            </w:pPr>
            <w:r>
              <w:rPr>
                <w:rFonts w:ascii="Times New Roman" w:hAnsi="Times New Roman" w:eastAsia="Times New Roman" w:cs="Times New Roman"/>
                <w:b w:val="0"/>
                <w:i w:val="0"/>
                <w:color w:val="000000"/>
                <w:sz w:val="28"/>
              </w:rPr>
              <w:t>Привлечение</w:t>
            </w:r>
          </w:p>
        </w:tc>
      </w:tr>
      <w:tr w14:paraId="0304A9A3">
        <w:tc>
          <w:tcPr>
            <w:tcW w:w="4535" w:type="dxa"/>
            <w:vAlign w:val="top"/>
          </w:tcPr>
          <w:p w14:paraId="0BAE9CC0">
            <w:pPr>
              <w:spacing w:before="0" w:after="0" w:line="360" w:lineRule="auto"/>
              <w:jc w:val="left"/>
            </w:pPr>
            <w:r>
              <w:rPr>
                <w:rFonts w:ascii="Times New Roman" w:hAnsi="Times New Roman" w:eastAsia="Times New Roman" w:cs="Times New Roman"/>
                <w:b w:val="0"/>
                <w:i w:val="0"/>
                <w:color w:val="000000"/>
                <w:sz w:val="28"/>
              </w:rPr>
              <w:t>Рост числа неявок на записанные приёмы</w:t>
            </w:r>
          </w:p>
        </w:tc>
        <w:tc>
          <w:tcPr>
            <w:tcW w:w="2835" w:type="dxa"/>
            <w:vAlign w:val="top"/>
          </w:tcPr>
          <w:p w14:paraId="13F68BE7">
            <w:pPr>
              <w:spacing w:before="0" w:after="0" w:line="360" w:lineRule="auto"/>
              <w:jc w:val="left"/>
            </w:pPr>
            <w:r>
              <w:rPr>
                <w:rFonts w:ascii="Times New Roman" w:hAnsi="Times New Roman" w:eastAsia="Times New Roman" w:cs="Times New Roman"/>
                <w:b w:val="0"/>
                <w:i w:val="0"/>
                <w:color w:val="000000"/>
                <w:sz w:val="28"/>
              </w:rPr>
              <w:t>Поведенческий (забывание, низкая мотивация)</w:t>
            </w:r>
          </w:p>
        </w:tc>
        <w:tc>
          <w:tcPr>
            <w:tcW w:w="2268" w:type="dxa"/>
            <w:vAlign w:val="top"/>
          </w:tcPr>
          <w:p w14:paraId="694EF5E9">
            <w:pPr>
              <w:spacing w:before="0" w:after="0" w:line="360" w:lineRule="auto"/>
              <w:jc w:val="left"/>
            </w:pPr>
            <w:r>
              <w:rPr>
                <w:rFonts w:ascii="Times New Roman" w:hAnsi="Times New Roman" w:eastAsia="Times New Roman" w:cs="Times New Roman"/>
                <w:b w:val="0"/>
                <w:i w:val="0"/>
                <w:color w:val="000000"/>
                <w:sz w:val="28"/>
              </w:rPr>
              <w:t>Подтверждение</w:t>
            </w:r>
          </w:p>
        </w:tc>
      </w:tr>
      <w:tr w14:paraId="79234AEC">
        <w:tc>
          <w:tcPr>
            <w:tcW w:w="4535" w:type="dxa"/>
            <w:vAlign w:val="top"/>
          </w:tcPr>
          <w:p w14:paraId="48C533D7">
            <w:pPr>
              <w:spacing w:before="0" w:after="0" w:line="360" w:lineRule="auto"/>
              <w:jc w:val="left"/>
            </w:pPr>
            <w:r>
              <w:rPr>
                <w:rFonts w:ascii="Times New Roman" w:hAnsi="Times New Roman" w:eastAsia="Times New Roman" w:cs="Times New Roman"/>
                <w:b w:val="0"/>
                <w:i w:val="0"/>
                <w:color w:val="000000"/>
                <w:sz w:val="28"/>
              </w:rPr>
              <w:t>Отказы из-за трудоёмкости переноса записи</w:t>
            </w:r>
          </w:p>
        </w:tc>
        <w:tc>
          <w:tcPr>
            <w:tcW w:w="2835" w:type="dxa"/>
            <w:vAlign w:val="top"/>
          </w:tcPr>
          <w:p w14:paraId="7FD96DD2">
            <w:pPr>
              <w:spacing w:before="0" w:after="0" w:line="360" w:lineRule="auto"/>
              <w:jc w:val="left"/>
            </w:pPr>
            <w:r>
              <w:rPr>
                <w:rFonts w:ascii="Times New Roman" w:hAnsi="Times New Roman" w:eastAsia="Times New Roman" w:cs="Times New Roman"/>
                <w:b w:val="0"/>
                <w:i w:val="0"/>
                <w:color w:val="000000"/>
                <w:sz w:val="28"/>
              </w:rPr>
              <w:t>Сервисный (отсутствие самообслуживания)</w:t>
            </w:r>
          </w:p>
        </w:tc>
        <w:tc>
          <w:tcPr>
            <w:tcW w:w="2268" w:type="dxa"/>
            <w:vAlign w:val="top"/>
          </w:tcPr>
          <w:p w14:paraId="0C52ED57">
            <w:pPr>
              <w:spacing w:before="0" w:after="0" w:line="360" w:lineRule="auto"/>
              <w:jc w:val="left"/>
            </w:pPr>
            <w:r>
              <w:rPr>
                <w:rFonts w:ascii="Times New Roman" w:hAnsi="Times New Roman" w:eastAsia="Times New Roman" w:cs="Times New Roman"/>
                <w:b w:val="0"/>
                <w:i w:val="0"/>
                <w:color w:val="000000"/>
                <w:sz w:val="28"/>
              </w:rPr>
              <w:t>Подтверждение</w:t>
            </w:r>
          </w:p>
        </w:tc>
      </w:tr>
      <w:tr w14:paraId="2B392C70">
        <w:tc>
          <w:tcPr>
            <w:tcW w:w="4535" w:type="dxa"/>
            <w:vAlign w:val="top"/>
          </w:tcPr>
          <w:p w14:paraId="5C7F1E98">
            <w:pPr>
              <w:spacing w:before="0" w:after="0" w:line="360" w:lineRule="auto"/>
              <w:jc w:val="left"/>
            </w:pPr>
            <w:r>
              <w:rPr>
                <w:rFonts w:ascii="Times New Roman" w:hAnsi="Times New Roman" w:eastAsia="Times New Roman" w:cs="Times New Roman"/>
                <w:b w:val="0"/>
                <w:i w:val="0"/>
                <w:color w:val="000000"/>
                <w:sz w:val="28"/>
              </w:rPr>
              <w:t>Отток на этапе пост-диагностики</w:t>
            </w:r>
          </w:p>
        </w:tc>
        <w:tc>
          <w:tcPr>
            <w:tcW w:w="2835" w:type="dxa"/>
            <w:vAlign w:val="top"/>
          </w:tcPr>
          <w:p w14:paraId="1AF68306">
            <w:pPr>
              <w:spacing w:before="0" w:after="0" w:line="360" w:lineRule="auto"/>
              <w:jc w:val="left"/>
            </w:pPr>
            <w:r>
              <w:rPr>
                <w:rFonts w:ascii="Times New Roman" w:hAnsi="Times New Roman" w:eastAsia="Times New Roman" w:cs="Times New Roman"/>
                <w:b w:val="0"/>
                <w:i w:val="0"/>
                <w:color w:val="000000"/>
                <w:sz w:val="28"/>
              </w:rPr>
              <w:t>Информационный (нет цифрового канала плана лечения)</w:t>
            </w:r>
          </w:p>
        </w:tc>
        <w:tc>
          <w:tcPr>
            <w:tcW w:w="2268" w:type="dxa"/>
            <w:vAlign w:val="top"/>
          </w:tcPr>
          <w:p w14:paraId="5E26F0B0">
            <w:pPr>
              <w:spacing w:before="0" w:after="0" w:line="360" w:lineRule="auto"/>
              <w:jc w:val="left"/>
            </w:pPr>
            <w:r>
              <w:rPr>
                <w:rFonts w:ascii="Times New Roman" w:hAnsi="Times New Roman" w:eastAsia="Times New Roman" w:cs="Times New Roman"/>
                <w:b w:val="0"/>
                <w:i w:val="0"/>
                <w:color w:val="000000"/>
                <w:sz w:val="28"/>
              </w:rPr>
              <w:t>Пост-визит</w:t>
            </w:r>
          </w:p>
        </w:tc>
      </w:tr>
      <w:tr w14:paraId="542EBDB6">
        <w:tc>
          <w:tcPr>
            <w:tcW w:w="4535" w:type="dxa"/>
            <w:vAlign w:val="top"/>
          </w:tcPr>
          <w:p w14:paraId="0819AF95">
            <w:pPr>
              <w:spacing w:before="0" w:after="0" w:line="360" w:lineRule="auto"/>
              <w:jc w:val="left"/>
            </w:pPr>
            <w:r>
              <w:rPr>
                <w:rFonts w:ascii="Times New Roman" w:hAnsi="Times New Roman" w:eastAsia="Times New Roman" w:cs="Times New Roman"/>
                <w:b w:val="0"/>
                <w:i w:val="0"/>
                <w:color w:val="000000"/>
                <w:sz w:val="28"/>
              </w:rPr>
              <w:t>Нагрузка регистратуры по запросам истории</w:t>
            </w:r>
          </w:p>
        </w:tc>
        <w:tc>
          <w:tcPr>
            <w:tcW w:w="2835" w:type="dxa"/>
            <w:vAlign w:val="top"/>
          </w:tcPr>
          <w:p w14:paraId="5689D56A">
            <w:pPr>
              <w:spacing w:before="0" w:after="0" w:line="360" w:lineRule="auto"/>
              <w:jc w:val="left"/>
            </w:pPr>
            <w:r>
              <w:rPr>
                <w:rFonts w:ascii="Times New Roman" w:hAnsi="Times New Roman" w:eastAsia="Times New Roman" w:cs="Times New Roman"/>
                <w:b w:val="0"/>
                <w:i w:val="0"/>
                <w:color w:val="000000"/>
                <w:sz w:val="28"/>
              </w:rPr>
              <w:t>Информационный (нет доступа к истории)</w:t>
            </w:r>
          </w:p>
        </w:tc>
        <w:tc>
          <w:tcPr>
            <w:tcW w:w="2268" w:type="dxa"/>
            <w:vAlign w:val="top"/>
          </w:tcPr>
          <w:p w14:paraId="4C8B423A">
            <w:pPr>
              <w:spacing w:before="0" w:after="0" w:line="360" w:lineRule="auto"/>
              <w:jc w:val="left"/>
            </w:pPr>
            <w:r>
              <w:rPr>
                <w:rFonts w:ascii="Times New Roman" w:hAnsi="Times New Roman" w:eastAsia="Times New Roman" w:cs="Times New Roman"/>
                <w:b w:val="0"/>
                <w:i w:val="0"/>
                <w:color w:val="000000"/>
                <w:sz w:val="28"/>
              </w:rPr>
              <w:t>Удержание</w:t>
            </w:r>
          </w:p>
        </w:tc>
      </w:tr>
      <w:tr w14:paraId="5770F793">
        <w:tc>
          <w:tcPr>
            <w:tcW w:w="4535" w:type="dxa"/>
            <w:vAlign w:val="top"/>
          </w:tcPr>
          <w:p w14:paraId="0EBE8F76">
            <w:pPr>
              <w:spacing w:before="0" w:after="0" w:line="360" w:lineRule="auto"/>
              <w:jc w:val="left"/>
            </w:pPr>
            <w:r>
              <w:rPr>
                <w:rFonts w:ascii="Times New Roman" w:hAnsi="Times New Roman" w:eastAsia="Times New Roman" w:cs="Times New Roman"/>
                <w:b w:val="0"/>
                <w:i w:val="0"/>
                <w:color w:val="000000"/>
                <w:sz w:val="28"/>
              </w:rPr>
              <w:t>Снижение частоты профилактических визитов</w:t>
            </w:r>
          </w:p>
        </w:tc>
        <w:tc>
          <w:tcPr>
            <w:tcW w:w="2835" w:type="dxa"/>
            <w:vAlign w:val="top"/>
          </w:tcPr>
          <w:p w14:paraId="738AB61B">
            <w:pPr>
              <w:spacing w:before="0" w:after="0" w:line="360" w:lineRule="auto"/>
              <w:jc w:val="left"/>
            </w:pPr>
            <w:r>
              <w:rPr>
                <w:rFonts w:ascii="Times New Roman" w:hAnsi="Times New Roman" w:eastAsia="Times New Roman" w:cs="Times New Roman"/>
                <w:b w:val="0"/>
                <w:i w:val="0"/>
                <w:color w:val="000000"/>
                <w:sz w:val="28"/>
              </w:rPr>
              <w:t>Поведенческий (нет триггерных коммуникаций)</w:t>
            </w:r>
          </w:p>
        </w:tc>
        <w:tc>
          <w:tcPr>
            <w:tcW w:w="2268" w:type="dxa"/>
            <w:vAlign w:val="top"/>
          </w:tcPr>
          <w:p w14:paraId="664638AD">
            <w:pPr>
              <w:spacing w:before="0" w:after="0" w:line="360" w:lineRule="auto"/>
              <w:jc w:val="left"/>
            </w:pPr>
            <w:r>
              <w:rPr>
                <w:rFonts w:ascii="Times New Roman" w:hAnsi="Times New Roman" w:eastAsia="Times New Roman" w:cs="Times New Roman"/>
                <w:b w:val="0"/>
                <w:i w:val="0"/>
                <w:color w:val="000000"/>
                <w:sz w:val="28"/>
              </w:rPr>
              <w:t>Удержание</w:t>
            </w:r>
          </w:p>
        </w:tc>
      </w:tr>
      <w:tr w14:paraId="684A28C4">
        <w:tc>
          <w:tcPr>
            <w:tcW w:w="4535" w:type="dxa"/>
            <w:vAlign w:val="top"/>
          </w:tcPr>
          <w:p w14:paraId="78B5B13D">
            <w:pPr>
              <w:spacing w:before="0" w:after="0" w:line="360" w:lineRule="auto"/>
              <w:jc w:val="left"/>
            </w:pPr>
            <w:r>
              <w:rPr>
                <w:rFonts w:ascii="Times New Roman" w:hAnsi="Times New Roman" w:eastAsia="Times New Roman" w:cs="Times New Roman"/>
                <w:b w:val="0"/>
                <w:i w:val="0"/>
                <w:color w:val="000000"/>
                <w:sz w:val="28"/>
              </w:rPr>
              <w:t>Невозможность ретаргетинга и повторных коммуникаций</w:t>
            </w:r>
          </w:p>
        </w:tc>
        <w:tc>
          <w:tcPr>
            <w:tcW w:w="2835" w:type="dxa"/>
            <w:vAlign w:val="top"/>
          </w:tcPr>
          <w:p w14:paraId="1A48DDDF">
            <w:pPr>
              <w:spacing w:before="0" w:after="0" w:line="360" w:lineRule="auto"/>
              <w:jc w:val="left"/>
            </w:pPr>
            <w:r>
              <w:rPr>
                <w:rFonts w:ascii="Times New Roman" w:hAnsi="Times New Roman" w:eastAsia="Times New Roman" w:cs="Times New Roman"/>
                <w:b w:val="0"/>
                <w:i w:val="0"/>
                <w:color w:val="000000"/>
                <w:sz w:val="28"/>
              </w:rPr>
              <w:t>Структурный (нет идентифицированных контактов)</w:t>
            </w:r>
          </w:p>
        </w:tc>
        <w:tc>
          <w:tcPr>
            <w:tcW w:w="2268" w:type="dxa"/>
            <w:vAlign w:val="top"/>
          </w:tcPr>
          <w:p w14:paraId="55F43961">
            <w:pPr>
              <w:spacing w:before="0" w:after="0" w:line="360" w:lineRule="auto"/>
              <w:jc w:val="left"/>
            </w:pPr>
            <w:r>
              <w:rPr>
                <w:rFonts w:ascii="Times New Roman" w:hAnsi="Times New Roman" w:eastAsia="Times New Roman" w:cs="Times New Roman"/>
                <w:b w:val="0"/>
                <w:i w:val="0"/>
                <w:color w:val="000000"/>
                <w:sz w:val="28"/>
              </w:rPr>
              <w:t>Привлечение</w:t>
            </w:r>
          </w:p>
        </w:tc>
      </w:tr>
      <w:tr w14:paraId="1FE5D548">
        <w:tc>
          <w:tcPr>
            <w:tcW w:w="4535" w:type="dxa"/>
            <w:vAlign w:val="top"/>
          </w:tcPr>
          <w:p w14:paraId="0ECBBF26">
            <w:pPr>
              <w:spacing w:before="0" w:after="0" w:line="360" w:lineRule="auto"/>
              <w:jc w:val="left"/>
            </w:pPr>
            <w:r>
              <w:rPr>
                <w:rFonts w:ascii="Times New Roman" w:hAnsi="Times New Roman" w:eastAsia="Times New Roman" w:cs="Times New Roman"/>
                <w:b w:val="0"/>
                <w:i w:val="0"/>
                <w:color w:val="000000"/>
                <w:sz w:val="28"/>
              </w:rPr>
              <w:t>Зависимость от единственного канала записи</w:t>
            </w:r>
          </w:p>
        </w:tc>
        <w:tc>
          <w:tcPr>
            <w:tcW w:w="2835" w:type="dxa"/>
            <w:vAlign w:val="top"/>
          </w:tcPr>
          <w:p w14:paraId="268942CA">
            <w:pPr>
              <w:spacing w:before="0" w:after="0" w:line="360" w:lineRule="auto"/>
              <w:jc w:val="left"/>
            </w:pPr>
            <w:r>
              <w:rPr>
                <w:rFonts w:ascii="Times New Roman" w:hAnsi="Times New Roman" w:eastAsia="Times New Roman" w:cs="Times New Roman"/>
                <w:b w:val="0"/>
                <w:i w:val="0"/>
                <w:color w:val="000000"/>
                <w:sz w:val="28"/>
              </w:rPr>
              <w:t>Операционный риск</w:t>
            </w:r>
          </w:p>
        </w:tc>
        <w:tc>
          <w:tcPr>
            <w:tcW w:w="2268" w:type="dxa"/>
            <w:vAlign w:val="top"/>
          </w:tcPr>
          <w:p w14:paraId="1094E1F0">
            <w:pPr>
              <w:spacing w:before="0" w:after="0" w:line="360" w:lineRule="auto"/>
              <w:jc w:val="left"/>
            </w:pPr>
            <w:r>
              <w:rPr>
                <w:rFonts w:ascii="Times New Roman" w:hAnsi="Times New Roman" w:eastAsia="Times New Roman" w:cs="Times New Roman"/>
                <w:b w:val="0"/>
                <w:i w:val="0"/>
                <w:color w:val="000000"/>
                <w:sz w:val="28"/>
              </w:rPr>
              <w:t>Все стадии</w:t>
            </w:r>
          </w:p>
        </w:tc>
      </w:tr>
    </w:tbl>
    <w:p w14:paraId="39C21FDC">
      <w:pPr>
        <w:spacing w:before="40" w:after="80" w:line="360" w:lineRule="auto"/>
        <w:jc w:val="both"/>
      </w:pPr>
    </w:p>
    <w:p w14:paraId="70D82167">
      <w:pPr>
        <w:spacing w:before="0" w:after="0" w:line="360" w:lineRule="auto"/>
        <w:ind w:firstLine="709"/>
        <w:jc w:val="both"/>
      </w:pPr>
      <w:r>
        <w:rPr>
          <w:rFonts w:ascii="Times New Roman" w:hAnsi="Times New Roman" w:eastAsia="Times New Roman" w:cs="Times New Roman"/>
          <w:b w:val="0"/>
          <w:i w:val="0"/>
          <w:color w:val="000000"/>
          <w:sz w:val="28"/>
        </w:rPr>
        <w:t>В таблице фиксируется свойство, важное для проектирования решения: проявления одного и того же типа барьера встречаются на разных стадиях пути, а одна стадия пути собирает разные типы барьеров. Это означает, что точечное решение одного канала (например, добавление формы заявки) не закрывает проблему системно — требуется комплект инструментов, согласованных в рамках единой цифровой инфраструктуры.</w:t>
      </w:r>
    </w:p>
    <w:p w14:paraId="7674B6AD">
      <w:pPr>
        <w:spacing w:before="120" w:after="80" w:line="360" w:lineRule="auto"/>
        <w:ind w:firstLine="709"/>
        <w:jc w:val="left"/>
      </w:pPr>
      <w:r>
        <w:rPr>
          <w:rFonts w:ascii="Times New Roman" w:hAnsi="Times New Roman" w:eastAsia="Times New Roman" w:cs="Times New Roman"/>
          <w:b/>
          <w:i w:val="0"/>
          <w:color w:val="000000"/>
          <w:sz w:val="28"/>
        </w:rPr>
        <w:t>1.4.2. Международный опыт решения проблемы цифровых барьеров записи</w:t>
      </w:r>
    </w:p>
    <w:p w14:paraId="505918EC">
      <w:pPr>
        <w:spacing w:before="0" w:after="0" w:line="360" w:lineRule="auto"/>
        <w:ind w:firstLine="709"/>
        <w:jc w:val="both"/>
      </w:pPr>
      <w:r>
        <w:rPr>
          <w:rFonts w:ascii="Times New Roman" w:hAnsi="Times New Roman" w:eastAsia="Times New Roman" w:cs="Times New Roman"/>
          <w:b w:val="0"/>
          <w:i w:val="0"/>
          <w:color w:val="000000"/>
          <w:sz w:val="28"/>
        </w:rPr>
        <w:t>В Великобритании Национальная служба здравоохранения (NHS) с мая 2024 года тестирует прямую электронную интеграцию между службой 111 и регистрационными системами стоматологических практик. Пилот, развёрнутый в регионе Mid and South Essex, к весне 2025 года позволил записать на срочный приём около 10 000 пациентов; параллельно программа Urgent Dental Access Centres в северо-восточном регионе и Камбрии охватила более 4 000 пациентов в Darlington UDAC при доле клинически завершённых приёмов 96,4 %. Бизнес-эффект пилота состоит в том, что барьер «не дозвонился до клиники» снимается на уровне межведомственной интеграции: пациент звонит в единый номер 111, оператор видит свободные слоты в нескольких клиниках и закрепляет запись напрямую.</w:t>
      </w:r>
    </w:p>
    <w:p w14:paraId="36547783">
      <w:pPr>
        <w:spacing w:before="0" w:after="0" w:line="360" w:lineRule="auto"/>
        <w:ind w:firstLine="709"/>
        <w:jc w:val="both"/>
      </w:pPr>
      <w:r>
        <w:rPr>
          <w:rFonts w:ascii="Times New Roman" w:hAnsi="Times New Roman" w:eastAsia="Times New Roman" w:cs="Times New Roman"/>
          <w:b w:val="0"/>
          <w:i w:val="0"/>
          <w:color w:val="000000"/>
          <w:sz w:val="28"/>
        </w:rPr>
        <w:t>В Соединённых Штатах одним из наиболее задокументированных примеров цифровой трансформации пациентских коммуникаций стала программа DentaQuest — крупнейшего в стране плательщика стоматологических услуг. С 2023 года DentaQuest систематически разворачивает SMS-сценарии повышения уровня использования стоматологической помощи; отчёт компании за 2024 год фиксирует рост вовлечённости пациентов и удовлетворённости в управляемых страховых программах. Опыт DentaQuest подтверждает: при сохранении единого голосового канала стандартом de facto становятся текстовые касания (SMS, мессенджеры) и портал плательщика как место хранения долгосрочных данных пациента.</w:t>
      </w:r>
    </w:p>
    <w:p w14:paraId="3A3016AB">
      <w:pPr>
        <w:spacing w:before="0" w:after="0" w:line="360" w:lineRule="auto"/>
        <w:ind w:firstLine="709"/>
        <w:jc w:val="both"/>
      </w:pPr>
      <w:r>
        <w:rPr>
          <w:rFonts w:ascii="Times New Roman" w:hAnsi="Times New Roman" w:eastAsia="Times New Roman" w:cs="Times New Roman"/>
          <w:b w:val="0"/>
          <w:i w:val="0"/>
          <w:color w:val="000000"/>
          <w:sz w:val="28"/>
        </w:rPr>
        <w:t>В практике стоматологических сервисных организаций (Dental Service Organizations, DSO) — групп клиник под единым операционным управлением — основным архитектурным выбором стало сочетание облачной системы управления практикой и пациентского портала. Henry Schein One объединяет в одном контуре платформы Dentrix, Easy Dental, eCentral и решения для пациентских коммуникаций (онлайн-запись, SMS-напоминания, цифровые анкеты). DentalMonitoring формирует отдельный сегмент удалённого мониторинга: пациент через мобильное приложение присылает фотографии полости рта, врач комментирует ход лечения и вносит изменения в график визитов. Оба примера показывают, что цифровизация в DSO выстраивается вокруг постоянного канала связи с пациентом между визитами.</w:t>
      </w:r>
    </w:p>
    <w:p w14:paraId="250ECF78">
      <w:pPr>
        <w:spacing w:before="0" w:after="0" w:line="360" w:lineRule="auto"/>
        <w:ind w:firstLine="709"/>
        <w:jc w:val="both"/>
      </w:pPr>
      <w:r>
        <w:rPr>
          <w:rFonts w:ascii="Times New Roman" w:hAnsi="Times New Roman" w:eastAsia="Times New Roman" w:cs="Times New Roman"/>
          <w:b w:val="0"/>
          <w:i w:val="0"/>
          <w:color w:val="000000"/>
          <w:sz w:val="28"/>
        </w:rPr>
        <w:t>Опрос Clinical Evaluators Panel Американской стоматологической ассоциации в 2023 году показывает, что 30</w:t>
      </w:r>
      <w:r>
        <w:rPr>
          <w:rFonts w:hint="default" w:eastAsia="Times New Roman" w:cs="Times New Roman"/>
          <w:b w:val="0"/>
          <w:i w:val="0"/>
          <w:color w:val="000000"/>
          <w:sz w:val="28"/>
          <w:lang w:val="ru-RU"/>
        </w:rPr>
        <w:t xml:space="preserve"> </w:t>
      </w:r>
      <w:r>
        <w:rPr>
          <w:rFonts w:ascii="Times New Roman" w:hAnsi="Times New Roman" w:eastAsia="Times New Roman" w:cs="Times New Roman"/>
          <w:b w:val="0"/>
          <w:i w:val="0"/>
          <w:color w:val="000000"/>
          <w:sz w:val="28"/>
        </w:rPr>
        <w:t>% практик используют телестоматологию (синхронную или асинхронную). Основными мотивами выступают удобство для пациентов (53 %), последствия пандемии (50 %) и расширение доступа к врачам (39 %). Среди наблюдаемых эффектов — сокращение числа очных визитов (63 %) и улучшение качества доступа к помощи (57 %). Систематический обзор JMIR за 2024 год фиксирует, что после пандемии распространённость телестоматологии в развитых странах стабилизировалась на уровне инструмента сопровождения, а не замены очных приёмов: эту функцию подтверждает и обновлённая позиция AAPD о телестоматологии.</w:t>
      </w:r>
    </w:p>
    <w:p w14:paraId="33B79C9B">
      <w:pPr>
        <w:spacing w:before="0" w:after="0" w:line="360" w:lineRule="auto"/>
        <w:ind w:firstLine="709"/>
        <w:jc w:val="both"/>
      </w:pPr>
      <w:r>
        <w:rPr>
          <w:rFonts w:ascii="Times New Roman" w:hAnsi="Times New Roman" w:eastAsia="Times New Roman" w:cs="Times New Roman"/>
          <w:b w:val="0"/>
          <w:i w:val="0"/>
          <w:color w:val="000000"/>
          <w:sz w:val="28"/>
        </w:rPr>
        <w:t>Отдельной линией международного опыта выступает концепция омниканального пациентского взаимодействия. Опрос Smart Communications «2025 Healthcare Benchmark Report» (3 000 потребителей здравоохранения) показывает, что 81 % готовы рекомендовать клинику при превышении ожиданий по коммуникациям, а почти 70 % готовы сменить поставщика при их несоответствии. Качество цифровых коммуникаций становится не дополнительным сервисным плюсом, а фактором удержания пациента.</w:t>
      </w:r>
    </w:p>
    <w:p w14:paraId="108019F7">
      <w:pPr>
        <w:spacing w:before="120" w:after="40" w:line="360" w:lineRule="auto"/>
        <w:jc w:val="left"/>
      </w:pPr>
      <w:r>
        <w:rPr>
          <w:rFonts w:ascii="Times New Roman" w:hAnsi="Times New Roman" w:eastAsia="Times New Roman" w:cs="Times New Roman"/>
          <w:b w:val="0"/>
          <w:i w:val="0"/>
          <w:color w:val="000000"/>
          <w:sz w:val="28"/>
        </w:rPr>
        <w:t>Таблица 1.4.2 – Международные практики цифровых решений пациентского пути в стоматологии</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14:paraId="2F8080BF">
        <w:tc>
          <w:tcPr>
            <w:tcW w:w="2835" w:type="dxa"/>
            <w:vAlign w:val="center"/>
          </w:tcPr>
          <w:p w14:paraId="5E1575CF">
            <w:pPr>
              <w:spacing w:before="0" w:after="0" w:line="360" w:lineRule="auto"/>
              <w:jc w:val="center"/>
            </w:pPr>
            <w:r>
              <w:rPr>
                <w:rFonts w:ascii="Times New Roman" w:hAnsi="Times New Roman" w:eastAsia="Times New Roman" w:cs="Times New Roman"/>
                <w:b/>
                <w:i w:val="0"/>
                <w:color w:val="000000"/>
                <w:sz w:val="28"/>
              </w:rPr>
              <w:t>Решение / страна</w:t>
            </w:r>
          </w:p>
        </w:tc>
        <w:tc>
          <w:tcPr>
            <w:tcW w:w="3402" w:type="dxa"/>
            <w:vAlign w:val="center"/>
          </w:tcPr>
          <w:p w14:paraId="47B48535">
            <w:pPr>
              <w:spacing w:before="0" w:after="0" w:line="360" w:lineRule="auto"/>
              <w:jc w:val="center"/>
            </w:pPr>
            <w:r>
              <w:rPr>
                <w:rFonts w:ascii="Times New Roman" w:hAnsi="Times New Roman" w:eastAsia="Times New Roman" w:cs="Times New Roman"/>
                <w:b/>
                <w:i w:val="0"/>
                <w:color w:val="000000"/>
                <w:sz w:val="28"/>
              </w:rPr>
              <w:t>Ключевая механика</w:t>
            </w:r>
          </w:p>
        </w:tc>
        <w:tc>
          <w:tcPr>
            <w:tcW w:w="3402" w:type="dxa"/>
            <w:vAlign w:val="center"/>
          </w:tcPr>
          <w:p w14:paraId="657B4A75">
            <w:pPr>
              <w:spacing w:before="0" w:after="0" w:line="360" w:lineRule="auto"/>
              <w:jc w:val="center"/>
            </w:pPr>
            <w:r>
              <w:rPr>
                <w:rFonts w:ascii="Times New Roman" w:hAnsi="Times New Roman" w:eastAsia="Times New Roman" w:cs="Times New Roman"/>
                <w:b/>
                <w:i w:val="0"/>
                <w:color w:val="000000"/>
                <w:sz w:val="28"/>
              </w:rPr>
              <w:t>Подтверждённый эффект</w:t>
            </w:r>
          </w:p>
        </w:tc>
      </w:tr>
      <w:tr w14:paraId="715CA21C">
        <w:tc>
          <w:tcPr>
            <w:tcW w:w="2835" w:type="dxa"/>
            <w:vAlign w:val="top"/>
          </w:tcPr>
          <w:p w14:paraId="5C62792C">
            <w:pPr>
              <w:spacing w:before="0" w:after="0" w:line="360" w:lineRule="auto"/>
              <w:jc w:val="left"/>
            </w:pPr>
            <w:r>
              <w:rPr>
                <w:rFonts w:ascii="Times New Roman" w:hAnsi="Times New Roman" w:eastAsia="Times New Roman" w:cs="Times New Roman"/>
                <w:b w:val="0"/>
                <w:i w:val="0"/>
                <w:color w:val="000000"/>
                <w:sz w:val="28"/>
              </w:rPr>
              <w:t>NHS 111 Direct Booking, Великобритания</w:t>
            </w:r>
          </w:p>
        </w:tc>
        <w:tc>
          <w:tcPr>
            <w:tcW w:w="3402" w:type="dxa"/>
            <w:vAlign w:val="top"/>
          </w:tcPr>
          <w:p w14:paraId="113F43EB">
            <w:pPr>
              <w:spacing w:before="0" w:after="0" w:line="360" w:lineRule="auto"/>
              <w:jc w:val="left"/>
            </w:pPr>
            <w:r>
              <w:rPr>
                <w:rFonts w:ascii="Times New Roman" w:hAnsi="Times New Roman" w:eastAsia="Times New Roman" w:cs="Times New Roman"/>
                <w:b w:val="0"/>
                <w:i w:val="0"/>
                <w:color w:val="000000"/>
                <w:sz w:val="28"/>
              </w:rPr>
              <w:t>Прямая электронная запись на срочный приём через единый канал</w:t>
            </w:r>
          </w:p>
        </w:tc>
        <w:tc>
          <w:tcPr>
            <w:tcW w:w="3402" w:type="dxa"/>
            <w:vAlign w:val="top"/>
          </w:tcPr>
          <w:p w14:paraId="7B47CECA">
            <w:pPr>
              <w:spacing w:before="0" w:after="0" w:line="360" w:lineRule="auto"/>
              <w:jc w:val="left"/>
            </w:pPr>
            <w:r>
              <w:rPr>
                <w:rFonts w:ascii="Times New Roman" w:hAnsi="Times New Roman" w:eastAsia="Times New Roman" w:cs="Times New Roman"/>
                <w:b w:val="0"/>
                <w:i w:val="0"/>
                <w:color w:val="000000"/>
                <w:sz w:val="28"/>
              </w:rPr>
              <w:t>≈10 000 записей в Mid and South Essex (с мая 2024); более 4 000 пациентов в Darlington UDAC, 96,4 % с завершённым лечением</w:t>
            </w:r>
          </w:p>
        </w:tc>
      </w:tr>
      <w:tr w14:paraId="1839F2E8">
        <w:tc>
          <w:tcPr>
            <w:tcW w:w="2835" w:type="dxa"/>
            <w:vAlign w:val="top"/>
          </w:tcPr>
          <w:p w14:paraId="2B18A6A5">
            <w:pPr>
              <w:spacing w:before="0" w:after="0" w:line="360" w:lineRule="auto"/>
              <w:jc w:val="left"/>
            </w:pPr>
            <w:r>
              <w:rPr>
                <w:rFonts w:ascii="Times New Roman" w:hAnsi="Times New Roman" w:eastAsia="Times New Roman" w:cs="Times New Roman"/>
                <w:b w:val="0"/>
                <w:i w:val="0"/>
                <w:color w:val="000000"/>
                <w:sz w:val="28"/>
              </w:rPr>
              <w:t>DentaQuest Digital Evolution, США</w:t>
            </w:r>
          </w:p>
        </w:tc>
        <w:tc>
          <w:tcPr>
            <w:tcW w:w="3402" w:type="dxa"/>
            <w:vAlign w:val="top"/>
          </w:tcPr>
          <w:p w14:paraId="48231587">
            <w:pPr>
              <w:spacing w:before="0" w:after="0" w:line="360" w:lineRule="auto"/>
              <w:jc w:val="left"/>
            </w:pPr>
            <w:r>
              <w:rPr>
                <w:rFonts w:ascii="Times New Roman" w:hAnsi="Times New Roman" w:eastAsia="Times New Roman" w:cs="Times New Roman"/>
                <w:b w:val="0"/>
                <w:i w:val="0"/>
                <w:color w:val="000000"/>
                <w:sz w:val="28"/>
              </w:rPr>
              <w:t>SMS-сценарии стимулирования визитов в управляемых страховых программах</w:t>
            </w:r>
          </w:p>
        </w:tc>
        <w:tc>
          <w:tcPr>
            <w:tcW w:w="3402" w:type="dxa"/>
            <w:vAlign w:val="top"/>
          </w:tcPr>
          <w:p w14:paraId="1D4A2003">
            <w:pPr>
              <w:spacing w:before="0" w:after="0" w:line="360" w:lineRule="auto"/>
              <w:jc w:val="left"/>
            </w:pPr>
            <w:r>
              <w:rPr>
                <w:rFonts w:ascii="Times New Roman" w:hAnsi="Times New Roman" w:eastAsia="Times New Roman" w:cs="Times New Roman"/>
                <w:b w:val="0"/>
                <w:i w:val="0"/>
                <w:color w:val="000000"/>
                <w:sz w:val="28"/>
              </w:rPr>
              <w:t>Рост утилизации страхового покрытия и удовлетворённости пациентов (отчёт 2024)</w:t>
            </w:r>
          </w:p>
        </w:tc>
      </w:tr>
      <w:tr w14:paraId="3DD35804">
        <w:tc>
          <w:tcPr>
            <w:tcW w:w="2835" w:type="dxa"/>
            <w:vAlign w:val="top"/>
          </w:tcPr>
          <w:p w14:paraId="22339E74">
            <w:pPr>
              <w:spacing w:before="0" w:after="0" w:line="360" w:lineRule="auto"/>
              <w:jc w:val="left"/>
            </w:pPr>
            <w:r>
              <w:rPr>
                <w:rFonts w:ascii="Times New Roman" w:hAnsi="Times New Roman" w:eastAsia="Times New Roman" w:cs="Times New Roman"/>
                <w:b w:val="0"/>
                <w:i w:val="0"/>
                <w:color w:val="000000"/>
                <w:sz w:val="28"/>
              </w:rPr>
              <w:t>Henry Schein One (Dentrix, eCentral)</w:t>
            </w:r>
          </w:p>
        </w:tc>
        <w:tc>
          <w:tcPr>
            <w:tcW w:w="3402" w:type="dxa"/>
            <w:vAlign w:val="top"/>
          </w:tcPr>
          <w:p w14:paraId="2DAE38A4">
            <w:pPr>
              <w:spacing w:before="0" w:after="0" w:line="360" w:lineRule="auto"/>
              <w:jc w:val="left"/>
            </w:pPr>
            <w:r>
              <w:rPr>
                <w:rFonts w:ascii="Times New Roman" w:hAnsi="Times New Roman" w:eastAsia="Times New Roman" w:cs="Times New Roman"/>
                <w:b w:val="0"/>
                <w:i w:val="0"/>
                <w:color w:val="000000"/>
                <w:sz w:val="28"/>
              </w:rPr>
              <w:t>Облачная PMS с онлайн-записью, SMS-напоминаниями, цифровыми анкетами для DSO</w:t>
            </w:r>
          </w:p>
        </w:tc>
        <w:tc>
          <w:tcPr>
            <w:tcW w:w="3402" w:type="dxa"/>
            <w:vAlign w:val="top"/>
          </w:tcPr>
          <w:p w14:paraId="535F09C4">
            <w:pPr>
              <w:spacing w:before="0" w:after="0" w:line="360" w:lineRule="auto"/>
              <w:jc w:val="left"/>
            </w:pPr>
            <w:r>
              <w:rPr>
                <w:rFonts w:ascii="Times New Roman" w:hAnsi="Times New Roman" w:eastAsia="Times New Roman" w:cs="Times New Roman"/>
                <w:b w:val="0"/>
                <w:i w:val="0"/>
                <w:color w:val="000000"/>
                <w:sz w:val="28"/>
              </w:rPr>
              <w:t>Стандарт де-факто для сетей клиник в США и Канаде</w:t>
            </w:r>
          </w:p>
        </w:tc>
      </w:tr>
      <w:tr w14:paraId="0FAE7524">
        <w:tc>
          <w:tcPr>
            <w:tcW w:w="2835" w:type="dxa"/>
            <w:vAlign w:val="top"/>
          </w:tcPr>
          <w:p w14:paraId="2E1C6F43">
            <w:pPr>
              <w:spacing w:before="0" w:after="0" w:line="360" w:lineRule="auto"/>
              <w:jc w:val="left"/>
            </w:pPr>
            <w:r>
              <w:rPr>
                <w:rFonts w:ascii="Times New Roman" w:hAnsi="Times New Roman" w:eastAsia="Times New Roman" w:cs="Times New Roman"/>
                <w:b w:val="0"/>
                <w:i w:val="0"/>
                <w:color w:val="000000"/>
                <w:sz w:val="28"/>
              </w:rPr>
              <w:t>DentalMonitoring</w:t>
            </w:r>
          </w:p>
        </w:tc>
        <w:tc>
          <w:tcPr>
            <w:tcW w:w="3402" w:type="dxa"/>
            <w:vAlign w:val="top"/>
          </w:tcPr>
          <w:p w14:paraId="0D3827FE">
            <w:pPr>
              <w:spacing w:before="0" w:after="0" w:line="360" w:lineRule="auto"/>
              <w:jc w:val="left"/>
            </w:pPr>
            <w:r>
              <w:rPr>
                <w:rFonts w:ascii="Times New Roman" w:hAnsi="Times New Roman" w:eastAsia="Times New Roman" w:cs="Times New Roman"/>
                <w:b w:val="0"/>
                <w:i w:val="0"/>
                <w:color w:val="000000"/>
                <w:sz w:val="28"/>
              </w:rPr>
              <w:t>Удалённый мониторинг по фото/видео из мобильного приложения пациента</w:t>
            </w:r>
          </w:p>
        </w:tc>
        <w:tc>
          <w:tcPr>
            <w:tcW w:w="3402" w:type="dxa"/>
            <w:vAlign w:val="top"/>
          </w:tcPr>
          <w:p w14:paraId="657027B8">
            <w:pPr>
              <w:spacing w:before="0" w:after="0" w:line="360" w:lineRule="auto"/>
              <w:jc w:val="left"/>
            </w:pPr>
            <w:r>
              <w:rPr>
                <w:rFonts w:ascii="Times New Roman" w:hAnsi="Times New Roman" w:eastAsia="Times New Roman" w:cs="Times New Roman"/>
                <w:b w:val="0"/>
                <w:i w:val="0"/>
                <w:color w:val="000000"/>
                <w:sz w:val="28"/>
              </w:rPr>
              <w:t>Сокращение числа очных контрольных визитов в ортодонтии и ортопедии</w:t>
            </w:r>
          </w:p>
        </w:tc>
      </w:tr>
      <w:tr w14:paraId="5F7E3AED">
        <w:tc>
          <w:tcPr>
            <w:tcW w:w="2835" w:type="dxa"/>
            <w:vAlign w:val="top"/>
          </w:tcPr>
          <w:p w14:paraId="4F2B3C99">
            <w:pPr>
              <w:spacing w:before="0" w:after="0" w:line="360" w:lineRule="auto"/>
              <w:jc w:val="left"/>
            </w:pPr>
            <w:r>
              <w:rPr>
                <w:rFonts w:ascii="Times New Roman" w:hAnsi="Times New Roman" w:eastAsia="Times New Roman" w:cs="Times New Roman"/>
                <w:b w:val="0"/>
                <w:i w:val="0"/>
                <w:color w:val="000000"/>
                <w:sz w:val="28"/>
              </w:rPr>
              <w:t>ADA Clinical Evaluators Panel (телестоматология)</w:t>
            </w:r>
          </w:p>
        </w:tc>
        <w:tc>
          <w:tcPr>
            <w:tcW w:w="3402" w:type="dxa"/>
            <w:vAlign w:val="top"/>
          </w:tcPr>
          <w:p w14:paraId="61F08F23">
            <w:pPr>
              <w:spacing w:before="0" w:after="0" w:line="360" w:lineRule="auto"/>
              <w:jc w:val="left"/>
            </w:pPr>
            <w:r>
              <w:rPr>
                <w:rFonts w:ascii="Times New Roman" w:hAnsi="Times New Roman" w:eastAsia="Times New Roman" w:cs="Times New Roman"/>
                <w:b w:val="0"/>
                <w:i w:val="0"/>
                <w:color w:val="000000"/>
                <w:sz w:val="28"/>
              </w:rPr>
              <w:t>Синхронные и асинхронные удалённые консультации</w:t>
            </w:r>
          </w:p>
        </w:tc>
        <w:tc>
          <w:tcPr>
            <w:tcW w:w="3402" w:type="dxa"/>
            <w:vAlign w:val="top"/>
          </w:tcPr>
          <w:p w14:paraId="70494618">
            <w:pPr>
              <w:spacing w:before="0" w:after="0" w:line="360" w:lineRule="auto"/>
              <w:jc w:val="left"/>
            </w:pPr>
            <w:r>
              <w:rPr>
                <w:rFonts w:ascii="Times New Roman" w:hAnsi="Times New Roman" w:eastAsia="Times New Roman" w:cs="Times New Roman"/>
                <w:b w:val="0"/>
                <w:i w:val="0"/>
                <w:color w:val="000000"/>
                <w:sz w:val="28"/>
              </w:rPr>
              <w:t>30 % практик в США применяют телестоматологию; 63 % фиксируют сокращение очных визитов</w:t>
            </w:r>
          </w:p>
        </w:tc>
      </w:tr>
      <w:tr w14:paraId="544ED147">
        <w:tc>
          <w:tcPr>
            <w:tcW w:w="2835" w:type="dxa"/>
            <w:vAlign w:val="top"/>
          </w:tcPr>
          <w:p w14:paraId="06ABC01B">
            <w:pPr>
              <w:spacing w:before="0" w:after="0" w:line="360" w:lineRule="auto"/>
              <w:jc w:val="left"/>
            </w:pPr>
            <w:r>
              <w:rPr>
                <w:rFonts w:ascii="Times New Roman" w:hAnsi="Times New Roman" w:eastAsia="Times New Roman" w:cs="Times New Roman"/>
                <w:b w:val="0"/>
                <w:i w:val="0"/>
                <w:color w:val="000000"/>
                <w:sz w:val="28"/>
              </w:rPr>
              <w:t>Smart Communications 2025 Healthcare Benchmark</w:t>
            </w:r>
          </w:p>
        </w:tc>
        <w:tc>
          <w:tcPr>
            <w:tcW w:w="3402" w:type="dxa"/>
            <w:vAlign w:val="top"/>
          </w:tcPr>
          <w:p w14:paraId="7CA70D1D">
            <w:pPr>
              <w:spacing w:before="0" w:after="0" w:line="360" w:lineRule="auto"/>
              <w:jc w:val="left"/>
            </w:pPr>
            <w:r>
              <w:rPr>
                <w:rFonts w:ascii="Times New Roman" w:hAnsi="Times New Roman" w:eastAsia="Times New Roman" w:cs="Times New Roman"/>
                <w:b w:val="0"/>
                <w:i w:val="0"/>
                <w:color w:val="000000"/>
                <w:sz w:val="28"/>
              </w:rPr>
              <w:t>Координированный мульти-канал: SMS, чаты, мессенджеры, портал, приложение</w:t>
            </w:r>
          </w:p>
        </w:tc>
        <w:tc>
          <w:tcPr>
            <w:tcW w:w="3402" w:type="dxa"/>
            <w:vAlign w:val="top"/>
          </w:tcPr>
          <w:p w14:paraId="2DFC0579">
            <w:pPr>
              <w:spacing w:before="0" w:after="0" w:line="360" w:lineRule="auto"/>
              <w:jc w:val="left"/>
            </w:pPr>
            <w:r>
              <w:rPr>
                <w:rFonts w:ascii="Times New Roman" w:hAnsi="Times New Roman" w:eastAsia="Times New Roman" w:cs="Times New Roman"/>
                <w:b w:val="0"/>
                <w:i w:val="0"/>
                <w:color w:val="000000"/>
                <w:sz w:val="28"/>
              </w:rPr>
              <w:t>81 % готовы рекомендовать клинику при превышении ожиданий по коммуникациям; ≈70 % готовы сменить провайдера при их несоответствии</w:t>
            </w:r>
          </w:p>
        </w:tc>
      </w:tr>
    </w:tbl>
    <w:p w14:paraId="610776D3">
      <w:pPr>
        <w:spacing w:before="40" w:after="80" w:line="360" w:lineRule="auto"/>
        <w:jc w:val="both"/>
      </w:pPr>
    </w:p>
    <w:p w14:paraId="4EDB2F94">
      <w:pPr>
        <w:spacing w:before="120" w:after="80" w:line="360" w:lineRule="auto"/>
        <w:ind w:firstLine="709"/>
        <w:jc w:val="left"/>
      </w:pPr>
      <w:r>
        <w:rPr>
          <w:rFonts w:ascii="Times New Roman" w:hAnsi="Times New Roman" w:eastAsia="Times New Roman" w:cs="Times New Roman"/>
          <w:b/>
          <w:i w:val="0"/>
          <w:color w:val="000000"/>
          <w:sz w:val="28"/>
        </w:rPr>
        <w:t>1.4.3. Российская практика цифровых решений пациентского пути</w:t>
      </w:r>
    </w:p>
    <w:p w14:paraId="65AE9918">
      <w:pPr>
        <w:spacing w:before="0" w:after="0" w:line="360" w:lineRule="auto"/>
        <w:ind w:firstLine="709"/>
        <w:jc w:val="both"/>
      </w:pPr>
      <w:r>
        <w:rPr>
          <w:rFonts w:ascii="Times New Roman" w:hAnsi="Times New Roman" w:eastAsia="Times New Roman" w:cs="Times New Roman"/>
          <w:b w:val="0"/>
          <w:i w:val="0"/>
          <w:color w:val="000000"/>
          <w:sz w:val="28"/>
        </w:rPr>
        <w:t>В российской практике цифровизация пациентских коммуникаций развивается несколькими параллельными линиями. Первой линией выступают медицинские информационные системы (МИС) с пациентским контуром: «1С:Медицина. Стоматологическая клиника» и аналоги ведут запись, расписание врачей, электронную карту и финансовый учёт, а пациентское мобильное приложение надстраивается над ними для самостоятельной записи и просмотра истории. По данным вендоров и обзоров отрасли, внедрение мобильного приложения пациента в связке с МИС сокращает пропуски визитов на 20–30 % и даёт 10–15 % экономии материалов за счёт планирования закупок.</w:t>
      </w:r>
    </w:p>
    <w:p w14:paraId="521ECFFA">
      <w:pPr>
        <w:spacing w:before="0" w:after="0" w:line="360" w:lineRule="auto"/>
        <w:ind w:firstLine="709"/>
        <w:jc w:val="both"/>
      </w:pPr>
      <w:r>
        <w:rPr>
          <w:rFonts w:ascii="Times New Roman" w:hAnsi="Times New Roman" w:eastAsia="Times New Roman" w:cs="Times New Roman"/>
          <w:b w:val="0"/>
          <w:i w:val="0"/>
          <w:color w:val="000000"/>
          <w:sz w:val="28"/>
        </w:rPr>
        <w:t>Вторая линия — внешние агрегаторы и платформы записи: «СберЗдоровье», «ПроДокторов», «DocDoc.ru», «НаПоправку». Они выполняют функцию точки первого касания и часто используются пациентами для сравнения клиник по цене и отзывам. Их недостаток с точки зрения сети клиник — «потеря» пациента: контактные данные и история взаимодействий остаются в платформе, а не в собственной системе клиники, что затрудняет повторные коммуникации и ретаргетинг.</w:t>
      </w:r>
    </w:p>
    <w:p w14:paraId="6F592558">
      <w:pPr>
        <w:spacing w:before="0" w:after="0" w:line="360" w:lineRule="auto"/>
        <w:ind w:firstLine="709"/>
        <w:jc w:val="both"/>
      </w:pPr>
      <w:r>
        <w:rPr>
          <w:rFonts w:ascii="Times New Roman" w:hAnsi="Times New Roman" w:eastAsia="Times New Roman" w:cs="Times New Roman"/>
          <w:b w:val="0"/>
          <w:i w:val="0"/>
          <w:color w:val="000000"/>
          <w:sz w:val="28"/>
        </w:rPr>
        <w:t>Третья линия — собственные приложения сетей клиник. Примером выступает приложение «Мой Зубной» сети одноимённых стоматологий Санкт-Петербурга: оно агрегирует расписание врачей, историю посещений, информацию о гарантиях и квалификации специалистов, сведения о расположении и режиме работы филиалов. Подобные приложения решают задачу удержания постоянного пациента и снижают зависимость клиники от внешних агрегаторов.</w:t>
      </w:r>
    </w:p>
    <w:p w14:paraId="2E46DCB9">
      <w:pPr>
        <w:spacing w:before="0" w:after="0" w:line="360" w:lineRule="auto"/>
        <w:ind w:firstLine="709"/>
        <w:jc w:val="both"/>
      </w:pPr>
      <w:r>
        <w:rPr>
          <w:rFonts w:ascii="Times New Roman" w:hAnsi="Times New Roman" w:eastAsia="Times New Roman" w:cs="Times New Roman"/>
          <w:b w:val="0"/>
          <w:i w:val="0"/>
          <w:color w:val="000000"/>
          <w:sz w:val="28"/>
        </w:rPr>
        <w:t>Четвёртая линия — мессенджеры и чат-боты. С 2022 года российские клиники активно переносят коммуникации в WhatsApp и Telegram: автоматические напоминания, подтверждения визита, ответы на типовые вопросы. По наблюдениям отраслевых обзоров, переход уведомлений из SMS в мессенджеры повышает явку на 18–22 % за счёт более высокой доставляемости и удобного формата подтверждения.</w:t>
      </w:r>
    </w:p>
    <w:p w14:paraId="16222259">
      <w:pPr>
        <w:spacing w:before="120" w:after="40" w:line="360" w:lineRule="auto"/>
        <w:jc w:val="left"/>
      </w:pPr>
      <w:r>
        <w:rPr>
          <w:rFonts w:ascii="Times New Roman" w:hAnsi="Times New Roman" w:eastAsia="Times New Roman" w:cs="Times New Roman"/>
          <w:b w:val="0"/>
          <w:i w:val="0"/>
          <w:color w:val="000000"/>
          <w:sz w:val="28"/>
        </w:rPr>
        <w:t>Таблица 1.4.3 – Российские цифровые решения для стоматологических клиник и их функциональный охват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14:paraId="2C4F2A5F">
        <w:tc>
          <w:tcPr>
            <w:tcW w:w="2551" w:type="dxa"/>
            <w:vAlign w:val="center"/>
          </w:tcPr>
          <w:p w14:paraId="05477B9F">
            <w:pPr>
              <w:spacing w:before="0" w:after="0" w:line="360" w:lineRule="auto"/>
              <w:jc w:val="center"/>
            </w:pPr>
            <w:r>
              <w:rPr>
                <w:rFonts w:ascii="Times New Roman" w:hAnsi="Times New Roman" w:eastAsia="Times New Roman" w:cs="Times New Roman"/>
                <w:b/>
                <w:i w:val="0"/>
                <w:color w:val="000000"/>
                <w:sz w:val="28"/>
              </w:rPr>
              <w:t>Класс решения</w:t>
            </w:r>
          </w:p>
        </w:tc>
        <w:tc>
          <w:tcPr>
            <w:tcW w:w="3402" w:type="dxa"/>
            <w:vAlign w:val="center"/>
          </w:tcPr>
          <w:p w14:paraId="53B2BE23">
            <w:pPr>
              <w:spacing w:before="0" w:after="0" w:line="360" w:lineRule="auto"/>
              <w:jc w:val="center"/>
            </w:pPr>
            <w:r>
              <w:rPr>
                <w:rFonts w:ascii="Times New Roman" w:hAnsi="Times New Roman" w:eastAsia="Times New Roman" w:cs="Times New Roman"/>
                <w:b/>
                <w:i w:val="0"/>
                <w:color w:val="000000"/>
                <w:sz w:val="28"/>
              </w:rPr>
              <w:t>Примеры</w:t>
            </w:r>
          </w:p>
        </w:tc>
        <w:tc>
          <w:tcPr>
            <w:tcW w:w="3402" w:type="dxa"/>
            <w:vAlign w:val="center"/>
          </w:tcPr>
          <w:p w14:paraId="75CCC61D">
            <w:pPr>
              <w:spacing w:before="0" w:after="0" w:line="360" w:lineRule="auto"/>
              <w:jc w:val="center"/>
            </w:pPr>
            <w:r>
              <w:rPr>
                <w:rFonts w:ascii="Times New Roman" w:hAnsi="Times New Roman" w:eastAsia="Times New Roman" w:cs="Times New Roman"/>
                <w:b/>
                <w:i w:val="0"/>
                <w:color w:val="000000"/>
                <w:sz w:val="28"/>
              </w:rPr>
              <w:t>Покрытие пациентского пути</w:t>
            </w:r>
          </w:p>
        </w:tc>
      </w:tr>
      <w:tr w14:paraId="3CD38DDD">
        <w:tc>
          <w:tcPr>
            <w:tcW w:w="2551" w:type="dxa"/>
            <w:vAlign w:val="top"/>
          </w:tcPr>
          <w:p w14:paraId="6FE7761B">
            <w:pPr>
              <w:spacing w:before="0" w:after="0" w:line="360" w:lineRule="auto"/>
              <w:jc w:val="left"/>
            </w:pPr>
            <w:r>
              <w:rPr>
                <w:rFonts w:ascii="Times New Roman" w:hAnsi="Times New Roman" w:eastAsia="Times New Roman" w:cs="Times New Roman"/>
                <w:b w:val="0"/>
                <w:i w:val="0"/>
                <w:color w:val="000000"/>
                <w:sz w:val="28"/>
              </w:rPr>
              <w:t>МИС с пациентским контуром</w:t>
            </w:r>
          </w:p>
        </w:tc>
        <w:tc>
          <w:tcPr>
            <w:tcW w:w="3402" w:type="dxa"/>
            <w:vAlign w:val="top"/>
          </w:tcPr>
          <w:p w14:paraId="721CE04D">
            <w:pPr>
              <w:spacing w:before="0" w:after="0" w:line="360" w:lineRule="auto"/>
              <w:jc w:val="left"/>
            </w:pPr>
            <w:r>
              <w:rPr>
                <w:rFonts w:ascii="Times New Roman" w:hAnsi="Times New Roman" w:eastAsia="Times New Roman" w:cs="Times New Roman"/>
                <w:b w:val="0"/>
                <w:i w:val="0"/>
                <w:color w:val="000000"/>
                <w:sz w:val="28"/>
              </w:rPr>
              <w:t>1С:Медицина. Стоматологическая клиника, IDENT, Dental4Windows</w:t>
            </w:r>
          </w:p>
        </w:tc>
        <w:tc>
          <w:tcPr>
            <w:tcW w:w="3402" w:type="dxa"/>
            <w:vAlign w:val="top"/>
          </w:tcPr>
          <w:p w14:paraId="06BC7D47">
            <w:pPr>
              <w:spacing w:before="0" w:after="0" w:line="360" w:lineRule="auto"/>
              <w:jc w:val="left"/>
            </w:pPr>
            <w:r>
              <w:rPr>
                <w:rFonts w:ascii="Times New Roman" w:hAnsi="Times New Roman" w:eastAsia="Times New Roman" w:cs="Times New Roman"/>
                <w:b w:val="0"/>
                <w:i w:val="0"/>
                <w:color w:val="000000"/>
                <w:sz w:val="28"/>
              </w:rPr>
              <w:t>Запись, расписание, электронная карта, кабинет пациента</w:t>
            </w:r>
          </w:p>
        </w:tc>
      </w:tr>
      <w:tr w14:paraId="6EB047C3">
        <w:tc>
          <w:tcPr>
            <w:tcW w:w="2551" w:type="dxa"/>
            <w:vAlign w:val="top"/>
          </w:tcPr>
          <w:p w14:paraId="5F19186E">
            <w:pPr>
              <w:spacing w:before="0" w:after="0" w:line="360" w:lineRule="auto"/>
              <w:jc w:val="left"/>
            </w:pPr>
            <w:r>
              <w:rPr>
                <w:rFonts w:ascii="Times New Roman" w:hAnsi="Times New Roman" w:eastAsia="Times New Roman" w:cs="Times New Roman"/>
                <w:b w:val="0"/>
                <w:i w:val="0"/>
                <w:color w:val="000000"/>
                <w:sz w:val="28"/>
              </w:rPr>
              <w:t>Внешние агрегаторы и платформы</w:t>
            </w:r>
          </w:p>
        </w:tc>
        <w:tc>
          <w:tcPr>
            <w:tcW w:w="3402" w:type="dxa"/>
            <w:vAlign w:val="top"/>
          </w:tcPr>
          <w:p w14:paraId="2C7D6F2D">
            <w:pPr>
              <w:spacing w:before="0" w:after="0" w:line="360" w:lineRule="auto"/>
              <w:jc w:val="left"/>
            </w:pPr>
            <w:r>
              <w:rPr>
                <w:rFonts w:ascii="Times New Roman" w:hAnsi="Times New Roman" w:eastAsia="Times New Roman" w:cs="Times New Roman"/>
                <w:b w:val="0"/>
                <w:i w:val="0"/>
                <w:color w:val="000000"/>
                <w:sz w:val="28"/>
              </w:rPr>
              <w:t>СберЗдоровье, ПроДокторов, DocDoc, НаПоправку</w:t>
            </w:r>
          </w:p>
        </w:tc>
        <w:tc>
          <w:tcPr>
            <w:tcW w:w="3402" w:type="dxa"/>
            <w:vAlign w:val="top"/>
          </w:tcPr>
          <w:p w14:paraId="3EE91274">
            <w:pPr>
              <w:spacing w:before="0" w:after="0" w:line="360" w:lineRule="auto"/>
              <w:jc w:val="left"/>
            </w:pPr>
            <w:r>
              <w:rPr>
                <w:rFonts w:ascii="Times New Roman" w:hAnsi="Times New Roman" w:eastAsia="Times New Roman" w:cs="Times New Roman"/>
                <w:b w:val="0"/>
                <w:i w:val="0"/>
                <w:color w:val="000000"/>
                <w:sz w:val="28"/>
              </w:rPr>
              <w:t>Первичный поиск, сравнение, отзывы, запись</w:t>
            </w:r>
          </w:p>
        </w:tc>
      </w:tr>
      <w:tr w14:paraId="0EEFA771">
        <w:tc>
          <w:tcPr>
            <w:tcW w:w="2551" w:type="dxa"/>
            <w:vAlign w:val="top"/>
          </w:tcPr>
          <w:p w14:paraId="04BF068F">
            <w:pPr>
              <w:spacing w:before="0" w:after="0" w:line="360" w:lineRule="auto"/>
              <w:jc w:val="left"/>
            </w:pPr>
            <w:r>
              <w:rPr>
                <w:rFonts w:ascii="Times New Roman" w:hAnsi="Times New Roman" w:eastAsia="Times New Roman" w:cs="Times New Roman"/>
                <w:b w:val="0"/>
                <w:i w:val="0"/>
                <w:color w:val="000000"/>
                <w:sz w:val="28"/>
              </w:rPr>
              <w:t>Собственные приложения сетей</w:t>
            </w:r>
          </w:p>
        </w:tc>
        <w:tc>
          <w:tcPr>
            <w:tcW w:w="3402" w:type="dxa"/>
            <w:vAlign w:val="top"/>
          </w:tcPr>
          <w:p w14:paraId="57ECBD6C">
            <w:pPr>
              <w:spacing w:before="0" w:after="0" w:line="360" w:lineRule="auto"/>
              <w:jc w:val="left"/>
            </w:pPr>
            <w:r>
              <w:rPr>
                <w:rFonts w:ascii="Times New Roman" w:hAnsi="Times New Roman" w:eastAsia="Times New Roman" w:cs="Times New Roman"/>
                <w:b w:val="0"/>
                <w:i w:val="0"/>
                <w:color w:val="000000"/>
                <w:sz w:val="28"/>
              </w:rPr>
              <w:t>Мой Зубной, фирменные приложения сетей в Москве и Санкт-Петербурге</w:t>
            </w:r>
          </w:p>
        </w:tc>
        <w:tc>
          <w:tcPr>
            <w:tcW w:w="3402" w:type="dxa"/>
            <w:vAlign w:val="top"/>
          </w:tcPr>
          <w:p w14:paraId="5F25234A">
            <w:pPr>
              <w:spacing w:before="0" w:after="0" w:line="360" w:lineRule="auto"/>
              <w:jc w:val="left"/>
            </w:pPr>
            <w:r>
              <w:rPr>
                <w:rFonts w:ascii="Times New Roman" w:hAnsi="Times New Roman" w:eastAsia="Times New Roman" w:cs="Times New Roman"/>
                <w:b w:val="0"/>
                <w:i w:val="0"/>
                <w:color w:val="000000"/>
                <w:sz w:val="28"/>
              </w:rPr>
              <w:t>Запись, история визитов, гарантии, документы</w:t>
            </w:r>
          </w:p>
        </w:tc>
      </w:tr>
      <w:tr w14:paraId="43360F97">
        <w:tc>
          <w:tcPr>
            <w:tcW w:w="2551" w:type="dxa"/>
            <w:vAlign w:val="top"/>
          </w:tcPr>
          <w:p w14:paraId="0F66F6DE">
            <w:pPr>
              <w:spacing w:before="0" w:after="0" w:line="360" w:lineRule="auto"/>
              <w:jc w:val="left"/>
            </w:pPr>
            <w:r>
              <w:rPr>
                <w:rFonts w:ascii="Times New Roman" w:hAnsi="Times New Roman" w:eastAsia="Times New Roman" w:cs="Times New Roman"/>
                <w:b w:val="0"/>
                <w:i w:val="0"/>
                <w:color w:val="000000"/>
                <w:sz w:val="28"/>
              </w:rPr>
              <w:t>Мессенджеры и чат-боты</w:t>
            </w:r>
          </w:p>
        </w:tc>
        <w:tc>
          <w:tcPr>
            <w:tcW w:w="3402" w:type="dxa"/>
            <w:vAlign w:val="top"/>
          </w:tcPr>
          <w:p w14:paraId="17BEA446">
            <w:pPr>
              <w:spacing w:before="0" w:after="0" w:line="360" w:lineRule="auto"/>
              <w:jc w:val="left"/>
            </w:pPr>
            <w:r>
              <w:rPr>
                <w:rFonts w:ascii="Times New Roman" w:hAnsi="Times New Roman" w:eastAsia="Times New Roman" w:cs="Times New Roman"/>
                <w:b w:val="0"/>
                <w:i w:val="0"/>
                <w:color w:val="000000"/>
                <w:sz w:val="28"/>
              </w:rPr>
              <w:t>Боты на базе WhatsApp Business, Telegram Bot API</w:t>
            </w:r>
          </w:p>
        </w:tc>
        <w:tc>
          <w:tcPr>
            <w:tcW w:w="3402" w:type="dxa"/>
            <w:vAlign w:val="top"/>
          </w:tcPr>
          <w:p w14:paraId="3E884FCD">
            <w:pPr>
              <w:spacing w:before="0" w:after="0" w:line="360" w:lineRule="auto"/>
              <w:jc w:val="left"/>
            </w:pPr>
            <w:r>
              <w:rPr>
                <w:rFonts w:ascii="Times New Roman" w:hAnsi="Times New Roman" w:eastAsia="Times New Roman" w:cs="Times New Roman"/>
                <w:b w:val="0"/>
                <w:i w:val="0"/>
                <w:color w:val="000000"/>
                <w:sz w:val="28"/>
              </w:rPr>
              <w:t>Напоминания, подтверждение, FAQ, перенос записи</w:t>
            </w:r>
          </w:p>
        </w:tc>
      </w:tr>
      <w:tr w14:paraId="1D3F7128">
        <w:tc>
          <w:tcPr>
            <w:tcW w:w="2551" w:type="dxa"/>
            <w:vAlign w:val="top"/>
          </w:tcPr>
          <w:p w14:paraId="330D59BD">
            <w:pPr>
              <w:spacing w:before="0" w:after="0" w:line="360" w:lineRule="auto"/>
              <w:jc w:val="left"/>
            </w:pPr>
            <w:r>
              <w:rPr>
                <w:rFonts w:ascii="Times New Roman" w:hAnsi="Times New Roman" w:eastAsia="Times New Roman" w:cs="Times New Roman"/>
                <w:b w:val="0"/>
                <w:i w:val="0"/>
                <w:color w:val="000000"/>
                <w:sz w:val="28"/>
              </w:rPr>
              <w:t>CRM/SCRM в медицине</w:t>
            </w:r>
          </w:p>
        </w:tc>
        <w:tc>
          <w:tcPr>
            <w:tcW w:w="3402" w:type="dxa"/>
            <w:vAlign w:val="top"/>
          </w:tcPr>
          <w:p w14:paraId="348115FF">
            <w:pPr>
              <w:spacing w:before="0" w:after="0" w:line="360" w:lineRule="auto"/>
              <w:jc w:val="left"/>
            </w:pPr>
            <w:r>
              <w:rPr>
                <w:rFonts w:ascii="Times New Roman" w:hAnsi="Times New Roman" w:eastAsia="Times New Roman" w:cs="Times New Roman"/>
                <w:b w:val="0"/>
                <w:i w:val="0"/>
                <w:color w:val="000000"/>
                <w:sz w:val="28"/>
              </w:rPr>
              <w:t>amoCRM Healthcare, Bitrix24 для клиник</w:t>
            </w:r>
          </w:p>
        </w:tc>
        <w:tc>
          <w:tcPr>
            <w:tcW w:w="3402" w:type="dxa"/>
            <w:vAlign w:val="top"/>
          </w:tcPr>
          <w:p w14:paraId="4800F036">
            <w:pPr>
              <w:spacing w:before="0" w:after="0" w:line="360" w:lineRule="auto"/>
              <w:jc w:val="left"/>
            </w:pPr>
            <w:r>
              <w:rPr>
                <w:rFonts w:ascii="Times New Roman" w:hAnsi="Times New Roman" w:eastAsia="Times New Roman" w:cs="Times New Roman"/>
                <w:b w:val="0"/>
                <w:i w:val="0"/>
                <w:color w:val="000000"/>
                <w:sz w:val="28"/>
              </w:rPr>
              <w:t>Сегментация, триггерные рассылки, аналитика воронки</w:t>
            </w:r>
          </w:p>
        </w:tc>
      </w:tr>
    </w:tbl>
    <w:p w14:paraId="2F6FC93B">
      <w:pPr>
        <w:spacing w:before="40" w:after="80" w:line="360" w:lineRule="auto"/>
        <w:jc w:val="both"/>
      </w:pPr>
    </w:p>
    <w:p w14:paraId="2C2880BE">
      <w:pPr>
        <w:spacing w:before="0" w:after="0" w:line="360" w:lineRule="auto"/>
        <w:ind w:firstLine="709"/>
        <w:jc w:val="both"/>
      </w:pPr>
      <w:r>
        <w:rPr>
          <w:rFonts w:ascii="Times New Roman" w:hAnsi="Times New Roman" w:eastAsia="Times New Roman" w:cs="Times New Roman"/>
          <w:b w:val="0"/>
          <w:i w:val="0"/>
          <w:color w:val="000000"/>
          <w:sz w:val="28"/>
        </w:rPr>
        <w:t>Российский ландшафт показывает, что отдельные функции пациентского пути уже автоматизированы массово, но единого цифрового контура у большинства клиник нет: МИС закрывает регистратуру, агрегаторы — поиск, мессенджеры — напоминания, и только мобильное приложение сети способно собрать этот контур в единую сущность с управляемой идентификацией пациента и сохранением контактов в собственной базе.</w:t>
      </w:r>
    </w:p>
    <w:p w14:paraId="38425D77">
      <w:pPr>
        <w:spacing w:before="120" w:after="80" w:line="360" w:lineRule="auto"/>
        <w:ind w:firstLine="709"/>
        <w:jc w:val="left"/>
      </w:pPr>
      <w:r>
        <w:rPr>
          <w:rFonts w:ascii="Times New Roman" w:hAnsi="Times New Roman" w:eastAsia="Times New Roman" w:cs="Times New Roman"/>
          <w:b/>
          <w:i w:val="0"/>
          <w:color w:val="000000"/>
          <w:sz w:val="28"/>
        </w:rPr>
        <w:t>1.4.4. Изменения нормативной базы 2025–2026 годов как теоретическое обоснование необходимости решения</w:t>
      </w:r>
    </w:p>
    <w:p w14:paraId="70A4F0C7">
      <w:pPr>
        <w:spacing w:before="0" w:after="0" w:line="360" w:lineRule="auto"/>
        <w:ind w:firstLine="709"/>
        <w:jc w:val="both"/>
      </w:pPr>
      <w:r>
        <w:rPr>
          <w:rFonts w:ascii="Times New Roman" w:hAnsi="Times New Roman" w:eastAsia="Times New Roman" w:cs="Times New Roman"/>
          <w:b w:val="0"/>
          <w:i w:val="0"/>
          <w:color w:val="000000"/>
          <w:sz w:val="28"/>
        </w:rPr>
        <w:t>Цифровизация пациентских коммуникаций развивается параллельно с заметным изменением нормативной среды. Совокупность изменений, вступивших в силу в 2025 году и анонсированных на 2026 год, формирует не только ограничения, но и обоснование самой необходимости проектировать собственный цифровой продукт: ряд законодательных норм делает юридически невозможным ряд распространённых в России практик (разрешение на обработку данных в составе пользовательского соглашения, использование внешних платформ для ретаргетинга, размещение баз данных пациентов на иностранных облачных сервисах).</w:t>
      </w:r>
    </w:p>
    <w:p w14:paraId="13EAE13B">
      <w:pPr>
        <w:spacing w:before="0" w:after="0" w:line="360" w:lineRule="auto"/>
        <w:ind w:firstLine="709"/>
        <w:jc w:val="both"/>
      </w:pPr>
      <w:r>
        <w:rPr>
          <w:rFonts w:ascii="Times New Roman" w:hAnsi="Times New Roman" w:eastAsia="Times New Roman" w:cs="Times New Roman"/>
          <w:b w:val="0"/>
          <w:i w:val="0"/>
          <w:color w:val="000000"/>
          <w:sz w:val="28"/>
        </w:rPr>
        <w:t>Ключевые изменения в Федеральный закон «О персональных данных» от 27.07.2006 № 152-ФЗ вступили в силу с 30 мая 2025 года, а в части оформления согласия — с 1 сентября 2025 года (внесены Федеральным законом от 23.05.2025 № 121-ФЗ). Согласие на обработку персональных данных оформляется отдельным документом и не может быть включено в состав пользовательского соглашения, договора оказания услуг или иной общий документ. Изменения требуют обязательного указания конкретного перечня данных, цели обработки, срока действия согласия и порядка его отзыва. Эти требования напрямую влияют на продуктовое решение мобильного приложения: сценарий онбординга пациента должен предусматривать отдельные диалоги согласия с раздельным сохранением.</w:t>
      </w:r>
    </w:p>
    <w:p w14:paraId="41A04F9B">
      <w:pPr>
        <w:spacing w:before="0" w:after="0" w:line="360" w:lineRule="auto"/>
        <w:ind w:firstLine="709"/>
        <w:jc w:val="both"/>
      </w:pPr>
      <w:r>
        <w:rPr>
          <w:rFonts w:ascii="Times New Roman" w:hAnsi="Times New Roman" w:eastAsia="Times New Roman" w:cs="Times New Roman"/>
          <w:b w:val="0"/>
          <w:i w:val="0"/>
          <w:color w:val="000000"/>
          <w:sz w:val="28"/>
        </w:rPr>
        <w:t>Федеральным законом от 28 февраля 2025 года № 23-ФЗ внесены изменения, запрещающие с 1 июля 2025 года обработку и хранение персональных данных российских граждан в базах, размещённых за пределами территории Российской Федерации. Норма закрепляет архитектурное требование к цифровому продукту: основные базы данных пациентов и резервные копии должны размещаться у российских облачных провайдеров (Yandex Cloud, Selectel, VK Cloud и аналогичных).</w:t>
      </w:r>
    </w:p>
    <w:p w14:paraId="67BAF691">
      <w:pPr>
        <w:spacing w:before="0" w:after="0" w:line="360" w:lineRule="auto"/>
        <w:ind w:firstLine="709"/>
        <w:jc w:val="both"/>
      </w:pPr>
      <w:r>
        <w:rPr>
          <w:rFonts w:ascii="Times New Roman" w:hAnsi="Times New Roman" w:eastAsia="Times New Roman" w:cs="Times New Roman"/>
          <w:b w:val="0"/>
          <w:i w:val="0"/>
          <w:color w:val="000000"/>
          <w:sz w:val="28"/>
        </w:rPr>
        <w:t>Для медицинской деятельности параллельно действует постановление Правительства Российской Федерации от 1 ноября 2012 года № 1119 об уровнях защищённости персональных данных. Стоматологическая клиника как оператор специальных категорий персональных данных (сведения о здоровье) попадает под уровень защищённости УЗ-3, что задаёт обязательный набор организационных и технических мер по приказу ФСТЭК России от 18.02.2013 № 21.</w:t>
      </w:r>
    </w:p>
    <w:p w14:paraId="22A4B80A">
      <w:pPr>
        <w:spacing w:before="0" w:after="0" w:line="360" w:lineRule="auto"/>
        <w:ind w:firstLine="709"/>
        <w:jc w:val="both"/>
      </w:pPr>
      <w:r>
        <w:rPr>
          <w:rFonts w:ascii="Times New Roman" w:hAnsi="Times New Roman" w:eastAsia="Times New Roman" w:cs="Times New Roman"/>
          <w:b w:val="0"/>
          <w:i w:val="0"/>
          <w:color w:val="000000"/>
          <w:sz w:val="28"/>
        </w:rPr>
        <w:t>С 1 сентября 2025 года вступил в силу новый порядок применения телемедицинских технологий, утверждённый приказом Министерства здравоохранения Российской Федерации от 11 апреля 2025 года № 193н (зарегистрирован в Минюсте России 15 мая 2025 года, № 82181). Документ заменил приказ № 965н от 30 ноября 2017 года и вводит несколько изменений, существенных для проектирования цифровых сервисов клиники: телеконсультация допускается только по тем видам медицинской помощи, которые указаны в лицензии медицинской организации; разрешено применение систем поддержки принятия врачебных решений на базе искусственного интеллекта, зарегистрированных как медицинские изделия; уточнены правила взаимодействия медицинских работников между собой в формате удалённого консилиума.</w:t>
      </w:r>
    </w:p>
    <w:p w14:paraId="56C1DC84">
      <w:pPr>
        <w:spacing w:before="0" w:after="0" w:line="360" w:lineRule="auto"/>
        <w:ind w:firstLine="709"/>
        <w:jc w:val="both"/>
      </w:pPr>
      <w:r>
        <w:rPr>
          <w:rFonts w:ascii="Times New Roman" w:hAnsi="Times New Roman" w:eastAsia="Times New Roman" w:cs="Times New Roman"/>
          <w:b w:val="0"/>
          <w:i w:val="0"/>
          <w:color w:val="000000"/>
          <w:sz w:val="28"/>
        </w:rPr>
        <w:t>С 1 сентября 2025 года Федеральным законом от 07.04.2025 № 72-ФЗ введён универсальный запрет на размещение рекламы (включая медицинские услуги) на интернет-ресурсах, доступ к которым ограничен на территории России, и на площадках организаций, признанных экстремистскими или нежелательными. Согласно разъяснениям ФАС, признаком рекламы могут признаваться и публикации без прямой оплаты, если они формируют интерес к услуге или клинике. Норма изменяет привычную модель продвижения и фактически смещает фокус на собственные цифровые каналы клиники (сайт, мобильное приложение, e-mail, мессенджеры с верифицированной идентификацией).</w:t>
      </w:r>
    </w:p>
    <w:p w14:paraId="530E905F">
      <w:pPr>
        <w:spacing w:before="0" w:after="0" w:line="360" w:lineRule="auto"/>
        <w:ind w:firstLine="709"/>
        <w:jc w:val="both"/>
      </w:pPr>
      <w:r>
        <w:rPr>
          <w:rFonts w:ascii="Times New Roman" w:hAnsi="Times New Roman" w:eastAsia="Times New Roman" w:cs="Times New Roman"/>
          <w:b w:val="0"/>
          <w:i w:val="0"/>
          <w:color w:val="000000"/>
          <w:sz w:val="28"/>
        </w:rPr>
        <w:t>Регистрация мобильных приложений как медицинских изделий регулируется приказом Минздрава России от 6 июня 2012 года № 4н и отдельным разделом классификации, введённым приказом № 686н от 7 июля 2020 года. Согласно информационному письму Росздравнадзора от 13.02.2020 «О программном обеспечении», программа признаётся медицинским изделием при одновременном выполнении четырёх условий: техническая природа (программа для ЭВМ), автономность от иного зарегистрированного медицинского изделия, медицинское назначение, влияние на принятие клинических решений через автоматическую интерпретацию данных. По экспертной оценке отрасли, полный цикл регистрации составляет 3–6 месяцев при отсутствии замечаний; для классов 1 и 2а до 31 декабря 2027 года действует упрощённый порядок, установленный постановлением Правительства Российской Федерации от 01.04.2022 № 552 (с последующими продлениями). Для приложений-медицинских изделий с применением искусственного интеллекта установлен отдельный регламент внесения изменений в досье.</w:t>
      </w:r>
    </w:p>
    <w:p w14:paraId="263AE7AF">
      <w:pPr>
        <w:spacing w:before="120" w:after="40" w:line="360" w:lineRule="auto"/>
        <w:jc w:val="left"/>
      </w:pPr>
      <w:r>
        <w:rPr>
          <w:rFonts w:ascii="Times New Roman" w:hAnsi="Times New Roman" w:eastAsia="Times New Roman" w:cs="Times New Roman"/>
          <w:b w:val="0"/>
          <w:i w:val="0"/>
          <w:color w:val="000000"/>
          <w:sz w:val="28"/>
        </w:rPr>
        <w:t>Таблица 1.4.4 – Сводная карта нормативных изменений 2025–2026 годов и их влияния на цифровой продукт клиники</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14:paraId="009CEA5B">
        <w:tc>
          <w:tcPr>
            <w:tcW w:w="2835" w:type="dxa"/>
            <w:vAlign w:val="center"/>
          </w:tcPr>
          <w:p w14:paraId="78E86605">
            <w:pPr>
              <w:spacing w:before="0" w:after="0" w:line="360" w:lineRule="auto"/>
              <w:jc w:val="center"/>
            </w:pPr>
            <w:r>
              <w:rPr>
                <w:rFonts w:ascii="Times New Roman" w:hAnsi="Times New Roman" w:eastAsia="Times New Roman" w:cs="Times New Roman"/>
                <w:b/>
                <w:i w:val="0"/>
                <w:color w:val="000000"/>
                <w:sz w:val="28"/>
              </w:rPr>
              <w:t>Нормативный акт</w:t>
            </w:r>
          </w:p>
        </w:tc>
        <w:tc>
          <w:tcPr>
            <w:tcW w:w="3402" w:type="dxa"/>
            <w:vAlign w:val="center"/>
          </w:tcPr>
          <w:p w14:paraId="3ACB5B9C">
            <w:pPr>
              <w:spacing w:before="0" w:after="0" w:line="360" w:lineRule="auto"/>
              <w:jc w:val="center"/>
            </w:pPr>
            <w:r>
              <w:rPr>
                <w:rFonts w:ascii="Times New Roman" w:hAnsi="Times New Roman" w:eastAsia="Times New Roman" w:cs="Times New Roman"/>
                <w:b/>
                <w:i w:val="0"/>
                <w:color w:val="000000"/>
                <w:sz w:val="28"/>
              </w:rPr>
              <w:t>Содержание изменений</w:t>
            </w:r>
          </w:p>
        </w:tc>
        <w:tc>
          <w:tcPr>
            <w:tcW w:w="3118" w:type="dxa"/>
            <w:vAlign w:val="center"/>
          </w:tcPr>
          <w:p w14:paraId="74ECBE78">
            <w:pPr>
              <w:spacing w:before="0" w:after="0" w:line="360" w:lineRule="auto"/>
              <w:jc w:val="center"/>
            </w:pPr>
            <w:r>
              <w:rPr>
                <w:rFonts w:ascii="Times New Roman" w:hAnsi="Times New Roman" w:eastAsia="Times New Roman" w:cs="Times New Roman"/>
                <w:b/>
                <w:i w:val="0"/>
                <w:color w:val="000000"/>
                <w:sz w:val="28"/>
              </w:rPr>
              <w:t>Влияние на цифровой продукт</w:t>
            </w:r>
          </w:p>
        </w:tc>
      </w:tr>
      <w:tr w14:paraId="6FABEBBA">
        <w:tc>
          <w:tcPr>
            <w:tcW w:w="2835" w:type="dxa"/>
            <w:vAlign w:val="top"/>
          </w:tcPr>
          <w:p w14:paraId="127D3394">
            <w:pPr>
              <w:spacing w:before="0" w:after="0" w:line="360" w:lineRule="auto"/>
              <w:jc w:val="left"/>
            </w:pPr>
            <w:r>
              <w:rPr>
                <w:rFonts w:ascii="Times New Roman" w:hAnsi="Times New Roman" w:eastAsia="Times New Roman" w:cs="Times New Roman"/>
                <w:b w:val="0"/>
                <w:i w:val="0"/>
                <w:color w:val="000000"/>
                <w:sz w:val="28"/>
              </w:rPr>
              <w:t>№ 152-ФЗ (изменения от 24.06.2025; ст. 9 – с 01.09.2025)</w:t>
            </w:r>
          </w:p>
        </w:tc>
        <w:tc>
          <w:tcPr>
            <w:tcW w:w="3402" w:type="dxa"/>
            <w:vAlign w:val="top"/>
          </w:tcPr>
          <w:p w14:paraId="0BF1F94D">
            <w:pPr>
              <w:spacing w:before="0" w:after="0" w:line="360" w:lineRule="auto"/>
              <w:jc w:val="left"/>
            </w:pPr>
            <w:r>
              <w:rPr>
                <w:rFonts w:ascii="Times New Roman" w:hAnsi="Times New Roman" w:eastAsia="Times New Roman" w:cs="Times New Roman"/>
                <w:b w:val="0"/>
                <w:i w:val="0"/>
                <w:color w:val="000000"/>
                <w:sz w:val="28"/>
              </w:rPr>
              <w:t>Согласие на обработку персональных данных оформляется отдельным документом; уточнены реквизиты, срок и порядок отзыва</w:t>
            </w:r>
          </w:p>
        </w:tc>
        <w:tc>
          <w:tcPr>
            <w:tcW w:w="3118" w:type="dxa"/>
            <w:vAlign w:val="top"/>
          </w:tcPr>
          <w:p w14:paraId="1A901C05">
            <w:pPr>
              <w:spacing w:before="0" w:after="0" w:line="360" w:lineRule="auto"/>
              <w:jc w:val="left"/>
            </w:pPr>
            <w:r>
              <w:rPr>
                <w:rFonts w:ascii="Times New Roman" w:hAnsi="Times New Roman" w:eastAsia="Times New Roman" w:cs="Times New Roman"/>
                <w:b w:val="0"/>
                <w:i w:val="0"/>
                <w:color w:val="000000"/>
                <w:sz w:val="28"/>
              </w:rPr>
              <w:t>Раздельные экраны согласия в онбординге; журнал согласий с возможностью отзыва</w:t>
            </w:r>
          </w:p>
        </w:tc>
      </w:tr>
      <w:tr w14:paraId="77FCA38A">
        <w:tc>
          <w:tcPr>
            <w:tcW w:w="2835" w:type="dxa"/>
            <w:vAlign w:val="top"/>
          </w:tcPr>
          <w:p w14:paraId="23E59492">
            <w:pPr>
              <w:spacing w:before="0" w:after="0" w:line="360" w:lineRule="auto"/>
              <w:jc w:val="left"/>
            </w:pPr>
            <w:r>
              <w:rPr>
                <w:rFonts w:ascii="Times New Roman" w:hAnsi="Times New Roman" w:eastAsia="Times New Roman" w:cs="Times New Roman"/>
                <w:b w:val="0"/>
                <w:i w:val="0"/>
                <w:color w:val="000000"/>
                <w:sz w:val="28"/>
              </w:rPr>
              <w:t>№ 23-ФЗ от 28.02.2025 (вступил в силу 01.07.2025)</w:t>
            </w:r>
          </w:p>
        </w:tc>
        <w:tc>
          <w:tcPr>
            <w:tcW w:w="3402" w:type="dxa"/>
            <w:vAlign w:val="top"/>
          </w:tcPr>
          <w:p w14:paraId="3F9F9785">
            <w:pPr>
              <w:spacing w:before="0" w:after="0" w:line="360" w:lineRule="auto"/>
              <w:jc w:val="left"/>
            </w:pPr>
            <w:r>
              <w:rPr>
                <w:rFonts w:ascii="Times New Roman" w:hAnsi="Times New Roman" w:eastAsia="Times New Roman" w:cs="Times New Roman"/>
                <w:b w:val="0"/>
                <w:i w:val="0"/>
                <w:color w:val="000000"/>
                <w:sz w:val="28"/>
              </w:rPr>
              <w:t>Запрет хранения и обработки персональных данных граждан России за пределами территории Российской Федерации</w:t>
            </w:r>
          </w:p>
        </w:tc>
        <w:tc>
          <w:tcPr>
            <w:tcW w:w="3118" w:type="dxa"/>
            <w:vAlign w:val="top"/>
          </w:tcPr>
          <w:p w14:paraId="4CA8EEAE">
            <w:pPr>
              <w:spacing w:before="0" w:after="0" w:line="360" w:lineRule="auto"/>
              <w:jc w:val="left"/>
            </w:pPr>
            <w:r>
              <w:rPr>
                <w:rFonts w:ascii="Times New Roman" w:hAnsi="Times New Roman" w:eastAsia="Times New Roman" w:cs="Times New Roman"/>
                <w:b w:val="0"/>
                <w:i w:val="0"/>
                <w:color w:val="000000"/>
                <w:sz w:val="28"/>
              </w:rPr>
              <w:t>Размещение основных и резервных баз у российских облачных провайдеров</w:t>
            </w:r>
          </w:p>
        </w:tc>
      </w:tr>
      <w:tr w14:paraId="4F78E215">
        <w:tc>
          <w:tcPr>
            <w:tcW w:w="2835" w:type="dxa"/>
            <w:vAlign w:val="top"/>
          </w:tcPr>
          <w:p w14:paraId="4FFD3F79">
            <w:pPr>
              <w:spacing w:before="0" w:after="0" w:line="360" w:lineRule="auto"/>
              <w:jc w:val="left"/>
            </w:pPr>
            <w:r>
              <w:rPr>
                <w:rFonts w:ascii="Times New Roman" w:hAnsi="Times New Roman" w:eastAsia="Times New Roman" w:cs="Times New Roman"/>
                <w:b w:val="0"/>
                <w:i w:val="0"/>
                <w:color w:val="000000"/>
                <w:sz w:val="28"/>
              </w:rPr>
              <w:t>Постановление Правительства РФ № 1119 от 01.11.2012</w:t>
            </w:r>
          </w:p>
        </w:tc>
        <w:tc>
          <w:tcPr>
            <w:tcW w:w="3402" w:type="dxa"/>
            <w:vAlign w:val="top"/>
          </w:tcPr>
          <w:p w14:paraId="614DD3F5">
            <w:pPr>
              <w:spacing w:before="0" w:after="0" w:line="360" w:lineRule="auto"/>
              <w:jc w:val="left"/>
            </w:pPr>
            <w:r>
              <w:rPr>
                <w:rFonts w:ascii="Times New Roman" w:hAnsi="Times New Roman" w:eastAsia="Times New Roman" w:cs="Times New Roman"/>
                <w:b w:val="0"/>
                <w:i w:val="0"/>
                <w:color w:val="000000"/>
                <w:sz w:val="28"/>
              </w:rPr>
              <w:t>Уровни защищённости персональных данных</w:t>
            </w:r>
          </w:p>
        </w:tc>
        <w:tc>
          <w:tcPr>
            <w:tcW w:w="3118" w:type="dxa"/>
            <w:vAlign w:val="top"/>
          </w:tcPr>
          <w:p w14:paraId="4920B858">
            <w:pPr>
              <w:spacing w:before="0" w:after="0" w:line="360" w:lineRule="auto"/>
              <w:jc w:val="left"/>
            </w:pPr>
            <w:r>
              <w:rPr>
                <w:rFonts w:ascii="Times New Roman" w:hAnsi="Times New Roman" w:eastAsia="Times New Roman" w:cs="Times New Roman"/>
                <w:b w:val="0"/>
                <w:i w:val="0"/>
                <w:color w:val="000000"/>
                <w:sz w:val="28"/>
              </w:rPr>
              <w:t>Архитектурное соответствие УЗ-3 для специальных категорий (сведений о здоровье)</w:t>
            </w:r>
          </w:p>
        </w:tc>
      </w:tr>
      <w:tr w14:paraId="6F582CA3">
        <w:tc>
          <w:tcPr>
            <w:tcW w:w="2835" w:type="dxa"/>
            <w:vAlign w:val="top"/>
          </w:tcPr>
          <w:p w14:paraId="7D89D24B">
            <w:pPr>
              <w:spacing w:before="0" w:after="0" w:line="360" w:lineRule="auto"/>
              <w:jc w:val="left"/>
            </w:pPr>
            <w:r>
              <w:rPr>
                <w:rFonts w:ascii="Times New Roman" w:hAnsi="Times New Roman" w:eastAsia="Times New Roman" w:cs="Times New Roman"/>
                <w:b w:val="0"/>
                <w:i w:val="0"/>
                <w:color w:val="000000"/>
                <w:sz w:val="28"/>
              </w:rPr>
              <w:t>Приказ ФСТЭК России № 21 от 18.02.2013</w:t>
            </w:r>
          </w:p>
        </w:tc>
        <w:tc>
          <w:tcPr>
            <w:tcW w:w="3402" w:type="dxa"/>
            <w:vAlign w:val="top"/>
          </w:tcPr>
          <w:p w14:paraId="4C4B04DE">
            <w:pPr>
              <w:spacing w:before="0" w:after="0" w:line="360" w:lineRule="auto"/>
              <w:jc w:val="left"/>
            </w:pPr>
            <w:r>
              <w:rPr>
                <w:rFonts w:ascii="Times New Roman" w:hAnsi="Times New Roman" w:eastAsia="Times New Roman" w:cs="Times New Roman"/>
                <w:b w:val="0"/>
                <w:i w:val="0"/>
                <w:color w:val="000000"/>
                <w:sz w:val="28"/>
              </w:rPr>
              <w:t>Состав организационных и технических мер защиты</w:t>
            </w:r>
          </w:p>
        </w:tc>
        <w:tc>
          <w:tcPr>
            <w:tcW w:w="3118" w:type="dxa"/>
            <w:vAlign w:val="top"/>
          </w:tcPr>
          <w:p w14:paraId="64E32249">
            <w:pPr>
              <w:spacing w:before="0" w:after="0" w:line="360" w:lineRule="auto"/>
              <w:jc w:val="left"/>
            </w:pPr>
            <w:r>
              <w:rPr>
                <w:rFonts w:ascii="Times New Roman" w:hAnsi="Times New Roman" w:eastAsia="Times New Roman" w:cs="Times New Roman"/>
                <w:b w:val="0"/>
                <w:i w:val="0"/>
                <w:color w:val="000000"/>
                <w:sz w:val="28"/>
              </w:rPr>
              <w:t>Технические меры: разграничение доступа, журналирование, шифрование каналов</w:t>
            </w:r>
          </w:p>
        </w:tc>
      </w:tr>
      <w:tr w14:paraId="637A881C">
        <w:tc>
          <w:tcPr>
            <w:tcW w:w="2835" w:type="dxa"/>
            <w:vAlign w:val="top"/>
          </w:tcPr>
          <w:p w14:paraId="4BFB0A17">
            <w:pPr>
              <w:spacing w:before="0" w:after="0" w:line="360" w:lineRule="auto"/>
              <w:jc w:val="left"/>
            </w:pPr>
            <w:r>
              <w:rPr>
                <w:rFonts w:ascii="Times New Roman" w:hAnsi="Times New Roman" w:eastAsia="Times New Roman" w:cs="Times New Roman"/>
                <w:b w:val="0"/>
                <w:i w:val="0"/>
                <w:color w:val="000000"/>
                <w:sz w:val="28"/>
              </w:rPr>
              <w:t>Приказ Минздрава России № 193н от 11.04.2025 (с 01.09.2025)</w:t>
            </w:r>
          </w:p>
        </w:tc>
        <w:tc>
          <w:tcPr>
            <w:tcW w:w="3402" w:type="dxa"/>
            <w:vAlign w:val="top"/>
          </w:tcPr>
          <w:p w14:paraId="4375C872">
            <w:pPr>
              <w:spacing w:before="0" w:after="0" w:line="360" w:lineRule="auto"/>
              <w:jc w:val="left"/>
            </w:pPr>
            <w:r>
              <w:rPr>
                <w:rFonts w:ascii="Times New Roman" w:hAnsi="Times New Roman" w:eastAsia="Times New Roman" w:cs="Times New Roman"/>
                <w:b w:val="0"/>
                <w:i w:val="0"/>
                <w:color w:val="000000"/>
                <w:sz w:val="28"/>
              </w:rPr>
              <w:t>Новый порядок применения телемедицинских технологий; ИИ-инструменты как медицинские изделия; ограничение по лицензии</w:t>
            </w:r>
          </w:p>
        </w:tc>
        <w:tc>
          <w:tcPr>
            <w:tcW w:w="3118" w:type="dxa"/>
            <w:vAlign w:val="top"/>
          </w:tcPr>
          <w:p w14:paraId="0054D77B">
            <w:pPr>
              <w:spacing w:before="0" w:after="0" w:line="360" w:lineRule="auto"/>
              <w:jc w:val="left"/>
            </w:pPr>
            <w:r>
              <w:rPr>
                <w:rFonts w:ascii="Times New Roman" w:hAnsi="Times New Roman" w:eastAsia="Times New Roman" w:cs="Times New Roman"/>
                <w:b w:val="0"/>
                <w:i w:val="0"/>
                <w:color w:val="000000"/>
                <w:sz w:val="28"/>
              </w:rPr>
              <w:t>Перенос телеконсультаций в отдельный лицензируемый периметр; вне MVP без расширения лицензии</w:t>
            </w:r>
          </w:p>
        </w:tc>
      </w:tr>
      <w:tr w14:paraId="275B0896">
        <w:tc>
          <w:tcPr>
            <w:tcW w:w="2835" w:type="dxa"/>
            <w:vAlign w:val="top"/>
          </w:tcPr>
          <w:p w14:paraId="563E9B6A">
            <w:pPr>
              <w:spacing w:before="0" w:after="0" w:line="360" w:lineRule="auto"/>
              <w:jc w:val="left"/>
            </w:pPr>
            <w:r>
              <w:rPr>
                <w:rFonts w:ascii="Times New Roman" w:hAnsi="Times New Roman" w:eastAsia="Times New Roman" w:cs="Times New Roman"/>
                <w:b w:val="0"/>
                <w:i w:val="0"/>
                <w:color w:val="000000"/>
                <w:sz w:val="28"/>
              </w:rPr>
              <w:t>№ 38-ФЗ ст. 24 (с 01.09.2025)</w:t>
            </w:r>
          </w:p>
        </w:tc>
        <w:tc>
          <w:tcPr>
            <w:tcW w:w="3402" w:type="dxa"/>
            <w:vAlign w:val="top"/>
          </w:tcPr>
          <w:p w14:paraId="0B99A1AE">
            <w:pPr>
              <w:spacing w:before="0" w:after="0" w:line="360" w:lineRule="auto"/>
              <w:jc w:val="left"/>
            </w:pPr>
            <w:r>
              <w:rPr>
                <w:rFonts w:ascii="Times New Roman" w:hAnsi="Times New Roman" w:eastAsia="Times New Roman" w:cs="Times New Roman"/>
                <w:b w:val="0"/>
                <w:i w:val="0"/>
                <w:color w:val="000000"/>
                <w:sz w:val="28"/>
              </w:rPr>
              <w:t>Ограничение рекламы медуслуг на запрещённых ресурсах; трактовка контента как рекламы</w:t>
            </w:r>
          </w:p>
        </w:tc>
        <w:tc>
          <w:tcPr>
            <w:tcW w:w="3118" w:type="dxa"/>
            <w:vAlign w:val="top"/>
          </w:tcPr>
          <w:p w14:paraId="5D9E894C">
            <w:pPr>
              <w:spacing w:before="0" w:after="0" w:line="360" w:lineRule="auto"/>
              <w:jc w:val="left"/>
            </w:pPr>
            <w:r>
              <w:rPr>
                <w:rFonts w:ascii="Times New Roman" w:hAnsi="Times New Roman" w:eastAsia="Times New Roman" w:cs="Times New Roman"/>
                <w:b w:val="0"/>
                <w:i w:val="0"/>
                <w:color w:val="000000"/>
                <w:sz w:val="28"/>
              </w:rPr>
              <w:t>Перевод продвижения в собственные каналы клиники; пересмотр ретаргетинговых сценариев</w:t>
            </w:r>
          </w:p>
        </w:tc>
      </w:tr>
      <w:tr w14:paraId="24F96BF3">
        <w:tc>
          <w:tcPr>
            <w:tcW w:w="2835" w:type="dxa"/>
            <w:vAlign w:val="top"/>
          </w:tcPr>
          <w:p w14:paraId="1C6FB703">
            <w:pPr>
              <w:spacing w:before="0" w:after="0" w:line="360" w:lineRule="auto"/>
              <w:jc w:val="left"/>
            </w:pPr>
            <w:r>
              <w:rPr>
                <w:rFonts w:ascii="Times New Roman" w:hAnsi="Times New Roman" w:eastAsia="Times New Roman" w:cs="Times New Roman"/>
                <w:b w:val="0"/>
                <w:i w:val="0"/>
                <w:color w:val="000000"/>
                <w:sz w:val="28"/>
              </w:rPr>
              <w:t>Приказ Минздрава России № 4н от 06.06.2012 и № 686н от 07.07.2020</w:t>
            </w:r>
          </w:p>
        </w:tc>
        <w:tc>
          <w:tcPr>
            <w:tcW w:w="3402" w:type="dxa"/>
            <w:vAlign w:val="top"/>
          </w:tcPr>
          <w:p w14:paraId="35B2B330">
            <w:pPr>
              <w:spacing w:before="0" w:after="0" w:line="360" w:lineRule="auto"/>
              <w:jc w:val="left"/>
            </w:pPr>
            <w:r>
              <w:rPr>
                <w:rFonts w:ascii="Times New Roman" w:hAnsi="Times New Roman" w:eastAsia="Times New Roman" w:cs="Times New Roman"/>
                <w:b w:val="0"/>
                <w:i w:val="0"/>
                <w:color w:val="000000"/>
                <w:sz w:val="28"/>
              </w:rPr>
              <w:t>Условия признания ПО медицинским изделием; классификация по уровням риска</w:t>
            </w:r>
          </w:p>
        </w:tc>
        <w:tc>
          <w:tcPr>
            <w:tcW w:w="3118" w:type="dxa"/>
            <w:vAlign w:val="top"/>
          </w:tcPr>
          <w:p w14:paraId="4046A4D2">
            <w:pPr>
              <w:spacing w:before="0" w:after="0" w:line="360" w:lineRule="auto"/>
              <w:jc w:val="left"/>
            </w:pPr>
            <w:r>
              <w:rPr>
                <w:rFonts w:ascii="Times New Roman" w:hAnsi="Times New Roman" w:eastAsia="Times New Roman" w:cs="Times New Roman"/>
                <w:b w:val="0"/>
                <w:i w:val="0"/>
                <w:color w:val="000000"/>
                <w:sz w:val="28"/>
              </w:rPr>
              <w:t>Документальное обоснование статуса «не медицинское изделие» для пациентского контура MVP</w:t>
            </w:r>
          </w:p>
        </w:tc>
      </w:tr>
      <w:tr w14:paraId="66A104C8">
        <w:tc>
          <w:tcPr>
            <w:tcW w:w="2835" w:type="dxa"/>
            <w:vAlign w:val="top"/>
          </w:tcPr>
          <w:p w14:paraId="4CEE6DA0">
            <w:pPr>
              <w:spacing w:before="0" w:after="0" w:line="360" w:lineRule="auto"/>
              <w:jc w:val="left"/>
            </w:pPr>
            <w:r>
              <w:rPr>
                <w:rFonts w:ascii="Times New Roman" w:hAnsi="Times New Roman" w:eastAsia="Times New Roman" w:cs="Times New Roman"/>
                <w:b w:val="0"/>
                <w:i w:val="0"/>
                <w:color w:val="000000"/>
                <w:sz w:val="28"/>
              </w:rPr>
              <w:t>№ 323-ФЗ ст. 36.2 (изменения с 01.01.2026)</w:t>
            </w:r>
          </w:p>
        </w:tc>
        <w:tc>
          <w:tcPr>
            <w:tcW w:w="3402" w:type="dxa"/>
            <w:vAlign w:val="top"/>
          </w:tcPr>
          <w:p w14:paraId="0DDFE17A">
            <w:pPr>
              <w:spacing w:before="0" w:after="0" w:line="360" w:lineRule="auto"/>
              <w:jc w:val="left"/>
            </w:pPr>
            <w:r>
              <w:rPr>
                <w:rFonts w:ascii="Times New Roman" w:hAnsi="Times New Roman" w:eastAsia="Times New Roman" w:cs="Times New Roman"/>
                <w:b w:val="0"/>
                <w:i w:val="0"/>
                <w:color w:val="000000"/>
                <w:sz w:val="28"/>
              </w:rPr>
              <w:t>Особенности оказания медпомощи с применением телемедицинских технологий</w:t>
            </w:r>
          </w:p>
        </w:tc>
        <w:tc>
          <w:tcPr>
            <w:tcW w:w="3118" w:type="dxa"/>
            <w:vAlign w:val="top"/>
          </w:tcPr>
          <w:p w14:paraId="6C485EA4">
            <w:pPr>
              <w:spacing w:before="0" w:after="0" w:line="360" w:lineRule="auto"/>
              <w:jc w:val="left"/>
            </w:pPr>
            <w:r>
              <w:rPr>
                <w:rFonts w:ascii="Times New Roman" w:hAnsi="Times New Roman" w:eastAsia="Times New Roman" w:cs="Times New Roman"/>
                <w:b w:val="0"/>
                <w:i w:val="0"/>
                <w:color w:val="000000"/>
                <w:sz w:val="28"/>
              </w:rPr>
              <w:t>Учёт при расширении продукта функцией удалённой консультации</w:t>
            </w:r>
          </w:p>
        </w:tc>
      </w:tr>
    </w:tbl>
    <w:p w14:paraId="78C0B1AC">
      <w:pPr>
        <w:spacing w:before="40" w:after="80" w:line="360" w:lineRule="auto"/>
        <w:jc w:val="both"/>
      </w:pPr>
    </w:p>
    <w:p w14:paraId="5506ED97">
      <w:pPr>
        <w:spacing w:before="0" w:after="0" w:line="360" w:lineRule="auto"/>
        <w:ind w:firstLine="709"/>
        <w:jc w:val="both"/>
      </w:pPr>
      <w:r>
        <w:rPr>
          <w:rFonts w:ascii="Times New Roman" w:hAnsi="Times New Roman" w:eastAsia="Times New Roman" w:cs="Times New Roman"/>
          <w:b w:val="0"/>
          <w:i w:val="0"/>
          <w:color w:val="000000"/>
          <w:sz w:val="28"/>
        </w:rPr>
        <w:t>Совокупность норм формулирует двойственное обоснование необходимости решения. С одной стороны, нормативные изменения исключают «лёгкие» сценарии (универсальное согласие в составе соглашения, ретаргетинг через внешние пиксели, хранение баз на зарубежных облачных сервисах). С другой — вынуждают клиники развивать собственные цифровые контуры, в которых идентификация пациента, согласия и история коммуникаций находятся под управлением самой клиники.</w:t>
      </w:r>
    </w:p>
    <w:p w14:paraId="5C0046F1">
      <w:pPr>
        <w:spacing w:before="120" w:after="80" w:line="360" w:lineRule="auto"/>
        <w:ind w:firstLine="709"/>
        <w:jc w:val="left"/>
      </w:pPr>
      <w:r>
        <w:rPr>
          <w:rFonts w:ascii="Times New Roman" w:hAnsi="Times New Roman" w:eastAsia="Times New Roman" w:cs="Times New Roman"/>
          <w:b/>
          <w:i w:val="0"/>
          <w:color w:val="000000"/>
          <w:sz w:val="28"/>
        </w:rPr>
        <w:t>1.4.5. Теоретические кейсы и эмпирическая база эффективности</w:t>
      </w:r>
    </w:p>
    <w:p w14:paraId="1B9A31B7">
      <w:pPr>
        <w:spacing w:before="0" w:after="0" w:line="360" w:lineRule="auto"/>
        <w:ind w:firstLine="709"/>
        <w:jc w:val="both"/>
      </w:pPr>
      <w:r>
        <w:rPr>
          <w:rFonts w:ascii="Times New Roman" w:hAnsi="Times New Roman" w:eastAsia="Times New Roman" w:cs="Times New Roman"/>
          <w:b w:val="0"/>
          <w:i w:val="0"/>
          <w:color w:val="000000"/>
          <w:sz w:val="28"/>
        </w:rPr>
        <w:t>Эффективность отдельных цифровых инструментов в стоматологии и смежных областях здравоохранения подкреплена систематическими обзорами и метаанализами. Метаанализ Boksmati и соавторов в Journal of Medical Systems (2016) на материале 28 исследований (включая 13 РКИ) фиксирует pooled odds ratio явки на приём при использовании SMS-напоминаний на уровне 1,62 (95 % ДИ: 1,35–1,94). Ретроспективное исследование Stormon и соавторов в Health &amp; Social Care in the Community (2022) на материале государственных стоматологических служб Австралии показало неоднородный эффект SMS-уведомлений: рост числа отменённых записей в подростково-детском сервисе примерно на 20 % при умеренном эффекте на пропуски в обслуживании взрослых.</w:t>
      </w:r>
    </w:p>
    <w:p w14:paraId="483EAA7C">
      <w:pPr>
        <w:spacing w:before="0" w:after="0" w:line="360" w:lineRule="auto"/>
        <w:ind w:firstLine="709"/>
        <w:jc w:val="both"/>
      </w:pPr>
      <w:r>
        <w:rPr>
          <w:rFonts w:ascii="Times New Roman" w:hAnsi="Times New Roman" w:eastAsia="Times New Roman" w:cs="Times New Roman"/>
          <w:b w:val="0"/>
          <w:i w:val="0"/>
          <w:color w:val="000000"/>
          <w:sz w:val="28"/>
        </w:rPr>
        <w:t>Систематический обзор по эффективности систем напоминаний (McLean и соавторы, 2016) показывает, что 97 % включённых исследований фиксируют статистически значимое снижение неявок, а взвешенное среднее снижение составляет 34 %. Существенно, что обзор не находит различий между SMS, голосовыми и иными цифровыми каналами по силе эффекта; ключевыми параметрами выступают своевременность сообщения и возможность пациента подтвердить или перенести визит в один клик. Этот результат согласуется с практикой российских клиник: автоматические уведомления в мессенджерах повышают долю явок на 18–22 % и пропуски визитов сокращаются на 20–30 % за счёт онлайн-записи и напоминаний.</w:t>
      </w:r>
    </w:p>
    <w:p w14:paraId="3FFFA315">
      <w:pPr>
        <w:spacing w:before="0" w:after="0" w:line="360" w:lineRule="auto"/>
        <w:ind w:firstLine="709"/>
        <w:jc w:val="both"/>
      </w:pPr>
      <w:r>
        <w:rPr>
          <w:rFonts w:ascii="Times New Roman" w:hAnsi="Times New Roman" w:eastAsia="Times New Roman" w:cs="Times New Roman"/>
          <w:b w:val="0"/>
          <w:i w:val="0"/>
          <w:color w:val="000000"/>
          <w:sz w:val="28"/>
        </w:rPr>
        <w:t>Появление чат-ботов на базе больших языковых моделей расширило доказательную базу. Систематический обзор MDPI «Current Applications of Chatbots Powered by Large Language Models in Oral and Maxillofacial Surgery» (2024) и обзор PMC «Engaging AI-based Chatbots in Digital Health» (2024) показывают эффективность чат-ботов в обучении пациентов, поддержке мотивации и снижении тревожности перед процедурой; одновременно фиксируются ограничения по точности медицинских рекомендаций и регуляторным требованиям. Преимущественной зоной применения чат-бота в стоматологии признаются справочные функции, навигация по сценариям записи и мягкая мотивация, а не диагностика.</w:t>
      </w:r>
    </w:p>
    <w:p w14:paraId="2E81BCBB">
      <w:pPr>
        <w:spacing w:before="0" w:after="0" w:line="360" w:lineRule="auto"/>
        <w:ind w:firstLine="709"/>
        <w:jc w:val="both"/>
      </w:pPr>
      <w:r>
        <w:rPr>
          <w:rFonts w:ascii="Times New Roman" w:hAnsi="Times New Roman" w:eastAsia="Times New Roman" w:cs="Times New Roman"/>
          <w:b w:val="0"/>
          <w:i w:val="0"/>
          <w:color w:val="000000"/>
          <w:sz w:val="28"/>
        </w:rPr>
        <w:t>Конверсионные эффекты онлайн-записи задокументированы маркетинговыми исследованиями стоматологических веб-сайтов. По данным агентства PatientGain, средний коэффициент конверсии сайта стоматологической клиники составляет 4,2 %; топ-практики достигают 10 %. По данным Resonate, 83 % пациентов предпочитают самостоятельную онлайн-запись телефонной, а внедрение AI-чат-ботов в США способно повышать число цифровых записей до 47 %. Эти данные используются далее в работе при формировании прогнозного эффекта мобильного приложения.</w:t>
      </w:r>
    </w:p>
    <w:p w14:paraId="74F82A60">
      <w:pPr>
        <w:spacing w:before="120" w:after="40" w:line="360" w:lineRule="auto"/>
        <w:jc w:val="left"/>
      </w:pPr>
      <w:r>
        <w:rPr>
          <w:rFonts w:ascii="Times New Roman" w:hAnsi="Times New Roman" w:eastAsia="Times New Roman" w:cs="Times New Roman"/>
          <w:b w:val="0"/>
          <w:i w:val="0"/>
          <w:color w:val="000000"/>
          <w:sz w:val="28"/>
        </w:rPr>
        <w:t>Таблица 1.4.5 – Эмпирические оценки эффективности цифровых инструментов пациентских коммуникаций</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14:paraId="12620B22">
        <w:tc>
          <w:tcPr>
            <w:tcW w:w="2551" w:type="dxa"/>
            <w:vAlign w:val="center"/>
          </w:tcPr>
          <w:p w14:paraId="76CC847D">
            <w:pPr>
              <w:spacing w:before="0" w:after="0" w:line="360" w:lineRule="auto"/>
              <w:jc w:val="center"/>
            </w:pPr>
            <w:r>
              <w:rPr>
                <w:rFonts w:ascii="Times New Roman" w:hAnsi="Times New Roman" w:eastAsia="Times New Roman" w:cs="Times New Roman"/>
                <w:b/>
                <w:i w:val="0"/>
                <w:color w:val="000000"/>
                <w:sz w:val="28"/>
              </w:rPr>
              <w:t>Инструмент</w:t>
            </w:r>
          </w:p>
        </w:tc>
        <w:tc>
          <w:tcPr>
            <w:tcW w:w="3118" w:type="dxa"/>
            <w:vAlign w:val="center"/>
          </w:tcPr>
          <w:p w14:paraId="4CED4A3D">
            <w:pPr>
              <w:spacing w:before="0" w:after="0" w:line="360" w:lineRule="auto"/>
              <w:jc w:val="center"/>
            </w:pPr>
            <w:r>
              <w:rPr>
                <w:rFonts w:ascii="Times New Roman" w:hAnsi="Times New Roman" w:eastAsia="Times New Roman" w:cs="Times New Roman"/>
                <w:b/>
                <w:i w:val="0"/>
                <w:color w:val="000000"/>
                <w:sz w:val="28"/>
              </w:rPr>
              <w:t>Источник</w:t>
            </w:r>
          </w:p>
        </w:tc>
        <w:tc>
          <w:tcPr>
            <w:tcW w:w="3685" w:type="dxa"/>
            <w:vAlign w:val="center"/>
          </w:tcPr>
          <w:p w14:paraId="16E2BB05">
            <w:pPr>
              <w:spacing w:before="0" w:after="0" w:line="360" w:lineRule="auto"/>
              <w:jc w:val="center"/>
            </w:pPr>
            <w:r>
              <w:rPr>
                <w:rFonts w:ascii="Times New Roman" w:hAnsi="Times New Roman" w:eastAsia="Times New Roman" w:cs="Times New Roman"/>
                <w:b/>
                <w:i w:val="0"/>
                <w:color w:val="000000"/>
                <w:sz w:val="28"/>
              </w:rPr>
              <w:t>Зафиксированный эффект</w:t>
            </w:r>
          </w:p>
        </w:tc>
      </w:tr>
      <w:tr w14:paraId="70A51038">
        <w:tc>
          <w:tcPr>
            <w:tcW w:w="2551" w:type="dxa"/>
            <w:vAlign w:val="top"/>
          </w:tcPr>
          <w:p w14:paraId="782FFAD8">
            <w:pPr>
              <w:spacing w:before="0" w:after="0" w:line="360" w:lineRule="auto"/>
              <w:jc w:val="left"/>
            </w:pPr>
            <w:r>
              <w:rPr>
                <w:rFonts w:ascii="Times New Roman" w:hAnsi="Times New Roman" w:eastAsia="Times New Roman" w:cs="Times New Roman"/>
                <w:b w:val="0"/>
                <w:i w:val="0"/>
                <w:color w:val="000000"/>
                <w:sz w:val="28"/>
              </w:rPr>
              <w:t>SMS-напоминания о визите</w:t>
            </w:r>
          </w:p>
        </w:tc>
        <w:tc>
          <w:tcPr>
            <w:tcW w:w="3118" w:type="dxa"/>
            <w:vAlign w:val="top"/>
          </w:tcPr>
          <w:p w14:paraId="294C7D45">
            <w:pPr>
              <w:spacing w:before="0" w:after="0" w:line="360" w:lineRule="auto"/>
              <w:jc w:val="left"/>
            </w:pPr>
            <w:r>
              <w:rPr>
                <w:rFonts w:ascii="Times New Roman" w:hAnsi="Times New Roman" w:eastAsia="Times New Roman" w:cs="Times New Roman"/>
                <w:b w:val="0"/>
                <w:i w:val="0"/>
                <w:color w:val="000000"/>
                <w:sz w:val="28"/>
              </w:rPr>
              <w:t>Boksmati N. и др., Journal of Medical Systems, 2016</w:t>
            </w:r>
          </w:p>
        </w:tc>
        <w:tc>
          <w:tcPr>
            <w:tcW w:w="3685" w:type="dxa"/>
            <w:vAlign w:val="top"/>
          </w:tcPr>
          <w:p w14:paraId="5A362744">
            <w:pPr>
              <w:spacing w:before="0" w:after="0" w:line="360" w:lineRule="auto"/>
              <w:jc w:val="left"/>
            </w:pPr>
            <w:r>
              <w:rPr>
                <w:rFonts w:ascii="Times New Roman" w:hAnsi="Times New Roman" w:eastAsia="Times New Roman" w:cs="Times New Roman"/>
                <w:b w:val="0"/>
                <w:i w:val="0"/>
                <w:color w:val="000000"/>
                <w:sz w:val="28"/>
              </w:rPr>
              <w:t>Pooled OR явки 1,62 (95 % ДИ 1,35–1,94) по 28 исследованиям (13 РКИ)</w:t>
            </w:r>
          </w:p>
        </w:tc>
      </w:tr>
      <w:tr w14:paraId="336455E9">
        <w:tc>
          <w:tcPr>
            <w:tcW w:w="2551" w:type="dxa"/>
            <w:vAlign w:val="top"/>
          </w:tcPr>
          <w:p w14:paraId="582533FA">
            <w:pPr>
              <w:spacing w:before="0" w:after="0" w:line="360" w:lineRule="auto"/>
              <w:jc w:val="left"/>
            </w:pPr>
            <w:r>
              <w:rPr>
                <w:rFonts w:ascii="Times New Roman" w:hAnsi="Times New Roman" w:eastAsia="Times New Roman" w:cs="Times New Roman"/>
                <w:b w:val="0"/>
                <w:i w:val="0"/>
                <w:color w:val="000000"/>
                <w:sz w:val="28"/>
              </w:rPr>
              <w:t>SMS-напоминания (стоматология)</w:t>
            </w:r>
          </w:p>
        </w:tc>
        <w:tc>
          <w:tcPr>
            <w:tcW w:w="3118" w:type="dxa"/>
            <w:vAlign w:val="top"/>
          </w:tcPr>
          <w:p w14:paraId="1244FFEF">
            <w:pPr>
              <w:spacing w:before="0" w:after="0" w:line="360" w:lineRule="auto"/>
              <w:jc w:val="left"/>
            </w:pPr>
            <w:r>
              <w:rPr>
                <w:rFonts w:ascii="Times New Roman" w:hAnsi="Times New Roman" w:eastAsia="Times New Roman" w:cs="Times New Roman"/>
                <w:b w:val="0"/>
                <w:i w:val="0"/>
                <w:color w:val="000000"/>
                <w:sz w:val="28"/>
              </w:rPr>
              <w:t>Stormon N. и др., Health &amp; Social Care in the Community, 2022</w:t>
            </w:r>
          </w:p>
        </w:tc>
        <w:tc>
          <w:tcPr>
            <w:tcW w:w="3685" w:type="dxa"/>
            <w:vAlign w:val="top"/>
          </w:tcPr>
          <w:p w14:paraId="00BD8037">
            <w:pPr>
              <w:spacing w:before="0" w:after="0" w:line="360" w:lineRule="auto"/>
              <w:jc w:val="left"/>
            </w:pPr>
            <w:r>
              <w:rPr>
                <w:rFonts w:ascii="Times New Roman" w:hAnsi="Times New Roman" w:eastAsia="Times New Roman" w:cs="Times New Roman"/>
                <w:b w:val="0"/>
                <w:i w:val="0"/>
                <w:color w:val="000000"/>
                <w:sz w:val="28"/>
              </w:rPr>
              <w:t>Неоднородный эффект SMS на ретроспективных данных госуслуг Австралии: рост отменённых записей в подростково-детском сервисе ≈20 %</w:t>
            </w:r>
          </w:p>
        </w:tc>
      </w:tr>
      <w:tr w14:paraId="4C5C6DDE">
        <w:tc>
          <w:tcPr>
            <w:tcW w:w="2551" w:type="dxa"/>
            <w:vAlign w:val="top"/>
          </w:tcPr>
          <w:p w14:paraId="027BB768">
            <w:pPr>
              <w:spacing w:before="0" w:after="0" w:line="360" w:lineRule="auto"/>
              <w:jc w:val="left"/>
            </w:pPr>
            <w:r>
              <w:rPr>
                <w:rFonts w:ascii="Times New Roman" w:hAnsi="Times New Roman" w:eastAsia="Times New Roman" w:cs="Times New Roman"/>
                <w:b w:val="0"/>
                <w:i w:val="0"/>
                <w:color w:val="000000"/>
                <w:sz w:val="28"/>
              </w:rPr>
              <w:t>Системы напоминаний (общий обзор)</w:t>
            </w:r>
          </w:p>
        </w:tc>
        <w:tc>
          <w:tcPr>
            <w:tcW w:w="3118" w:type="dxa"/>
            <w:vAlign w:val="top"/>
          </w:tcPr>
          <w:p w14:paraId="6AB5012E">
            <w:pPr>
              <w:spacing w:before="0" w:after="0" w:line="360" w:lineRule="auto"/>
              <w:jc w:val="left"/>
            </w:pPr>
            <w:r>
              <w:rPr>
                <w:rFonts w:ascii="Times New Roman" w:hAnsi="Times New Roman" w:eastAsia="Times New Roman" w:cs="Times New Roman"/>
                <w:b w:val="0"/>
                <w:i w:val="0"/>
                <w:color w:val="000000"/>
                <w:sz w:val="28"/>
              </w:rPr>
              <w:t>McLean S. и др., систематический обзор, 2016</w:t>
            </w:r>
          </w:p>
        </w:tc>
        <w:tc>
          <w:tcPr>
            <w:tcW w:w="3685" w:type="dxa"/>
            <w:vAlign w:val="top"/>
          </w:tcPr>
          <w:p w14:paraId="55389AD1">
            <w:pPr>
              <w:spacing w:before="0" w:after="0" w:line="360" w:lineRule="auto"/>
              <w:jc w:val="left"/>
            </w:pPr>
            <w:r>
              <w:rPr>
                <w:rFonts w:ascii="Times New Roman" w:hAnsi="Times New Roman" w:eastAsia="Times New Roman" w:cs="Times New Roman"/>
                <w:b w:val="0"/>
                <w:i w:val="0"/>
                <w:color w:val="000000"/>
                <w:sz w:val="28"/>
              </w:rPr>
              <w:t>97 % включённых исследований фиксируют снижение неявок; среднее снижение 34 %</w:t>
            </w:r>
          </w:p>
        </w:tc>
      </w:tr>
      <w:tr w14:paraId="4F8CDDE9">
        <w:tc>
          <w:tcPr>
            <w:tcW w:w="2551" w:type="dxa"/>
            <w:vAlign w:val="top"/>
          </w:tcPr>
          <w:p w14:paraId="0BEE594B">
            <w:pPr>
              <w:spacing w:before="0" w:after="0" w:line="360" w:lineRule="auto"/>
              <w:jc w:val="left"/>
            </w:pPr>
            <w:r>
              <w:rPr>
                <w:rFonts w:ascii="Times New Roman" w:hAnsi="Times New Roman" w:eastAsia="Times New Roman" w:cs="Times New Roman"/>
                <w:b w:val="0"/>
                <w:i w:val="0"/>
                <w:color w:val="000000"/>
                <w:sz w:val="28"/>
              </w:rPr>
              <w:t>Чат-боты на основе LLM</w:t>
            </w:r>
          </w:p>
        </w:tc>
        <w:tc>
          <w:tcPr>
            <w:tcW w:w="3118" w:type="dxa"/>
            <w:vAlign w:val="top"/>
          </w:tcPr>
          <w:p w14:paraId="7546B84E">
            <w:pPr>
              <w:spacing w:before="0" w:after="0" w:line="360" w:lineRule="auto"/>
              <w:jc w:val="left"/>
            </w:pPr>
            <w:r>
              <w:rPr>
                <w:rFonts w:ascii="Times New Roman" w:hAnsi="Times New Roman" w:eastAsia="Times New Roman" w:cs="Times New Roman"/>
                <w:b w:val="0"/>
                <w:i w:val="0"/>
                <w:color w:val="000000"/>
                <w:sz w:val="28"/>
              </w:rPr>
              <w:t>MDPI Dent. J., 2025; PLOS Digital Health, 2026</w:t>
            </w:r>
          </w:p>
        </w:tc>
        <w:tc>
          <w:tcPr>
            <w:tcW w:w="3685" w:type="dxa"/>
            <w:vAlign w:val="top"/>
          </w:tcPr>
          <w:p w14:paraId="515A61EA">
            <w:pPr>
              <w:spacing w:before="0" w:after="0" w:line="360" w:lineRule="auto"/>
              <w:jc w:val="left"/>
            </w:pPr>
            <w:r>
              <w:rPr>
                <w:rFonts w:ascii="Times New Roman" w:hAnsi="Times New Roman" w:eastAsia="Times New Roman" w:cs="Times New Roman"/>
                <w:b w:val="0"/>
                <w:i w:val="0"/>
                <w:color w:val="000000"/>
                <w:sz w:val="28"/>
              </w:rPr>
              <w:t>Подтверждённый эффект в обучении и мотивации пациентов; ограничения по диагностической функции</w:t>
            </w:r>
          </w:p>
        </w:tc>
      </w:tr>
      <w:tr w14:paraId="79CBD3B1">
        <w:tc>
          <w:tcPr>
            <w:tcW w:w="2551" w:type="dxa"/>
            <w:vAlign w:val="top"/>
          </w:tcPr>
          <w:p w14:paraId="00503877">
            <w:pPr>
              <w:spacing w:before="0" w:after="0" w:line="360" w:lineRule="auto"/>
              <w:jc w:val="left"/>
            </w:pPr>
            <w:r>
              <w:rPr>
                <w:rFonts w:ascii="Times New Roman" w:hAnsi="Times New Roman" w:eastAsia="Times New Roman" w:cs="Times New Roman"/>
                <w:b w:val="0"/>
                <w:i w:val="0"/>
                <w:color w:val="000000"/>
                <w:sz w:val="28"/>
              </w:rPr>
              <w:t>Онлайн-запись (конверсия сайта)</w:t>
            </w:r>
          </w:p>
        </w:tc>
        <w:tc>
          <w:tcPr>
            <w:tcW w:w="3118" w:type="dxa"/>
            <w:vAlign w:val="top"/>
          </w:tcPr>
          <w:p w14:paraId="18F9379F">
            <w:pPr>
              <w:spacing w:before="0" w:after="0" w:line="360" w:lineRule="auto"/>
              <w:jc w:val="left"/>
            </w:pPr>
            <w:r>
              <w:rPr>
                <w:rFonts w:ascii="Times New Roman" w:hAnsi="Times New Roman" w:eastAsia="Times New Roman" w:cs="Times New Roman"/>
                <w:b w:val="0"/>
                <w:i w:val="0"/>
                <w:color w:val="000000"/>
                <w:sz w:val="28"/>
              </w:rPr>
              <w:t>PatientGain, 2025; Resonate, 2024</w:t>
            </w:r>
          </w:p>
        </w:tc>
        <w:tc>
          <w:tcPr>
            <w:tcW w:w="3685" w:type="dxa"/>
            <w:vAlign w:val="top"/>
          </w:tcPr>
          <w:p w14:paraId="14291E7F">
            <w:pPr>
              <w:spacing w:before="0" w:after="0" w:line="360" w:lineRule="auto"/>
              <w:jc w:val="left"/>
            </w:pPr>
            <w:r>
              <w:rPr>
                <w:rFonts w:ascii="Times New Roman" w:hAnsi="Times New Roman" w:eastAsia="Times New Roman" w:cs="Times New Roman"/>
                <w:b w:val="0"/>
                <w:i w:val="0"/>
                <w:color w:val="000000"/>
                <w:sz w:val="28"/>
              </w:rPr>
              <w:t>Средняя конверсия 4,2 %, топ-практики 10 %; 83 % пациентов предпочитают онлайн-запись</w:t>
            </w:r>
          </w:p>
        </w:tc>
      </w:tr>
      <w:tr w14:paraId="4E5F8E1F">
        <w:tc>
          <w:tcPr>
            <w:tcW w:w="2551" w:type="dxa"/>
            <w:vAlign w:val="top"/>
          </w:tcPr>
          <w:p w14:paraId="109E41CB">
            <w:pPr>
              <w:spacing w:before="0" w:after="0" w:line="360" w:lineRule="auto"/>
              <w:jc w:val="left"/>
            </w:pPr>
            <w:r>
              <w:rPr>
                <w:rFonts w:ascii="Times New Roman" w:hAnsi="Times New Roman" w:eastAsia="Times New Roman" w:cs="Times New Roman"/>
                <w:b w:val="0"/>
                <w:i w:val="0"/>
                <w:color w:val="000000"/>
                <w:sz w:val="28"/>
              </w:rPr>
              <w:t>AI-чат-боты в записи</w:t>
            </w:r>
          </w:p>
        </w:tc>
        <w:tc>
          <w:tcPr>
            <w:tcW w:w="3118" w:type="dxa"/>
            <w:vAlign w:val="top"/>
          </w:tcPr>
          <w:p w14:paraId="1A4AEE9E">
            <w:pPr>
              <w:spacing w:before="0" w:after="0" w:line="360" w:lineRule="auto"/>
              <w:jc w:val="left"/>
            </w:pPr>
            <w:r>
              <w:rPr>
                <w:rFonts w:ascii="Times New Roman" w:hAnsi="Times New Roman" w:eastAsia="Times New Roman" w:cs="Times New Roman"/>
                <w:b w:val="0"/>
                <w:i w:val="0"/>
                <w:color w:val="000000"/>
                <w:sz w:val="28"/>
              </w:rPr>
              <w:t>Healthcare AI Industry Reports, 2024</w:t>
            </w:r>
          </w:p>
        </w:tc>
        <w:tc>
          <w:tcPr>
            <w:tcW w:w="3685" w:type="dxa"/>
            <w:vAlign w:val="top"/>
          </w:tcPr>
          <w:p w14:paraId="6DF8CD41">
            <w:pPr>
              <w:spacing w:before="0" w:after="0" w:line="360" w:lineRule="auto"/>
              <w:jc w:val="left"/>
            </w:pPr>
            <w:r>
              <w:rPr>
                <w:rFonts w:ascii="Times New Roman" w:hAnsi="Times New Roman" w:eastAsia="Times New Roman" w:cs="Times New Roman"/>
                <w:b w:val="0"/>
                <w:i w:val="0"/>
                <w:color w:val="000000"/>
                <w:sz w:val="28"/>
              </w:rPr>
              <w:t>Прирост числа цифровых записей до 47 % в США</w:t>
            </w:r>
          </w:p>
        </w:tc>
      </w:tr>
      <w:tr w14:paraId="10CA366A">
        <w:tc>
          <w:tcPr>
            <w:tcW w:w="2551" w:type="dxa"/>
            <w:vAlign w:val="top"/>
          </w:tcPr>
          <w:p w14:paraId="0BF7811D">
            <w:pPr>
              <w:spacing w:before="0" w:after="0" w:line="360" w:lineRule="auto"/>
              <w:jc w:val="left"/>
            </w:pPr>
            <w:r>
              <w:rPr>
                <w:rFonts w:ascii="Times New Roman" w:hAnsi="Times New Roman" w:eastAsia="Times New Roman" w:cs="Times New Roman"/>
                <w:b w:val="0"/>
                <w:i w:val="0"/>
                <w:color w:val="000000"/>
                <w:sz w:val="28"/>
              </w:rPr>
              <w:t>Уведомления в мессенджерах</w:t>
            </w:r>
          </w:p>
        </w:tc>
        <w:tc>
          <w:tcPr>
            <w:tcW w:w="3118" w:type="dxa"/>
            <w:vAlign w:val="top"/>
          </w:tcPr>
          <w:p w14:paraId="5EC2A4C4">
            <w:pPr>
              <w:spacing w:before="0" w:after="0" w:line="360" w:lineRule="auto"/>
              <w:jc w:val="left"/>
            </w:pPr>
            <w:r>
              <w:rPr>
                <w:rFonts w:ascii="Times New Roman" w:hAnsi="Times New Roman" w:eastAsia="Times New Roman" w:cs="Times New Roman"/>
                <w:b w:val="0"/>
                <w:i w:val="0"/>
                <w:color w:val="000000"/>
                <w:sz w:val="28"/>
              </w:rPr>
              <w:t>Отраслевые обзоры РФ, 2024–2025</w:t>
            </w:r>
          </w:p>
        </w:tc>
        <w:tc>
          <w:tcPr>
            <w:tcW w:w="3685" w:type="dxa"/>
            <w:vAlign w:val="top"/>
          </w:tcPr>
          <w:p w14:paraId="1DD16D21">
            <w:pPr>
              <w:spacing w:before="0" w:after="0" w:line="360" w:lineRule="auto"/>
              <w:jc w:val="left"/>
            </w:pPr>
            <w:r>
              <w:rPr>
                <w:rFonts w:ascii="Times New Roman" w:hAnsi="Times New Roman" w:eastAsia="Times New Roman" w:cs="Times New Roman"/>
                <w:b w:val="0"/>
                <w:i w:val="0"/>
                <w:color w:val="000000"/>
                <w:sz w:val="28"/>
              </w:rPr>
              <w:t>Прирост явок на 18–22 %; снижение пропусков визитов на 20–30 %</w:t>
            </w:r>
          </w:p>
        </w:tc>
      </w:tr>
    </w:tbl>
    <w:p w14:paraId="401071B7">
      <w:pPr>
        <w:spacing w:before="40" w:after="80" w:line="360" w:lineRule="auto"/>
        <w:jc w:val="both"/>
      </w:pPr>
    </w:p>
    <w:p w14:paraId="78F9FC58">
      <w:pPr>
        <w:spacing w:before="120" w:after="80" w:line="360" w:lineRule="auto"/>
        <w:ind w:firstLine="709"/>
        <w:jc w:val="left"/>
      </w:pPr>
      <w:r>
        <w:rPr>
          <w:rFonts w:ascii="Times New Roman" w:hAnsi="Times New Roman" w:eastAsia="Times New Roman" w:cs="Times New Roman"/>
          <w:b/>
          <w:i w:val="0"/>
          <w:color w:val="000000"/>
          <w:sz w:val="28"/>
        </w:rPr>
        <w:t>1.4.6. Предпосылки решения и выводы по параграфу</w:t>
      </w:r>
    </w:p>
    <w:p w14:paraId="1AAE28E8">
      <w:pPr>
        <w:spacing w:before="0" w:after="0" w:line="360" w:lineRule="auto"/>
        <w:ind w:firstLine="709"/>
        <w:jc w:val="both"/>
      </w:pPr>
      <w:r>
        <w:rPr>
          <w:rFonts w:ascii="Times New Roman" w:hAnsi="Times New Roman" w:eastAsia="Times New Roman" w:cs="Times New Roman"/>
          <w:b w:val="0"/>
          <w:i w:val="0"/>
          <w:color w:val="000000"/>
          <w:sz w:val="28"/>
        </w:rPr>
        <w:t>Сопоставление международного и российского опыта, нормативной базы и эмпирики позволяет сформулировать набор предпосылок, при которых проектирование собственного цифрового продукта клиники обосновано и теоретически, и практически.</w:t>
      </w:r>
    </w:p>
    <w:p w14:paraId="178A3393">
      <w:pPr>
        <w:spacing w:before="0" w:after="0" w:line="360" w:lineRule="auto"/>
        <w:ind w:firstLine="709"/>
        <w:jc w:val="both"/>
      </w:pPr>
      <w:r>
        <w:rPr>
          <w:rFonts w:ascii="Times New Roman" w:hAnsi="Times New Roman" w:eastAsia="Times New Roman" w:cs="Times New Roman"/>
          <w:b w:val="0"/>
          <w:i w:val="0"/>
          <w:color w:val="000000"/>
          <w:sz w:val="28"/>
        </w:rPr>
        <w:t>Сам по себе ни один инструмент — ни онлайн-запись, ни мессенджер-напоминания, ни чат-бот — управленческую проблему не закрывает. Эмпирика подтверждает эффект каждого инструмента в своей зоне (например, SMS снижает неявки на 14–34 % в зависимости от методологии), но точки трения распределены по разным участкам пути и требуют согласованного набора.</w:t>
      </w:r>
    </w:p>
    <w:p w14:paraId="36FF7B58">
      <w:pPr>
        <w:spacing w:before="0" w:after="0" w:line="360" w:lineRule="auto"/>
        <w:ind w:firstLine="709"/>
        <w:jc w:val="both"/>
      </w:pPr>
      <w:r>
        <w:rPr>
          <w:rFonts w:ascii="Times New Roman" w:hAnsi="Times New Roman" w:eastAsia="Times New Roman" w:cs="Times New Roman"/>
          <w:b w:val="0"/>
          <w:i w:val="0"/>
          <w:color w:val="000000"/>
          <w:sz w:val="28"/>
        </w:rPr>
        <w:t>Нормативная среда 2025–2026 годов делает «лёгкие» решения юридически рискованными: отдельный документ согласия, запрет хранения данных за рубежом и ограничения на ретаргетинг через внешние пиксели вынуждают клиники развивать собственный цифровой контур.</w:t>
      </w:r>
    </w:p>
    <w:p w14:paraId="611587D3">
      <w:pPr>
        <w:spacing w:before="0" w:after="0" w:line="360" w:lineRule="auto"/>
        <w:ind w:firstLine="709"/>
        <w:jc w:val="both"/>
      </w:pPr>
      <w:r>
        <w:rPr>
          <w:rFonts w:ascii="Times New Roman" w:hAnsi="Times New Roman" w:eastAsia="Times New Roman" w:cs="Times New Roman"/>
          <w:b w:val="0"/>
          <w:i w:val="0"/>
          <w:color w:val="000000"/>
          <w:sz w:val="28"/>
        </w:rPr>
        <w:t>Международный опыт показывает, что устойчивый эффект достигается при сочетании трёх компонентов: пациентский цифровой контур (мобильное приложение или портал), интегрированный с системой управления практикой (PMS/МИС), и омниканальные коммуникации с явной идентификацией пациента в собственной базе. Опыт NHS, DentaQuest и Henry Schein One различается в деталях, но архитектурно соответствует этой триаде.</w:t>
      </w:r>
    </w:p>
    <w:p w14:paraId="0B57A0AD">
      <w:pPr>
        <w:spacing w:before="0" w:after="0" w:line="360" w:lineRule="auto"/>
        <w:ind w:firstLine="709"/>
        <w:jc w:val="both"/>
      </w:pPr>
      <w:r>
        <w:rPr>
          <w:rFonts w:ascii="Times New Roman" w:hAnsi="Times New Roman" w:eastAsia="Times New Roman" w:cs="Times New Roman"/>
          <w:b w:val="0"/>
          <w:i w:val="0"/>
          <w:color w:val="000000"/>
          <w:sz w:val="28"/>
        </w:rPr>
        <w:t>Российский рынок располагает технологической и кадровой инфраструктурой для воспроизведения этой архитектуры: облачные платформы российских провайдеров обеспечивают соответствие 152-ФЗ и УЗ-3, рынок мобильной разработки достаточно зрелый, интеграции с МИС и платёжными провайдерами реализуемы в стандартных сроках. Барьер для среднего размера сети клиник лежит в управленческой плоскости: необходимо осознанно выделить ресурс на цифровой продукт и определить его функциональные границы.</w:t>
      </w:r>
    </w:p>
    <w:p w14:paraId="7BD42E3D">
      <w:pPr>
        <w:spacing w:before="0" w:after="0" w:line="360" w:lineRule="auto"/>
        <w:ind w:firstLine="709"/>
        <w:jc w:val="both"/>
      </w:pPr>
      <w:r>
        <w:rPr>
          <w:rFonts w:ascii="Times New Roman" w:hAnsi="Times New Roman" w:eastAsia="Times New Roman" w:cs="Times New Roman"/>
          <w:b w:val="0"/>
          <w:i w:val="0"/>
          <w:color w:val="000000"/>
          <w:sz w:val="28"/>
        </w:rPr>
        <w:t>Полученные выводы используются в следующем разделе работы для обоснования конкретного состава цифровых инструментов и формулирования критериев их отбора применительно к рассматриваемой сети клиник.</w:t>
      </w:r>
    </w:p>
    <w:p w14:paraId="0B59A5C2">
      <w:pPr>
        <w:spacing w:before="240" w:after="120" w:line="360" w:lineRule="auto"/>
        <w:jc w:val="center"/>
      </w:pPr>
      <w:r>
        <w:rPr>
          <w:rFonts w:ascii="Times New Roman" w:hAnsi="Times New Roman" w:eastAsia="Times New Roman" w:cs="Times New Roman"/>
          <w:b/>
          <w:i w:val="0"/>
          <w:color w:val="000000"/>
          <w:sz w:val="28"/>
        </w:rPr>
        <w:t>Обоснование выбора цифровых инструментов для стоматологической клиники и критерии их отбора</w:t>
      </w:r>
    </w:p>
    <w:p w14:paraId="39DC7D48">
      <w:pPr>
        <w:spacing w:before="0" w:after="0" w:line="360" w:lineRule="auto"/>
        <w:ind w:firstLine="709"/>
        <w:jc w:val="both"/>
      </w:pPr>
      <w:r>
        <w:rPr>
          <w:rFonts w:ascii="Times New Roman" w:hAnsi="Times New Roman" w:eastAsia="Times New Roman" w:cs="Times New Roman"/>
          <w:b w:val="0"/>
          <w:i w:val="0"/>
          <w:color w:val="000000"/>
          <w:sz w:val="28"/>
        </w:rPr>
        <w:t>Раздел развивает результаты параграфов 1.2 и 1.3 первой главы, переводя общую характеристику инструментов цифрового маркетинга в обоснованный состав инструментов для конкретной сети клиник. В таблице 2 первой главы (стр. 21) систематизированы рыночные тенденции развития инструментов цифрового маркетинга. Каждая из этих тенденций соотносится с одним или несколькими проявлениями управленческой проблемы, описанной во введении и в подразделе 1.4.1.</w:t>
      </w:r>
    </w:p>
    <w:p w14:paraId="149BADE8">
      <w:pPr>
        <w:spacing w:before="0" w:after="0" w:line="360" w:lineRule="auto"/>
        <w:ind w:firstLine="709"/>
        <w:jc w:val="both"/>
      </w:pPr>
      <w:r>
        <w:rPr>
          <w:rFonts w:ascii="Times New Roman" w:hAnsi="Times New Roman" w:eastAsia="Times New Roman" w:cs="Times New Roman"/>
          <w:b w:val="0"/>
          <w:i w:val="0"/>
          <w:color w:val="000000"/>
          <w:sz w:val="28"/>
        </w:rPr>
        <w:t>Структура раздела следующая: вначале устанавливается формальная связь между рыночными тенденциями и проблемами клиники, далее формулируются критерии отбора инструментов с учётом нормативной среды и ограничений MVP, затем выполняется отбор и обосновывается состав, который реализуется в проектной части работы (глава 3).</w:t>
      </w:r>
    </w:p>
    <w:p w14:paraId="456EBDC4">
      <w:pPr>
        <w:spacing w:before="120" w:after="80" w:line="360" w:lineRule="auto"/>
        <w:ind w:firstLine="709"/>
        <w:jc w:val="left"/>
      </w:pPr>
      <w:r>
        <w:rPr>
          <w:rFonts w:ascii="Times New Roman" w:hAnsi="Times New Roman" w:eastAsia="Times New Roman" w:cs="Times New Roman"/>
          <w:b/>
          <w:i w:val="0"/>
          <w:color w:val="000000"/>
          <w:sz w:val="28"/>
        </w:rPr>
        <w:t>Связь рыночных тенденций с проблемами клиники</w:t>
      </w:r>
    </w:p>
    <w:p w14:paraId="47D6380C">
      <w:pPr>
        <w:spacing w:before="0" w:after="0" w:line="360" w:lineRule="auto"/>
        <w:ind w:firstLine="709"/>
        <w:jc w:val="both"/>
      </w:pPr>
      <w:r>
        <w:rPr>
          <w:rFonts w:ascii="Times New Roman" w:hAnsi="Times New Roman" w:eastAsia="Times New Roman" w:cs="Times New Roman"/>
          <w:b w:val="0"/>
          <w:i w:val="0"/>
          <w:color w:val="000000"/>
          <w:sz w:val="28"/>
        </w:rPr>
        <w:t>Сопоставление восьми тенденций таблицы 2 первой главы с проявлениями управленческой проблемы показывает, что не все тенденции в равной степени применимы к рассматриваемой сети. Например, виртуальная и дополненная реальность в стоматологии используются преимущественно для планирования лечения и обучения врачей, а не для пациентских коммуникаций; коллаборации с блогерами действуют в зоне привлечения, но не закрывают точки трения уже привлечённого пациента; оптимизация контента под генеративные движки, короткие видеоролики, персонализация и развитые оффлайн-инструменты остаются за периметром данной сети по соображениям ресурса и приоритетов. Релевантные тенденции и их связь с проблемами представлены в таблице ниже.</w:t>
      </w:r>
    </w:p>
    <w:p w14:paraId="2E8C7690">
      <w:pPr>
        <w:spacing w:before="120" w:after="40" w:line="360" w:lineRule="auto"/>
        <w:jc w:val="left"/>
      </w:pPr>
      <w:r>
        <w:rPr>
          <w:rFonts w:ascii="Times New Roman" w:hAnsi="Times New Roman" w:eastAsia="Times New Roman" w:cs="Times New Roman"/>
          <w:b w:val="0"/>
          <w:i w:val="0"/>
          <w:color w:val="000000"/>
          <w:sz w:val="28"/>
        </w:rPr>
        <w:t>Таблица 2.1 – Соответствие рыночных тенденций цифрового маркетинга (глава 1, таблица 2) проявлениям управленческой проблемы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4"/>
        <w:gridCol w:w="4844"/>
      </w:tblGrid>
      <w:tr w14:paraId="043A5DDA">
        <w:tc>
          <w:tcPr>
            <w:tcW w:w="3685" w:type="dxa"/>
            <w:vAlign w:val="center"/>
          </w:tcPr>
          <w:p w14:paraId="1DB36914">
            <w:pPr>
              <w:spacing w:before="0" w:after="0" w:line="360" w:lineRule="auto"/>
              <w:jc w:val="center"/>
            </w:pPr>
            <w:r>
              <w:rPr>
                <w:rFonts w:ascii="Times New Roman" w:hAnsi="Times New Roman" w:eastAsia="Times New Roman" w:cs="Times New Roman"/>
                <w:b/>
                <w:i w:val="0"/>
                <w:color w:val="000000"/>
                <w:sz w:val="28"/>
              </w:rPr>
              <w:t>Тенденция (по таблице 2 главы 1)</w:t>
            </w:r>
          </w:p>
        </w:tc>
        <w:tc>
          <w:tcPr>
            <w:tcW w:w="5386" w:type="dxa"/>
            <w:vAlign w:val="center"/>
          </w:tcPr>
          <w:p w14:paraId="6CBCB63D">
            <w:pPr>
              <w:spacing w:before="0" w:after="0" w:line="360" w:lineRule="auto"/>
              <w:jc w:val="center"/>
            </w:pPr>
            <w:r>
              <w:rPr>
                <w:rFonts w:ascii="Times New Roman" w:hAnsi="Times New Roman" w:eastAsia="Times New Roman" w:cs="Times New Roman"/>
                <w:b/>
                <w:i w:val="0"/>
                <w:color w:val="000000"/>
                <w:sz w:val="28"/>
              </w:rPr>
              <w:t>Проблема клиники, на которую влияет</w:t>
            </w:r>
          </w:p>
        </w:tc>
      </w:tr>
      <w:tr w14:paraId="4AC00242">
        <w:tc>
          <w:tcPr>
            <w:tcW w:w="3685" w:type="dxa"/>
            <w:vAlign w:val="top"/>
          </w:tcPr>
          <w:p w14:paraId="19CC5A13">
            <w:pPr>
              <w:spacing w:before="0" w:after="0" w:line="360" w:lineRule="auto"/>
              <w:jc w:val="left"/>
            </w:pPr>
            <w:r>
              <w:rPr>
                <w:rFonts w:ascii="Times New Roman" w:hAnsi="Times New Roman" w:eastAsia="Times New Roman" w:cs="Times New Roman"/>
                <w:b w:val="0"/>
                <w:i w:val="0"/>
                <w:color w:val="000000"/>
                <w:sz w:val="28"/>
              </w:rPr>
              <w:t>Сокращение воронки продаж и упрощение процесса покупки</w:t>
            </w:r>
          </w:p>
        </w:tc>
        <w:tc>
          <w:tcPr>
            <w:tcW w:w="5386" w:type="dxa"/>
            <w:vAlign w:val="top"/>
          </w:tcPr>
          <w:p w14:paraId="598FF963">
            <w:pPr>
              <w:spacing w:before="0" w:after="0" w:line="360" w:lineRule="auto"/>
              <w:jc w:val="left"/>
            </w:pPr>
            <w:r>
              <w:rPr>
                <w:rFonts w:ascii="Times New Roman" w:hAnsi="Times New Roman" w:eastAsia="Times New Roman" w:cs="Times New Roman"/>
                <w:b w:val="0"/>
                <w:i w:val="0"/>
                <w:color w:val="000000"/>
                <w:sz w:val="28"/>
              </w:rPr>
              <w:t>Низкая конверсия первичного трафика; отказы из-за трудоёмкости записи</w:t>
            </w:r>
          </w:p>
        </w:tc>
      </w:tr>
      <w:tr w14:paraId="24BE753C">
        <w:tc>
          <w:tcPr>
            <w:tcW w:w="3685" w:type="dxa"/>
            <w:vAlign w:val="top"/>
          </w:tcPr>
          <w:p w14:paraId="7D2FD6C4">
            <w:pPr>
              <w:spacing w:before="0" w:after="0" w:line="360" w:lineRule="auto"/>
              <w:jc w:val="left"/>
            </w:pPr>
            <w:r>
              <w:rPr>
                <w:rFonts w:ascii="Times New Roman" w:hAnsi="Times New Roman" w:eastAsia="Times New Roman" w:cs="Times New Roman"/>
                <w:b w:val="0"/>
                <w:i w:val="0"/>
                <w:color w:val="000000"/>
                <w:sz w:val="28"/>
              </w:rPr>
              <w:t>Адаптивность контекстной/таргетированной рекламы</w:t>
            </w:r>
          </w:p>
        </w:tc>
        <w:tc>
          <w:tcPr>
            <w:tcW w:w="5386" w:type="dxa"/>
            <w:vAlign w:val="top"/>
          </w:tcPr>
          <w:p w14:paraId="66E0C84A">
            <w:pPr>
              <w:spacing w:before="0" w:after="0" w:line="360" w:lineRule="auto"/>
              <w:jc w:val="left"/>
            </w:pPr>
            <w:r>
              <w:rPr>
                <w:rFonts w:ascii="Times New Roman" w:hAnsi="Times New Roman" w:eastAsia="Times New Roman" w:cs="Times New Roman"/>
                <w:b w:val="0"/>
                <w:i w:val="0"/>
                <w:color w:val="000000"/>
                <w:sz w:val="28"/>
              </w:rPr>
              <w:t>Невозможность ретаргетинга при отсутствии собственных контактов</w:t>
            </w:r>
          </w:p>
        </w:tc>
      </w:tr>
      <w:tr w14:paraId="26985814">
        <w:tc>
          <w:tcPr>
            <w:tcW w:w="3685" w:type="dxa"/>
            <w:vAlign w:val="top"/>
          </w:tcPr>
          <w:p w14:paraId="21C8D7FB">
            <w:pPr>
              <w:spacing w:before="0" w:after="0" w:line="360" w:lineRule="auto"/>
              <w:jc w:val="left"/>
            </w:pPr>
            <w:r>
              <w:rPr>
                <w:rFonts w:ascii="Times New Roman" w:hAnsi="Times New Roman" w:eastAsia="Times New Roman" w:cs="Times New Roman"/>
                <w:b w:val="0"/>
                <w:i w:val="0"/>
                <w:color w:val="000000"/>
                <w:sz w:val="28"/>
              </w:rPr>
              <w:t>Увеличение значения собственных данных и аналитики</w:t>
            </w:r>
          </w:p>
        </w:tc>
        <w:tc>
          <w:tcPr>
            <w:tcW w:w="5386" w:type="dxa"/>
            <w:vAlign w:val="top"/>
          </w:tcPr>
          <w:p w14:paraId="11D46B1C">
            <w:pPr>
              <w:spacing w:before="0" w:after="0" w:line="360" w:lineRule="auto"/>
              <w:jc w:val="left"/>
            </w:pPr>
            <w:r>
              <w:rPr>
                <w:rFonts w:ascii="Times New Roman" w:hAnsi="Times New Roman" w:eastAsia="Times New Roman" w:cs="Times New Roman"/>
                <w:b w:val="0"/>
                <w:i w:val="0"/>
                <w:color w:val="000000"/>
                <w:sz w:val="28"/>
              </w:rPr>
              <w:t>Зависимость от внешних агрегаторов и платёжных каналов</w:t>
            </w:r>
          </w:p>
        </w:tc>
      </w:tr>
      <w:tr w14:paraId="1119F48D">
        <w:tc>
          <w:tcPr>
            <w:tcW w:w="3685" w:type="dxa"/>
            <w:vAlign w:val="top"/>
          </w:tcPr>
          <w:p w14:paraId="0DCEDD59">
            <w:pPr>
              <w:spacing w:before="0" w:after="0" w:line="360" w:lineRule="auto"/>
              <w:jc w:val="left"/>
            </w:pPr>
            <w:r>
              <w:rPr>
                <w:rFonts w:ascii="Times New Roman" w:hAnsi="Times New Roman" w:eastAsia="Times New Roman" w:cs="Times New Roman"/>
                <w:b w:val="0"/>
                <w:i w:val="0"/>
                <w:color w:val="000000"/>
                <w:sz w:val="28"/>
              </w:rPr>
              <w:t>Трансформация бизнес-коммуникаций в мессенджеры</w:t>
            </w:r>
          </w:p>
        </w:tc>
        <w:tc>
          <w:tcPr>
            <w:tcW w:w="5386" w:type="dxa"/>
            <w:vAlign w:val="top"/>
          </w:tcPr>
          <w:p w14:paraId="53147348">
            <w:pPr>
              <w:spacing w:before="0" w:after="0" w:line="360" w:lineRule="auto"/>
              <w:jc w:val="left"/>
            </w:pPr>
            <w:r>
              <w:rPr>
                <w:rFonts w:ascii="Times New Roman" w:hAnsi="Times New Roman" w:eastAsia="Times New Roman" w:cs="Times New Roman"/>
                <w:b w:val="0"/>
                <w:i w:val="0"/>
                <w:color w:val="000000"/>
                <w:sz w:val="28"/>
              </w:rPr>
              <w:t>Зависимость от единственного канала; рост неявок</w:t>
            </w:r>
          </w:p>
        </w:tc>
      </w:tr>
      <w:tr w14:paraId="170BCE08">
        <w:tc>
          <w:tcPr>
            <w:tcW w:w="3685" w:type="dxa"/>
            <w:vAlign w:val="top"/>
          </w:tcPr>
          <w:p w14:paraId="0698415A">
            <w:pPr>
              <w:spacing w:before="0" w:after="0" w:line="360" w:lineRule="auto"/>
              <w:jc w:val="left"/>
            </w:pPr>
            <w:r>
              <w:rPr>
                <w:rFonts w:ascii="Times New Roman" w:hAnsi="Times New Roman" w:eastAsia="Times New Roman" w:cs="Times New Roman"/>
                <w:b w:val="0"/>
                <w:i w:val="0"/>
                <w:color w:val="000000"/>
                <w:sz w:val="28"/>
              </w:rPr>
              <w:t>Усиление работы с репутацией и отзывами</w:t>
            </w:r>
          </w:p>
        </w:tc>
        <w:tc>
          <w:tcPr>
            <w:tcW w:w="5386" w:type="dxa"/>
            <w:vAlign w:val="top"/>
          </w:tcPr>
          <w:p w14:paraId="18205C23">
            <w:pPr>
              <w:spacing w:before="0" w:after="0" w:line="360" w:lineRule="auto"/>
              <w:jc w:val="left"/>
            </w:pPr>
            <w:r>
              <w:rPr>
                <w:rFonts w:ascii="Times New Roman" w:hAnsi="Times New Roman" w:eastAsia="Times New Roman" w:cs="Times New Roman"/>
                <w:b w:val="0"/>
                <w:i w:val="0"/>
                <w:color w:val="000000"/>
                <w:sz w:val="28"/>
              </w:rPr>
              <w:t>Отток пациентов на этапе пост-диагностики</w:t>
            </w:r>
          </w:p>
        </w:tc>
      </w:tr>
      <w:tr w14:paraId="1FD56135">
        <w:tc>
          <w:tcPr>
            <w:tcW w:w="3685" w:type="dxa"/>
            <w:vAlign w:val="top"/>
          </w:tcPr>
          <w:p w14:paraId="504380CC">
            <w:pPr>
              <w:spacing w:before="0" w:after="0" w:line="360" w:lineRule="auto"/>
              <w:jc w:val="left"/>
            </w:pPr>
            <w:r>
              <w:rPr>
                <w:rFonts w:ascii="Times New Roman" w:hAnsi="Times New Roman" w:eastAsia="Times New Roman" w:cs="Times New Roman"/>
                <w:b w:val="0"/>
                <w:i w:val="0"/>
                <w:color w:val="000000"/>
                <w:sz w:val="28"/>
              </w:rPr>
              <w:t>Искусственный интеллект и автоматизация</w:t>
            </w:r>
          </w:p>
        </w:tc>
        <w:tc>
          <w:tcPr>
            <w:tcW w:w="5386" w:type="dxa"/>
            <w:vAlign w:val="top"/>
          </w:tcPr>
          <w:p w14:paraId="334E3B78">
            <w:pPr>
              <w:spacing w:before="0" w:after="0" w:line="360" w:lineRule="auto"/>
              <w:jc w:val="left"/>
            </w:pPr>
            <w:r>
              <w:rPr>
                <w:rFonts w:ascii="Times New Roman" w:hAnsi="Times New Roman" w:eastAsia="Times New Roman" w:cs="Times New Roman"/>
                <w:b w:val="0"/>
                <w:i w:val="0"/>
                <w:color w:val="000000"/>
                <w:sz w:val="28"/>
              </w:rPr>
              <w:t>Нагрузка регистратуры по типовым запросам и истории</w:t>
            </w:r>
          </w:p>
        </w:tc>
      </w:tr>
      <w:tr w14:paraId="60EE652D">
        <w:tc>
          <w:tcPr>
            <w:tcW w:w="3685" w:type="dxa"/>
            <w:vAlign w:val="top"/>
          </w:tcPr>
          <w:p w14:paraId="1D91F9DF">
            <w:pPr>
              <w:spacing w:before="0" w:after="0" w:line="360" w:lineRule="auto"/>
              <w:jc w:val="left"/>
            </w:pPr>
            <w:r>
              <w:rPr>
                <w:rFonts w:ascii="Times New Roman" w:hAnsi="Times New Roman" w:eastAsia="Times New Roman" w:cs="Times New Roman"/>
                <w:b w:val="0"/>
                <w:i w:val="0"/>
                <w:color w:val="000000"/>
                <w:sz w:val="28"/>
              </w:rPr>
              <w:t>Омниканальный маркетинг (бесшовный путь)</w:t>
            </w:r>
          </w:p>
        </w:tc>
        <w:tc>
          <w:tcPr>
            <w:tcW w:w="5386" w:type="dxa"/>
            <w:vAlign w:val="top"/>
          </w:tcPr>
          <w:p w14:paraId="3F26EC46">
            <w:pPr>
              <w:spacing w:before="0" w:after="0" w:line="360" w:lineRule="auto"/>
              <w:jc w:val="left"/>
            </w:pPr>
            <w:r>
              <w:rPr>
                <w:rFonts w:ascii="Times New Roman" w:hAnsi="Times New Roman" w:eastAsia="Times New Roman" w:cs="Times New Roman"/>
                <w:b w:val="0"/>
                <w:i w:val="0"/>
                <w:color w:val="000000"/>
                <w:sz w:val="28"/>
              </w:rPr>
              <w:t>Несвязанность каналов записи, напоминаний и пост-визита</w:t>
            </w:r>
          </w:p>
        </w:tc>
      </w:tr>
      <w:tr w14:paraId="41914EED">
        <w:tc>
          <w:tcPr>
            <w:tcW w:w="3685" w:type="dxa"/>
            <w:vAlign w:val="top"/>
          </w:tcPr>
          <w:p w14:paraId="4CBB0F15">
            <w:pPr>
              <w:spacing w:before="0" w:after="0" w:line="360" w:lineRule="auto"/>
              <w:jc w:val="left"/>
            </w:pPr>
            <w:r>
              <w:rPr>
                <w:rFonts w:ascii="Times New Roman" w:hAnsi="Times New Roman" w:eastAsia="Times New Roman" w:cs="Times New Roman"/>
                <w:b w:val="0"/>
                <w:i w:val="0"/>
                <w:color w:val="000000"/>
                <w:sz w:val="28"/>
              </w:rPr>
              <w:t>Мобильные приложения для удержания клиентов</w:t>
            </w:r>
          </w:p>
        </w:tc>
        <w:tc>
          <w:tcPr>
            <w:tcW w:w="5386" w:type="dxa"/>
            <w:vAlign w:val="top"/>
          </w:tcPr>
          <w:p w14:paraId="0EEEF37C">
            <w:pPr>
              <w:spacing w:before="0" w:after="0" w:line="360" w:lineRule="auto"/>
              <w:jc w:val="left"/>
            </w:pPr>
            <w:r>
              <w:rPr>
                <w:rFonts w:ascii="Times New Roman" w:hAnsi="Times New Roman" w:eastAsia="Times New Roman" w:cs="Times New Roman"/>
                <w:b w:val="0"/>
                <w:i w:val="0"/>
                <w:color w:val="000000"/>
                <w:sz w:val="28"/>
              </w:rPr>
              <w:t>Снижение частоты профилактических визитов</w:t>
            </w:r>
          </w:p>
        </w:tc>
      </w:tr>
    </w:tbl>
    <w:p w14:paraId="46A83B00">
      <w:pPr>
        <w:spacing w:before="40" w:after="80" w:line="360" w:lineRule="auto"/>
        <w:jc w:val="both"/>
      </w:pPr>
    </w:p>
    <w:p w14:paraId="34129196">
      <w:pPr>
        <w:spacing w:before="120" w:after="80" w:line="360" w:lineRule="auto"/>
        <w:ind w:firstLine="709"/>
        <w:jc w:val="left"/>
      </w:pPr>
      <w:r>
        <w:rPr>
          <w:rFonts w:ascii="Times New Roman" w:hAnsi="Times New Roman" w:eastAsia="Times New Roman" w:cs="Times New Roman"/>
          <w:b/>
          <w:i w:val="0"/>
          <w:color w:val="000000"/>
          <w:sz w:val="28"/>
        </w:rPr>
        <w:t>Критерии отбора цифровых инструментов</w:t>
      </w:r>
    </w:p>
    <w:p w14:paraId="4109FEBE">
      <w:pPr>
        <w:spacing w:before="0" w:after="0" w:line="360" w:lineRule="auto"/>
        <w:ind w:firstLine="709"/>
        <w:jc w:val="both"/>
      </w:pPr>
      <w:r>
        <w:rPr>
          <w:rFonts w:ascii="Times New Roman" w:hAnsi="Times New Roman" w:eastAsia="Times New Roman" w:cs="Times New Roman"/>
          <w:b w:val="0"/>
          <w:i w:val="0"/>
          <w:color w:val="000000"/>
          <w:sz w:val="28"/>
        </w:rPr>
        <w:t>Критерии отбора определены так, чтобы учесть и проблемную ориентацию инструментов, и их реализуемость в рамках MVP, и нормативные ограничения 2025–2026 годов. Сформулированы шесть критериев с весами; веса задают условную приоритетность для конкретной сети.</w:t>
      </w:r>
    </w:p>
    <w:p w14:paraId="2E9FAA47">
      <w:pPr>
        <w:spacing w:before="120" w:after="40" w:line="360" w:lineRule="auto"/>
        <w:jc w:val="left"/>
      </w:pPr>
      <w:r>
        <w:rPr>
          <w:rFonts w:ascii="Times New Roman" w:hAnsi="Times New Roman" w:eastAsia="Times New Roman" w:cs="Times New Roman"/>
          <w:b w:val="0"/>
          <w:i w:val="0"/>
          <w:color w:val="000000"/>
          <w:sz w:val="28"/>
        </w:rPr>
        <w:t>Таблица 2.2 – Критерии отбора цифровых инструментов и их веса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2"/>
        <w:gridCol w:w="2422"/>
        <w:gridCol w:w="2422"/>
        <w:gridCol w:w="2422"/>
      </w:tblGrid>
      <w:tr w14:paraId="3DBF2957">
        <w:tc>
          <w:tcPr>
            <w:tcW w:w="850" w:type="dxa"/>
            <w:vAlign w:val="center"/>
          </w:tcPr>
          <w:p w14:paraId="73FE2E9D">
            <w:pPr>
              <w:spacing w:before="0" w:after="0" w:line="360" w:lineRule="auto"/>
              <w:jc w:val="center"/>
            </w:pPr>
            <w:r>
              <w:rPr>
                <w:rFonts w:ascii="Times New Roman" w:hAnsi="Times New Roman" w:eastAsia="Times New Roman" w:cs="Times New Roman"/>
                <w:b/>
                <w:i w:val="0"/>
                <w:color w:val="000000"/>
                <w:sz w:val="28"/>
              </w:rPr>
              <w:t>№</w:t>
            </w:r>
          </w:p>
        </w:tc>
        <w:tc>
          <w:tcPr>
            <w:tcW w:w="2551" w:type="dxa"/>
            <w:vAlign w:val="center"/>
          </w:tcPr>
          <w:p w14:paraId="15A715D7">
            <w:pPr>
              <w:spacing w:before="0" w:after="0" w:line="360" w:lineRule="auto"/>
              <w:jc w:val="center"/>
            </w:pPr>
            <w:r>
              <w:rPr>
                <w:rFonts w:ascii="Times New Roman" w:hAnsi="Times New Roman" w:eastAsia="Times New Roman" w:cs="Times New Roman"/>
                <w:b/>
                <w:i w:val="0"/>
                <w:color w:val="000000"/>
                <w:sz w:val="28"/>
              </w:rPr>
              <w:t>Критерий</w:t>
            </w:r>
          </w:p>
        </w:tc>
        <w:tc>
          <w:tcPr>
            <w:tcW w:w="4252" w:type="dxa"/>
            <w:vAlign w:val="center"/>
          </w:tcPr>
          <w:p w14:paraId="14BEBB62">
            <w:pPr>
              <w:spacing w:before="0" w:after="0" w:line="360" w:lineRule="auto"/>
              <w:jc w:val="center"/>
            </w:pPr>
            <w:r>
              <w:rPr>
                <w:rFonts w:ascii="Times New Roman" w:hAnsi="Times New Roman" w:eastAsia="Times New Roman" w:cs="Times New Roman"/>
                <w:b/>
                <w:i w:val="0"/>
                <w:color w:val="000000"/>
                <w:sz w:val="28"/>
              </w:rPr>
              <w:t>Содержание</w:t>
            </w:r>
          </w:p>
        </w:tc>
        <w:tc>
          <w:tcPr>
            <w:tcW w:w="850" w:type="dxa"/>
            <w:vAlign w:val="center"/>
          </w:tcPr>
          <w:p w14:paraId="536B2F0F">
            <w:pPr>
              <w:spacing w:before="0" w:after="0" w:line="360" w:lineRule="auto"/>
              <w:jc w:val="center"/>
            </w:pPr>
            <w:r>
              <w:rPr>
                <w:rFonts w:ascii="Times New Roman" w:hAnsi="Times New Roman" w:eastAsia="Times New Roman" w:cs="Times New Roman"/>
                <w:b/>
                <w:i w:val="0"/>
                <w:color w:val="000000"/>
                <w:sz w:val="28"/>
              </w:rPr>
              <w:t>Вес</w:t>
            </w:r>
          </w:p>
        </w:tc>
      </w:tr>
      <w:tr w14:paraId="620C6B21">
        <w:tc>
          <w:tcPr>
            <w:tcW w:w="850" w:type="dxa"/>
            <w:vAlign w:val="top"/>
          </w:tcPr>
          <w:p w14:paraId="728D66CE">
            <w:pPr>
              <w:spacing w:before="0" w:after="0" w:line="360" w:lineRule="auto"/>
              <w:jc w:val="left"/>
            </w:pPr>
            <w:r>
              <w:rPr>
                <w:rFonts w:ascii="Times New Roman" w:hAnsi="Times New Roman" w:eastAsia="Times New Roman" w:cs="Times New Roman"/>
                <w:b w:val="0"/>
                <w:i w:val="0"/>
                <w:color w:val="000000"/>
                <w:sz w:val="28"/>
              </w:rPr>
              <w:t>К1</w:t>
            </w:r>
          </w:p>
        </w:tc>
        <w:tc>
          <w:tcPr>
            <w:tcW w:w="2551" w:type="dxa"/>
            <w:vAlign w:val="top"/>
          </w:tcPr>
          <w:p w14:paraId="0CB15F53">
            <w:pPr>
              <w:spacing w:before="0" w:after="0" w:line="360" w:lineRule="auto"/>
              <w:jc w:val="left"/>
            </w:pPr>
            <w:r>
              <w:rPr>
                <w:rFonts w:ascii="Times New Roman" w:hAnsi="Times New Roman" w:eastAsia="Times New Roman" w:cs="Times New Roman"/>
                <w:b w:val="0"/>
                <w:i w:val="0"/>
                <w:color w:val="000000"/>
                <w:sz w:val="28"/>
              </w:rPr>
              <w:t>Покрытие проблем</w:t>
            </w:r>
          </w:p>
        </w:tc>
        <w:tc>
          <w:tcPr>
            <w:tcW w:w="4252" w:type="dxa"/>
            <w:vAlign w:val="top"/>
          </w:tcPr>
          <w:p w14:paraId="23B9EA21">
            <w:pPr>
              <w:spacing w:before="0" w:after="0" w:line="360" w:lineRule="auto"/>
              <w:jc w:val="left"/>
            </w:pPr>
            <w:r>
              <w:rPr>
                <w:rFonts w:ascii="Times New Roman" w:hAnsi="Times New Roman" w:eastAsia="Times New Roman" w:cs="Times New Roman"/>
                <w:b w:val="0"/>
                <w:i w:val="0"/>
                <w:color w:val="000000"/>
                <w:sz w:val="28"/>
              </w:rPr>
              <w:t>Закрывает одно или несколько конкретных проявлений управленческой проблемы</w:t>
            </w:r>
          </w:p>
        </w:tc>
        <w:tc>
          <w:tcPr>
            <w:tcW w:w="850" w:type="dxa"/>
            <w:vAlign w:val="top"/>
          </w:tcPr>
          <w:p w14:paraId="4E76C629">
            <w:pPr>
              <w:spacing w:before="0" w:after="0" w:line="360" w:lineRule="auto"/>
              <w:jc w:val="left"/>
            </w:pPr>
            <w:r>
              <w:rPr>
                <w:rFonts w:ascii="Times New Roman" w:hAnsi="Times New Roman" w:eastAsia="Times New Roman" w:cs="Times New Roman"/>
                <w:b w:val="0"/>
                <w:i w:val="0"/>
                <w:color w:val="000000"/>
                <w:sz w:val="28"/>
              </w:rPr>
              <w:t>0,25</w:t>
            </w:r>
          </w:p>
        </w:tc>
      </w:tr>
      <w:tr w14:paraId="014FB44A">
        <w:tc>
          <w:tcPr>
            <w:tcW w:w="850" w:type="dxa"/>
            <w:vAlign w:val="top"/>
          </w:tcPr>
          <w:p w14:paraId="1FB23B21">
            <w:pPr>
              <w:spacing w:before="0" w:after="0" w:line="360" w:lineRule="auto"/>
              <w:jc w:val="left"/>
            </w:pPr>
            <w:r>
              <w:rPr>
                <w:rFonts w:ascii="Times New Roman" w:hAnsi="Times New Roman" w:eastAsia="Times New Roman" w:cs="Times New Roman"/>
                <w:b w:val="0"/>
                <w:i w:val="0"/>
                <w:color w:val="000000"/>
                <w:sz w:val="28"/>
              </w:rPr>
              <w:t>К2</w:t>
            </w:r>
          </w:p>
        </w:tc>
        <w:tc>
          <w:tcPr>
            <w:tcW w:w="2551" w:type="dxa"/>
            <w:vAlign w:val="top"/>
          </w:tcPr>
          <w:p w14:paraId="79C05510">
            <w:pPr>
              <w:spacing w:before="0" w:after="0" w:line="360" w:lineRule="auto"/>
              <w:jc w:val="left"/>
            </w:pPr>
            <w:r>
              <w:rPr>
                <w:rFonts w:ascii="Times New Roman" w:hAnsi="Times New Roman" w:eastAsia="Times New Roman" w:cs="Times New Roman"/>
                <w:b w:val="0"/>
                <w:i w:val="0"/>
                <w:color w:val="000000"/>
                <w:sz w:val="28"/>
              </w:rPr>
              <w:t>Эмпирическая обоснованность</w:t>
            </w:r>
          </w:p>
        </w:tc>
        <w:tc>
          <w:tcPr>
            <w:tcW w:w="4252" w:type="dxa"/>
            <w:vAlign w:val="top"/>
          </w:tcPr>
          <w:p w14:paraId="4D7A5720">
            <w:pPr>
              <w:spacing w:before="0" w:after="0" w:line="360" w:lineRule="auto"/>
              <w:jc w:val="left"/>
            </w:pPr>
            <w:r>
              <w:rPr>
                <w:rFonts w:ascii="Times New Roman" w:hAnsi="Times New Roman" w:eastAsia="Times New Roman" w:cs="Times New Roman"/>
                <w:b w:val="0"/>
                <w:i w:val="0"/>
                <w:color w:val="000000"/>
                <w:sz w:val="28"/>
              </w:rPr>
              <w:t>Имеется опубликованная количественная оценка эффекта (метаанализ, RCT, отраслевой обзор)</w:t>
            </w:r>
          </w:p>
        </w:tc>
        <w:tc>
          <w:tcPr>
            <w:tcW w:w="850" w:type="dxa"/>
            <w:vAlign w:val="top"/>
          </w:tcPr>
          <w:p w14:paraId="5A308433">
            <w:pPr>
              <w:spacing w:before="0" w:after="0" w:line="360" w:lineRule="auto"/>
              <w:jc w:val="left"/>
            </w:pPr>
            <w:r>
              <w:rPr>
                <w:rFonts w:ascii="Times New Roman" w:hAnsi="Times New Roman" w:eastAsia="Times New Roman" w:cs="Times New Roman"/>
                <w:b w:val="0"/>
                <w:i w:val="0"/>
                <w:color w:val="000000"/>
                <w:sz w:val="28"/>
              </w:rPr>
              <w:t>0,20</w:t>
            </w:r>
          </w:p>
        </w:tc>
      </w:tr>
      <w:tr w14:paraId="612AFC86">
        <w:tc>
          <w:tcPr>
            <w:tcW w:w="850" w:type="dxa"/>
            <w:vAlign w:val="top"/>
          </w:tcPr>
          <w:p w14:paraId="4B22BE53">
            <w:pPr>
              <w:spacing w:before="0" w:after="0" w:line="360" w:lineRule="auto"/>
              <w:jc w:val="left"/>
            </w:pPr>
            <w:r>
              <w:rPr>
                <w:rFonts w:ascii="Times New Roman" w:hAnsi="Times New Roman" w:eastAsia="Times New Roman" w:cs="Times New Roman"/>
                <w:b w:val="0"/>
                <w:i w:val="0"/>
                <w:color w:val="000000"/>
                <w:sz w:val="28"/>
              </w:rPr>
              <w:t>К3</w:t>
            </w:r>
          </w:p>
        </w:tc>
        <w:tc>
          <w:tcPr>
            <w:tcW w:w="2551" w:type="dxa"/>
            <w:vAlign w:val="top"/>
          </w:tcPr>
          <w:p w14:paraId="4434298F">
            <w:pPr>
              <w:spacing w:before="0" w:after="0" w:line="360" w:lineRule="auto"/>
              <w:jc w:val="left"/>
            </w:pPr>
            <w:r>
              <w:rPr>
                <w:rFonts w:ascii="Times New Roman" w:hAnsi="Times New Roman" w:eastAsia="Times New Roman" w:cs="Times New Roman"/>
                <w:b w:val="0"/>
                <w:i w:val="0"/>
                <w:color w:val="000000"/>
                <w:sz w:val="28"/>
              </w:rPr>
              <w:t>Соответствие нормативной базе 2025–2026</w:t>
            </w:r>
          </w:p>
        </w:tc>
        <w:tc>
          <w:tcPr>
            <w:tcW w:w="4252" w:type="dxa"/>
            <w:vAlign w:val="top"/>
          </w:tcPr>
          <w:p w14:paraId="193A9972">
            <w:pPr>
              <w:spacing w:before="0" w:after="0" w:line="360" w:lineRule="auto"/>
              <w:jc w:val="left"/>
            </w:pPr>
            <w:r>
              <w:rPr>
                <w:rFonts w:ascii="Times New Roman" w:hAnsi="Times New Roman" w:eastAsia="Times New Roman" w:cs="Times New Roman"/>
                <w:b w:val="0"/>
                <w:i w:val="0"/>
                <w:color w:val="000000"/>
                <w:sz w:val="28"/>
              </w:rPr>
              <w:t>Не противоречит 152-ФЗ, 323-ФЗ, 38-ФЗ ст. 24 и порядку № 193н</w:t>
            </w:r>
          </w:p>
        </w:tc>
        <w:tc>
          <w:tcPr>
            <w:tcW w:w="850" w:type="dxa"/>
            <w:vAlign w:val="top"/>
          </w:tcPr>
          <w:p w14:paraId="4335B18F">
            <w:pPr>
              <w:spacing w:before="0" w:after="0" w:line="360" w:lineRule="auto"/>
              <w:jc w:val="left"/>
            </w:pPr>
            <w:r>
              <w:rPr>
                <w:rFonts w:ascii="Times New Roman" w:hAnsi="Times New Roman" w:eastAsia="Times New Roman" w:cs="Times New Roman"/>
                <w:b w:val="0"/>
                <w:i w:val="0"/>
                <w:color w:val="000000"/>
                <w:sz w:val="28"/>
              </w:rPr>
              <w:t>0,20</w:t>
            </w:r>
          </w:p>
        </w:tc>
      </w:tr>
      <w:tr w14:paraId="053287F8">
        <w:tc>
          <w:tcPr>
            <w:tcW w:w="850" w:type="dxa"/>
            <w:vAlign w:val="top"/>
          </w:tcPr>
          <w:p w14:paraId="599BEFB0">
            <w:pPr>
              <w:spacing w:before="0" w:after="0" w:line="360" w:lineRule="auto"/>
              <w:jc w:val="left"/>
            </w:pPr>
            <w:r>
              <w:rPr>
                <w:rFonts w:ascii="Times New Roman" w:hAnsi="Times New Roman" w:eastAsia="Times New Roman" w:cs="Times New Roman"/>
                <w:b w:val="0"/>
                <w:i w:val="0"/>
                <w:color w:val="000000"/>
                <w:sz w:val="28"/>
              </w:rPr>
              <w:t>К4</w:t>
            </w:r>
          </w:p>
        </w:tc>
        <w:tc>
          <w:tcPr>
            <w:tcW w:w="2551" w:type="dxa"/>
            <w:vAlign w:val="top"/>
          </w:tcPr>
          <w:p w14:paraId="730EB90F">
            <w:pPr>
              <w:spacing w:before="0" w:after="0" w:line="360" w:lineRule="auto"/>
              <w:jc w:val="left"/>
            </w:pPr>
            <w:r>
              <w:rPr>
                <w:rFonts w:ascii="Times New Roman" w:hAnsi="Times New Roman" w:eastAsia="Times New Roman" w:cs="Times New Roman"/>
                <w:b w:val="0"/>
                <w:i w:val="0"/>
                <w:color w:val="000000"/>
                <w:sz w:val="28"/>
              </w:rPr>
              <w:t>Реализуемость в MVP</w:t>
            </w:r>
          </w:p>
        </w:tc>
        <w:tc>
          <w:tcPr>
            <w:tcW w:w="4252" w:type="dxa"/>
            <w:vAlign w:val="top"/>
          </w:tcPr>
          <w:p w14:paraId="382C5E10">
            <w:pPr>
              <w:spacing w:before="0" w:after="0" w:line="360" w:lineRule="auto"/>
              <w:jc w:val="left"/>
            </w:pPr>
            <w:r>
              <w:rPr>
                <w:rFonts w:ascii="Times New Roman" w:hAnsi="Times New Roman" w:eastAsia="Times New Roman" w:cs="Times New Roman"/>
                <w:b w:val="0"/>
                <w:i w:val="0"/>
                <w:color w:val="000000"/>
                <w:sz w:val="28"/>
              </w:rPr>
              <w:t>Может быть включён в первую версию продукта с приемлемыми сроками и стоимостью</w:t>
            </w:r>
          </w:p>
        </w:tc>
        <w:tc>
          <w:tcPr>
            <w:tcW w:w="850" w:type="dxa"/>
            <w:vAlign w:val="top"/>
          </w:tcPr>
          <w:p w14:paraId="49FCD649">
            <w:pPr>
              <w:spacing w:before="0" w:after="0" w:line="360" w:lineRule="auto"/>
              <w:jc w:val="left"/>
            </w:pPr>
            <w:r>
              <w:rPr>
                <w:rFonts w:ascii="Times New Roman" w:hAnsi="Times New Roman" w:eastAsia="Times New Roman" w:cs="Times New Roman"/>
                <w:b w:val="0"/>
                <w:i w:val="0"/>
                <w:color w:val="000000"/>
                <w:sz w:val="28"/>
              </w:rPr>
              <w:t>0,15</w:t>
            </w:r>
          </w:p>
        </w:tc>
      </w:tr>
      <w:tr w14:paraId="7227F2CD">
        <w:tc>
          <w:tcPr>
            <w:tcW w:w="850" w:type="dxa"/>
            <w:vAlign w:val="top"/>
          </w:tcPr>
          <w:p w14:paraId="59429E39">
            <w:pPr>
              <w:spacing w:before="0" w:after="0" w:line="360" w:lineRule="auto"/>
              <w:jc w:val="left"/>
            </w:pPr>
            <w:r>
              <w:rPr>
                <w:rFonts w:ascii="Times New Roman" w:hAnsi="Times New Roman" w:eastAsia="Times New Roman" w:cs="Times New Roman"/>
                <w:b w:val="0"/>
                <w:i w:val="0"/>
                <w:color w:val="000000"/>
                <w:sz w:val="28"/>
              </w:rPr>
              <w:t>К5</w:t>
            </w:r>
          </w:p>
        </w:tc>
        <w:tc>
          <w:tcPr>
            <w:tcW w:w="2551" w:type="dxa"/>
            <w:vAlign w:val="top"/>
          </w:tcPr>
          <w:p w14:paraId="3BA272F7">
            <w:pPr>
              <w:spacing w:before="0" w:after="0" w:line="360" w:lineRule="auto"/>
              <w:jc w:val="left"/>
            </w:pPr>
            <w:r>
              <w:rPr>
                <w:rFonts w:ascii="Times New Roman" w:hAnsi="Times New Roman" w:eastAsia="Times New Roman" w:cs="Times New Roman"/>
                <w:b w:val="0"/>
                <w:i w:val="0"/>
                <w:color w:val="000000"/>
                <w:sz w:val="28"/>
              </w:rPr>
              <w:t>Влияние на удержание (LTV)</w:t>
            </w:r>
          </w:p>
        </w:tc>
        <w:tc>
          <w:tcPr>
            <w:tcW w:w="4252" w:type="dxa"/>
            <w:vAlign w:val="top"/>
          </w:tcPr>
          <w:p w14:paraId="35719ECA">
            <w:pPr>
              <w:spacing w:before="0" w:after="0" w:line="360" w:lineRule="auto"/>
              <w:jc w:val="left"/>
            </w:pPr>
            <w:r>
              <w:rPr>
                <w:rFonts w:ascii="Times New Roman" w:hAnsi="Times New Roman" w:eastAsia="Times New Roman" w:cs="Times New Roman"/>
                <w:b w:val="0"/>
                <w:i w:val="0"/>
                <w:color w:val="000000"/>
                <w:sz w:val="28"/>
              </w:rPr>
              <w:t>Поддерживает повторные визиты и пост-визитные коммуникации</w:t>
            </w:r>
          </w:p>
        </w:tc>
        <w:tc>
          <w:tcPr>
            <w:tcW w:w="850" w:type="dxa"/>
            <w:vAlign w:val="top"/>
          </w:tcPr>
          <w:p w14:paraId="3FFDB905">
            <w:pPr>
              <w:spacing w:before="0" w:after="0" w:line="360" w:lineRule="auto"/>
              <w:jc w:val="left"/>
            </w:pPr>
            <w:r>
              <w:rPr>
                <w:rFonts w:ascii="Times New Roman" w:hAnsi="Times New Roman" w:eastAsia="Times New Roman" w:cs="Times New Roman"/>
                <w:b w:val="0"/>
                <w:i w:val="0"/>
                <w:color w:val="000000"/>
                <w:sz w:val="28"/>
              </w:rPr>
              <w:t>0,10</w:t>
            </w:r>
          </w:p>
        </w:tc>
      </w:tr>
      <w:tr w14:paraId="37EA74FB">
        <w:tc>
          <w:tcPr>
            <w:tcW w:w="850" w:type="dxa"/>
            <w:vAlign w:val="top"/>
          </w:tcPr>
          <w:p w14:paraId="77D7BDB6">
            <w:pPr>
              <w:spacing w:before="0" w:after="0" w:line="360" w:lineRule="auto"/>
              <w:jc w:val="left"/>
            </w:pPr>
            <w:r>
              <w:rPr>
                <w:rFonts w:ascii="Times New Roman" w:hAnsi="Times New Roman" w:eastAsia="Times New Roman" w:cs="Times New Roman"/>
                <w:b w:val="0"/>
                <w:i w:val="0"/>
                <w:color w:val="000000"/>
                <w:sz w:val="28"/>
              </w:rPr>
              <w:t>К6</w:t>
            </w:r>
          </w:p>
        </w:tc>
        <w:tc>
          <w:tcPr>
            <w:tcW w:w="2551" w:type="dxa"/>
            <w:vAlign w:val="top"/>
          </w:tcPr>
          <w:p w14:paraId="028D6A92">
            <w:pPr>
              <w:spacing w:before="0" w:after="0" w:line="360" w:lineRule="auto"/>
              <w:jc w:val="left"/>
            </w:pPr>
            <w:r>
              <w:rPr>
                <w:rFonts w:ascii="Times New Roman" w:hAnsi="Times New Roman" w:eastAsia="Times New Roman" w:cs="Times New Roman"/>
                <w:b w:val="0"/>
                <w:i w:val="0"/>
                <w:color w:val="000000"/>
                <w:sz w:val="28"/>
              </w:rPr>
              <w:t>Управляемость и собственные данные</w:t>
            </w:r>
          </w:p>
        </w:tc>
        <w:tc>
          <w:tcPr>
            <w:tcW w:w="4252" w:type="dxa"/>
            <w:vAlign w:val="top"/>
          </w:tcPr>
          <w:p w14:paraId="1A406C56">
            <w:pPr>
              <w:spacing w:before="0" w:after="0" w:line="360" w:lineRule="auto"/>
              <w:jc w:val="left"/>
            </w:pPr>
            <w:r>
              <w:rPr>
                <w:rFonts w:ascii="Times New Roman" w:hAnsi="Times New Roman" w:eastAsia="Times New Roman" w:cs="Times New Roman"/>
                <w:b w:val="0"/>
                <w:i w:val="0"/>
                <w:color w:val="000000"/>
                <w:sz w:val="28"/>
              </w:rPr>
              <w:t>Контактные данные и история взаимодействий остаются в системе клиники</w:t>
            </w:r>
          </w:p>
        </w:tc>
        <w:tc>
          <w:tcPr>
            <w:tcW w:w="850" w:type="dxa"/>
            <w:vAlign w:val="top"/>
          </w:tcPr>
          <w:p w14:paraId="62BF3380">
            <w:pPr>
              <w:spacing w:before="0" w:after="0" w:line="360" w:lineRule="auto"/>
              <w:jc w:val="left"/>
            </w:pPr>
            <w:r>
              <w:rPr>
                <w:rFonts w:ascii="Times New Roman" w:hAnsi="Times New Roman" w:eastAsia="Times New Roman" w:cs="Times New Roman"/>
                <w:b w:val="0"/>
                <w:i w:val="0"/>
                <w:color w:val="000000"/>
                <w:sz w:val="28"/>
              </w:rPr>
              <w:t>0,10</w:t>
            </w:r>
          </w:p>
        </w:tc>
      </w:tr>
    </w:tbl>
    <w:p w14:paraId="55C945F1">
      <w:pPr>
        <w:spacing w:before="40" w:after="80" w:line="360" w:lineRule="auto"/>
        <w:jc w:val="both"/>
      </w:pPr>
    </w:p>
    <w:p w14:paraId="6E870BC8">
      <w:pPr>
        <w:spacing w:before="0" w:after="0" w:line="360" w:lineRule="auto"/>
        <w:ind w:firstLine="709"/>
        <w:jc w:val="both"/>
      </w:pPr>
      <w:r>
        <w:rPr>
          <w:rFonts w:ascii="Times New Roman" w:hAnsi="Times New Roman" w:eastAsia="Times New Roman" w:cs="Times New Roman"/>
          <w:b w:val="0"/>
          <w:i w:val="0"/>
          <w:color w:val="000000"/>
          <w:sz w:val="28"/>
        </w:rPr>
        <w:t>Веса распределены так, чтобы покрытие проблем (К1) оставалось доминирующим критерием, эмпирическая обоснованность (К2) и нормативная допустимость (К3) занимали высокое второе место, а реализуемость, удержание и управляемость данными выступали уточняющими параметрами. Такая иерархия согласуется с задачей обоснования MVP: продукт строится не вокруг технологического тренда, а вокруг конкретной операционной проблемы клиники.</w:t>
      </w:r>
    </w:p>
    <w:p w14:paraId="0129B8AD">
      <w:pPr>
        <w:spacing w:before="120" w:after="80" w:line="360" w:lineRule="auto"/>
        <w:ind w:firstLine="709"/>
        <w:jc w:val="left"/>
      </w:pPr>
      <w:r>
        <w:rPr>
          <w:rFonts w:ascii="Times New Roman" w:hAnsi="Times New Roman" w:eastAsia="Times New Roman" w:cs="Times New Roman"/>
          <w:b/>
          <w:i w:val="0"/>
          <w:color w:val="000000"/>
          <w:sz w:val="28"/>
        </w:rPr>
        <w:t>Сопоставление инструментов с проблемами и оценка по критериям</w:t>
      </w:r>
    </w:p>
    <w:p w14:paraId="4AF39878">
      <w:pPr>
        <w:spacing w:before="0" w:after="0" w:line="360" w:lineRule="auto"/>
        <w:ind w:firstLine="709"/>
        <w:jc w:val="both"/>
      </w:pPr>
      <w:r>
        <w:rPr>
          <w:rFonts w:ascii="Times New Roman" w:hAnsi="Times New Roman" w:eastAsia="Times New Roman" w:cs="Times New Roman"/>
          <w:b w:val="0"/>
          <w:i w:val="0"/>
          <w:color w:val="000000"/>
          <w:sz w:val="28"/>
        </w:rPr>
        <w:t>Кандидатами для отбора рассматриваются инструменты, описанные в параграфах 1.1–1.3 первой главы и в международной/российской практике (1.4): онлайн-запись через сайт и мобильное приложение, автоматические напоминания в мессенджерах и SMS, чат-бот для типовых сценариев, единый цифровой профиль пациента с историей визитов, цифровая заявка на налоговый вычет, ретаргетинг по идентифицированной базе через собственный канал, омниканальные коммуникации с CRM-сегментацией, телестоматологические консультации, AI-аналитика обращений, программа лояльности с цифровыми бонусами.</w:t>
      </w:r>
    </w:p>
    <w:p w14:paraId="6EAEC5A5">
      <w:pPr>
        <w:spacing w:before="0" w:after="0" w:line="360" w:lineRule="auto"/>
        <w:ind w:firstLine="709"/>
        <w:jc w:val="both"/>
      </w:pPr>
      <w:r>
        <w:rPr>
          <w:rFonts w:ascii="Times New Roman" w:hAnsi="Times New Roman" w:eastAsia="Times New Roman" w:cs="Times New Roman"/>
          <w:b w:val="0"/>
          <w:i w:val="0"/>
          <w:color w:val="000000"/>
          <w:sz w:val="28"/>
        </w:rPr>
        <w:t>В таблице 2.3 для каждого инструмента указаны проблемы клиники, которые он закрывает, и эмпирический источник зафиксированного эффекта.</w:t>
      </w:r>
    </w:p>
    <w:p w14:paraId="66DF32B1">
      <w:pPr>
        <w:spacing w:before="120" w:after="40" w:line="360" w:lineRule="auto"/>
        <w:jc w:val="left"/>
      </w:pPr>
      <w:r>
        <w:rPr>
          <w:rFonts w:ascii="Times New Roman" w:hAnsi="Times New Roman" w:eastAsia="Times New Roman" w:cs="Times New Roman"/>
          <w:b w:val="0"/>
          <w:i w:val="0"/>
          <w:color w:val="000000"/>
          <w:sz w:val="28"/>
        </w:rPr>
        <w:t>Таблица 2.3 – Сопоставление цифровых инструментов с проблемами клиники и эмпирическими источниками</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14:paraId="700D6611">
        <w:tc>
          <w:tcPr>
            <w:tcW w:w="2835" w:type="dxa"/>
            <w:vAlign w:val="center"/>
          </w:tcPr>
          <w:p w14:paraId="7B08BC79">
            <w:pPr>
              <w:spacing w:before="0" w:after="0" w:line="360" w:lineRule="auto"/>
              <w:jc w:val="center"/>
            </w:pPr>
            <w:r>
              <w:rPr>
                <w:rFonts w:ascii="Times New Roman" w:hAnsi="Times New Roman" w:eastAsia="Times New Roman" w:cs="Times New Roman"/>
                <w:b/>
                <w:i w:val="0"/>
                <w:color w:val="000000"/>
                <w:sz w:val="28"/>
              </w:rPr>
              <w:t>Инструмент</w:t>
            </w:r>
          </w:p>
        </w:tc>
        <w:tc>
          <w:tcPr>
            <w:tcW w:w="3402" w:type="dxa"/>
            <w:vAlign w:val="center"/>
          </w:tcPr>
          <w:p w14:paraId="351D867F">
            <w:pPr>
              <w:spacing w:before="0" w:after="0" w:line="360" w:lineRule="auto"/>
              <w:jc w:val="center"/>
            </w:pPr>
            <w:r>
              <w:rPr>
                <w:rFonts w:ascii="Times New Roman" w:hAnsi="Times New Roman" w:eastAsia="Times New Roman" w:cs="Times New Roman"/>
                <w:b/>
                <w:i w:val="0"/>
                <w:color w:val="000000"/>
                <w:sz w:val="28"/>
              </w:rPr>
              <w:t>Проблемы клиники, закрываемые инструментом</w:t>
            </w:r>
          </w:p>
        </w:tc>
        <w:tc>
          <w:tcPr>
            <w:tcW w:w="2835" w:type="dxa"/>
            <w:vAlign w:val="center"/>
          </w:tcPr>
          <w:p w14:paraId="256384ED">
            <w:pPr>
              <w:spacing w:before="0" w:after="0" w:line="360" w:lineRule="auto"/>
              <w:jc w:val="center"/>
            </w:pPr>
            <w:r>
              <w:rPr>
                <w:rFonts w:ascii="Times New Roman" w:hAnsi="Times New Roman" w:eastAsia="Times New Roman" w:cs="Times New Roman"/>
                <w:b/>
                <w:i w:val="0"/>
                <w:color w:val="000000"/>
                <w:sz w:val="28"/>
              </w:rPr>
              <w:t>Эмпирический источник эффекта</w:t>
            </w:r>
          </w:p>
        </w:tc>
      </w:tr>
      <w:tr w14:paraId="2847F683">
        <w:tc>
          <w:tcPr>
            <w:tcW w:w="2835" w:type="dxa"/>
            <w:vAlign w:val="top"/>
          </w:tcPr>
          <w:p w14:paraId="60D0B0EA">
            <w:pPr>
              <w:spacing w:before="0" w:after="0" w:line="360" w:lineRule="auto"/>
              <w:jc w:val="left"/>
            </w:pPr>
            <w:r>
              <w:rPr>
                <w:rFonts w:ascii="Times New Roman" w:hAnsi="Times New Roman" w:eastAsia="Times New Roman" w:cs="Times New Roman"/>
                <w:b w:val="0"/>
                <w:i w:val="0"/>
                <w:color w:val="000000"/>
                <w:sz w:val="28"/>
              </w:rPr>
              <w:t>Онлайн-запись через мобильное приложение и сайт</w:t>
            </w:r>
          </w:p>
        </w:tc>
        <w:tc>
          <w:tcPr>
            <w:tcW w:w="3402" w:type="dxa"/>
            <w:vAlign w:val="top"/>
          </w:tcPr>
          <w:p w14:paraId="4B370A97">
            <w:pPr>
              <w:spacing w:before="0" w:after="0" w:line="360" w:lineRule="auto"/>
              <w:jc w:val="left"/>
            </w:pPr>
            <w:r>
              <w:rPr>
                <w:rFonts w:ascii="Times New Roman" w:hAnsi="Times New Roman" w:eastAsia="Times New Roman" w:cs="Times New Roman"/>
                <w:b w:val="0"/>
                <w:i w:val="0"/>
                <w:color w:val="000000"/>
                <w:sz w:val="28"/>
              </w:rPr>
              <w:t>Низкая конверсия первичного трафика; зависимость от единственного канала; нагрузка регистратуры</w:t>
            </w:r>
          </w:p>
        </w:tc>
        <w:tc>
          <w:tcPr>
            <w:tcW w:w="2835" w:type="dxa"/>
            <w:vAlign w:val="top"/>
          </w:tcPr>
          <w:p w14:paraId="1C7F9D3D">
            <w:pPr>
              <w:spacing w:before="0" w:after="0" w:line="360" w:lineRule="auto"/>
              <w:jc w:val="left"/>
            </w:pPr>
            <w:r>
              <w:rPr>
                <w:rFonts w:ascii="Times New Roman" w:hAnsi="Times New Roman" w:eastAsia="Times New Roman" w:cs="Times New Roman"/>
                <w:b w:val="0"/>
                <w:i w:val="0"/>
                <w:color w:val="000000"/>
                <w:sz w:val="28"/>
              </w:rPr>
              <w:t>PatientGain (2025), Resonate (2024)</w:t>
            </w:r>
          </w:p>
        </w:tc>
      </w:tr>
      <w:tr w14:paraId="0ECE6B76">
        <w:tc>
          <w:tcPr>
            <w:tcW w:w="2835" w:type="dxa"/>
            <w:vAlign w:val="top"/>
          </w:tcPr>
          <w:p w14:paraId="2354AAEE">
            <w:pPr>
              <w:spacing w:before="0" w:after="0" w:line="360" w:lineRule="auto"/>
              <w:jc w:val="left"/>
            </w:pPr>
            <w:r>
              <w:rPr>
                <w:rFonts w:ascii="Times New Roman" w:hAnsi="Times New Roman" w:eastAsia="Times New Roman" w:cs="Times New Roman"/>
                <w:b w:val="0"/>
                <w:i w:val="0"/>
                <w:color w:val="000000"/>
                <w:sz w:val="28"/>
              </w:rPr>
              <w:t>Автоматические напоминания в мессенджерах и SMS</w:t>
            </w:r>
          </w:p>
        </w:tc>
        <w:tc>
          <w:tcPr>
            <w:tcW w:w="3402" w:type="dxa"/>
            <w:vAlign w:val="top"/>
          </w:tcPr>
          <w:p w14:paraId="266F1AB2">
            <w:pPr>
              <w:spacing w:before="0" w:after="0" w:line="360" w:lineRule="auto"/>
              <w:jc w:val="left"/>
            </w:pPr>
            <w:r>
              <w:rPr>
                <w:rFonts w:ascii="Times New Roman" w:hAnsi="Times New Roman" w:eastAsia="Times New Roman" w:cs="Times New Roman"/>
                <w:b w:val="0"/>
                <w:i w:val="0"/>
                <w:color w:val="000000"/>
                <w:sz w:val="28"/>
              </w:rPr>
              <w:t>Рост неявок; забывание визита; снижение профилактической явки</w:t>
            </w:r>
          </w:p>
        </w:tc>
        <w:tc>
          <w:tcPr>
            <w:tcW w:w="2835" w:type="dxa"/>
            <w:vAlign w:val="top"/>
          </w:tcPr>
          <w:p w14:paraId="60DD58E0">
            <w:pPr>
              <w:spacing w:before="0" w:after="0" w:line="360" w:lineRule="auto"/>
              <w:jc w:val="left"/>
            </w:pPr>
            <w:r>
              <w:rPr>
                <w:rFonts w:ascii="Times New Roman" w:hAnsi="Times New Roman" w:eastAsia="Times New Roman" w:cs="Times New Roman"/>
                <w:b w:val="0"/>
                <w:i w:val="0"/>
                <w:color w:val="000000"/>
                <w:sz w:val="28"/>
              </w:rPr>
              <w:t>Boksmati J. Med. Syst. (2016); McLean (2016); Stormon (2022)</w:t>
            </w:r>
          </w:p>
        </w:tc>
      </w:tr>
      <w:tr w14:paraId="06AB9D9D">
        <w:tc>
          <w:tcPr>
            <w:tcW w:w="2835" w:type="dxa"/>
            <w:vAlign w:val="top"/>
          </w:tcPr>
          <w:p w14:paraId="73E51B90">
            <w:pPr>
              <w:spacing w:before="0" w:after="0" w:line="360" w:lineRule="auto"/>
              <w:jc w:val="left"/>
            </w:pPr>
            <w:r>
              <w:rPr>
                <w:rFonts w:ascii="Times New Roman" w:hAnsi="Times New Roman" w:eastAsia="Times New Roman" w:cs="Times New Roman"/>
                <w:b w:val="0"/>
                <w:i w:val="0"/>
                <w:color w:val="000000"/>
                <w:sz w:val="28"/>
              </w:rPr>
              <w:t>Чат-бот в мессенджерах для типовых сценариев</w:t>
            </w:r>
          </w:p>
        </w:tc>
        <w:tc>
          <w:tcPr>
            <w:tcW w:w="3402" w:type="dxa"/>
            <w:vAlign w:val="top"/>
          </w:tcPr>
          <w:p w14:paraId="05EBC6F6">
            <w:pPr>
              <w:spacing w:before="0" w:after="0" w:line="360" w:lineRule="auto"/>
              <w:jc w:val="left"/>
            </w:pPr>
            <w:r>
              <w:rPr>
                <w:rFonts w:ascii="Times New Roman" w:hAnsi="Times New Roman" w:eastAsia="Times New Roman" w:cs="Times New Roman"/>
                <w:b w:val="0"/>
                <w:i w:val="0"/>
                <w:color w:val="000000"/>
                <w:sz w:val="28"/>
              </w:rPr>
              <w:t>Нагрузка регистратуры; зависимость от единственного канала</w:t>
            </w:r>
          </w:p>
        </w:tc>
        <w:tc>
          <w:tcPr>
            <w:tcW w:w="2835" w:type="dxa"/>
            <w:vAlign w:val="top"/>
          </w:tcPr>
          <w:p w14:paraId="20CCEF9B">
            <w:pPr>
              <w:spacing w:before="0" w:after="0" w:line="360" w:lineRule="auto"/>
              <w:jc w:val="left"/>
            </w:pPr>
            <w:r>
              <w:rPr>
                <w:rFonts w:ascii="Times New Roman" w:hAnsi="Times New Roman" w:eastAsia="Times New Roman" w:cs="Times New Roman"/>
                <w:b w:val="0"/>
                <w:i w:val="0"/>
                <w:color w:val="000000"/>
                <w:sz w:val="28"/>
              </w:rPr>
              <w:t>MDPI Dent. J. (2025); PLOS Digital Health (2026)</w:t>
            </w:r>
          </w:p>
        </w:tc>
      </w:tr>
      <w:tr w14:paraId="73BFD3A6">
        <w:tc>
          <w:tcPr>
            <w:tcW w:w="2835" w:type="dxa"/>
            <w:vAlign w:val="top"/>
          </w:tcPr>
          <w:p w14:paraId="397158F0">
            <w:pPr>
              <w:spacing w:before="0" w:after="0" w:line="360" w:lineRule="auto"/>
              <w:jc w:val="left"/>
            </w:pPr>
            <w:r>
              <w:rPr>
                <w:rFonts w:ascii="Times New Roman" w:hAnsi="Times New Roman" w:eastAsia="Times New Roman" w:cs="Times New Roman"/>
                <w:b w:val="0"/>
                <w:i w:val="0"/>
                <w:color w:val="000000"/>
                <w:sz w:val="28"/>
              </w:rPr>
              <w:t>Единый цифровой профиль пациента с историей визитов</w:t>
            </w:r>
          </w:p>
        </w:tc>
        <w:tc>
          <w:tcPr>
            <w:tcW w:w="3402" w:type="dxa"/>
            <w:vAlign w:val="top"/>
          </w:tcPr>
          <w:p w14:paraId="1DEF9D78">
            <w:pPr>
              <w:spacing w:before="0" w:after="0" w:line="360" w:lineRule="auto"/>
              <w:jc w:val="left"/>
            </w:pPr>
            <w:r>
              <w:rPr>
                <w:rFonts w:ascii="Times New Roman" w:hAnsi="Times New Roman" w:eastAsia="Times New Roman" w:cs="Times New Roman"/>
                <w:b w:val="0"/>
                <w:i w:val="0"/>
                <w:color w:val="000000"/>
                <w:sz w:val="28"/>
              </w:rPr>
              <w:t>Нагрузка регистратуры; отток на пост-диагностике</w:t>
            </w:r>
          </w:p>
        </w:tc>
        <w:tc>
          <w:tcPr>
            <w:tcW w:w="2835" w:type="dxa"/>
            <w:vAlign w:val="top"/>
          </w:tcPr>
          <w:p w14:paraId="62AE4247">
            <w:pPr>
              <w:spacing w:before="0" w:after="0" w:line="360" w:lineRule="auto"/>
              <w:jc w:val="left"/>
            </w:pPr>
            <w:r>
              <w:rPr>
                <w:rFonts w:ascii="Times New Roman" w:hAnsi="Times New Roman" w:eastAsia="Times New Roman" w:cs="Times New Roman"/>
                <w:b w:val="0"/>
                <w:i w:val="0"/>
                <w:color w:val="000000"/>
                <w:sz w:val="28"/>
              </w:rPr>
              <w:t>Отраслевые обзоры РФ, 2024–2025</w:t>
            </w:r>
          </w:p>
        </w:tc>
      </w:tr>
      <w:tr w14:paraId="33B8E9DD">
        <w:tc>
          <w:tcPr>
            <w:tcW w:w="2835" w:type="dxa"/>
            <w:vAlign w:val="top"/>
          </w:tcPr>
          <w:p w14:paraId="4266F332">
            <w:pPr>
              <w:spacing w:before="0" w:after="0" w:line="360" w:lineRule="auto"/>
              <w:jc w:val="left"/>
            </w:pPr>
            <w:r>
              <w:rPr>
                <w:rFonts w:ascii="Times New Roman" w:hAnsi="Times New Roman" w:eastAsia="Times New Roman" w:cs="Times New Roman"/>
                <w:b w:val="0"/>
                <w:i w:val="0"/>
                <w:color w:val="000000"/>
                <w:sz w:val="28"/>
              </w:rPr>
              <w:t>Цифровая заявка на налоговый вычет</w:t>
            </w:r>
          </w:p>
        </w:tc>
        <w:tc>
          <w:tcPr>
            <w:tcW w:w="3402" w:type="dxa"/>
            <w:vAlign w:val="top"/>
          </w:tcPr>
          <w:p w14:paraId="4CCC9454">
            <w:pPr>
              <w:spacing w:before="0" w:after="0" w:line="360" w:lineRule="auto"/>
              <w:jc w:val="left"/>
            </w:pPr>
            <w:r>
              <w:rPr>
                <w:rFonts w:ascii="Times New Roman" w:hAnsi="Times New Roman" w:eastAsia="Times New Roman" w:cs="Times New Roman"/>
                <w:b w:val="0"/>
                <w:i w:val="0"/>
                <w:color w:val="000000"/>
                <w:sz w:val="28"/>
              </w:rPr>
              <w:t>Отток на пост-диагностике; снижение LTV</w:t>
            </w:r>
          </w:p>
        </w:tc>
        <w:tc>
          <w:tcPr>
            <w:tcW w:w="2835" w:type="dxa"/>
            <w:vAlign w:val="top"/>
          </w:tcPr>
          <w:p w14:paraId="2FA1154C">
            <w:pPr>
              <w:spacing w:before="0" w:after="0" w:line="360" w:lineRule="auto"/>
              <w:jc w:val="left"/>
            </w:pPr>
            <w:r>
              <w:rPr>
                <w:rFonts w:ascii="Times New Roman" w:hAnsi="Times New Roman" w:eastAsia="Times New Roman" w:cs="Times New Roman"/>
                <w:b w:val="0"/>
                <w:i w:val="0"/>
                <w:color w:val="000000"/>
                <w:sz w:val="28"/>
              </w:rPr>
              <w:t>Аналитика по социальным налоговым вычетам ст. 219 НК РФ</w:t>
            </w:r>
          </w:p>
        </w:tc>
      </w:tr>
      <w:tr w14:paraId="7064C2AD">
        <w:tc>
          <w:tcPr>
            <w:tcW w:w="2835" w:type="dxa"/>
            <w:vAlign w:val="top"/>
          </w:tcPr>
          <w:p w14:paraId="48D510B7">
            <w:pPr>
              <w:spacing w:before="0" w:after="0" w:line="360" w:lineRule="auto"/>
              <w:jc w:val="left"/>
            </w:pPr>
            <w:r>
              <w:rPr>
                <w:rFonts w:ascii="Times New Roman" w:hAnsi="Times New Roman" w:eastAsia="Times New Roman" w:cs="Times New Roman"/>
                <w:b w:val="0"/>
                <w:i w:val="0"/>
                <w:color w:val="000000"/>
                <w:sz w:val="28"/>
              </w:rPr>
              <w:t>Собственный ретаргетинг по идентифицированной базе</w:t>
            </w:r>
          </w:p>
        </w:tc>
        <w:tc>
          <w:tcPr>
            <w:tcW w:w="3402" w:type="dxa"/>
            <w:vAlign w:val="top"/>
          </w:tcPr>
          <w:p w14:paraId="0695F45E">
            <w:pPr>
              <w:spacing w:before="0" w:after="0" w:line="360" w:lineRule="auto"/>
              <w:jc w:val="left"/>
            </w:pPr>
            <w:r>
              <w:rPr>
                <w:rFonts w:ascii="Times New Roman" w:hAnsi="Times New Roman" w:eastAsia="Times New Roman" w:cs="Times New Roman"/>
                <w:b w:val="0"/>
                <w:i w:val="0"/>
                <w:color w:val="000000"/>
                <w:sz w:val="28"/>
              </w:rPr>
              <w:t>Невозможность повторных коммуникаций с аудиторией сайта</w:t>
            </w:r>
          </w:p>
        </w:tc>
        <w:tc>
          <w:tcPr>
            <w:tcW w:w="2835" w:type="dxa"/>
            <w:vAlign w:val="top"/>
          </w:tcPr>
          <w:p w14:paraId="2B4571D5">
            <w:pPr>
              <w:spacing w:before="0" w:after="0" w:line="360" w:lineRule="auto"/>
              <w:jc w:val="left"/>
            </w:pPr>
            <w:r>
              <w:rPr>
                <w:rFonts w:ascii="Times New Roman" w:hAnsi="Times New Roman" w:eastAsia="Times New Roman" w:cs="Times New Roman"/>
                <w:b w:val="0"/>
                <w:i w:val="0"/>
                <w:color w:val="000000"/>
                <w:sz w:val="28"/>
              </w:rPr>
              <w:t>Smart Communications (2025); HHS Pixel Guidance (2024)</w:t>
            </w:r>
          </w:p>
        </w:tc>
      </w:tr>
      <w:tr w14:paraId="0F9E1D16">
        <w:tc>
          <w:tcPr>
            <w:tcW w:w="2835" w:type="dxa"/>
            <w:vAlign w:val="top"/>
          </w:tcPr>
          <w:p w14:paraId="32384A8C">
            <w:pPr>
              <w:spacing w:before="0" w:after="0" w:line="360" w:lineRule="auto"/>
              <w:jc w:val="left"/>
            </w:pPr>
            <w:r>
              <w:rPr>
                <w:rFonts w:ascii="Times New Roman" w:hAnsi="Times New Roman" w:eastAsia="Times New Roman" w:cs="Times New Roman"/>
                <w:b w:val="0"/>
                <w:i w:val="0"/>
                <w:color w:val="000000"/>
                <w:sz w:val="28"/>
              </w:rPr>
              <w:t>Омниканальная CRM-сегментация и триггерные рассылки</w:t>
            </w:r>
          </w:p>
        </w:tc>
        <w:tc>
          <w:tcPr>
            <w:tcW w:w="3402" w:type="dxa"/>
            <w:vAlign w:val="top"/>
          </w:tcPr>
          <w:p w14:paraId="26E726EF">
            <w:pPr>
              <w:spacing w:before="0" w:after="0" w:line="360" w:lineRule="auto"/>
              <w:jc w:val="left"/>
            </w:pPr>
            <w:r>
              <w:rPr>
                <w:rFonts w:ascii="Times New Roman" w:hAnsi="Times New Roman" w:eastAsia="Times New Roman" w:cs="Times New Roman"/>
                <w:b w:val="0"/>
                <w:i w:val="0"/>
                <w:color w:val="000000"/>
                <w:sz w:val="28"/>
              </w:rPr>
              <w:t>Несвязанные каналы; зависимость от телефона; снижение профвизитов</w:t>
            </w:r>
          </w:p>
        </w:tc>
        <w:tc>
          <w:tcPr>
            <w:tcW w:w="2835" w:type="dxa"/>
            <w:vAlign w:val="top"/>
          </w:tcPr>
          <w:p w14:paraId="679E5D48">
            <w:pPr>
              <w:spacing w:before="0" w:after="0" w:line="360" w:lineRule="auto"/>
              <w:jc w:val="left"/>
            </w:pPr>
            <w:r>
              <w:rPr>
                <w:rFonts w:ascii="Times New Roman" w:hAnsi="Times New Roman" w:eastAsia="Times New Roman" w:cs="Times New Roman"/>
                <w:b w:val="0"/>
                <w:i w:val="0"/>
                <w:color w:val="000000"/>
                <w:sz w:val="28"/>
              </w:rPr>
              <w:t>Smart Communications (2025); JMIR (2024)</w:t>
            </w:r>
          </w:p>
        </w:tc>
      </w:tr>
      <w:tr w14:paraId="51BBD54B">
        <w:tc>
          <w:tcPr>
            <w:tcW w:w="2835" w:type="dxa"/>
            <w:vAlign w:val="top"/>
          </w:tcPr>
          <w:p w14:paraId="73B3A6C0">
            <w:pPr>
              <w:spacing w:before="0" w:after="0" w:line="360" w:lineRule="auto"/>
              <w:jc w:val="left"/>
            </w:pPr>
            <w:r>
              <w:rPr>
                <w:rFonts w:ascii="Times New Roman" w:hAnsi="Times New Roman" w:eastAsia="Times New Roman" w:cs="Times New Roman"/>
                <w:b w:val="0"/>
                <w:i w:val="0"/>
                <w:color w:val="000000"/>
                <w:sz w:val="28"/>
              </w:rPr>
              <w:t>Телестоматологические консультации</w:t>
            </w:r>
          </w:p>
        </w:tc>
        <w:tc>
          <w:tcPr>
            <w:tcW w:w="3402" w:type="dxa"/>
            <w:vAlign w:val="top"/>
          </w:tcPr>
          <w:p w14:paraId="7E7F45B0">
            <w:pPr>
              <w:spacing w:before="0" w:after="0" w:line="360" w:lineRule="auto"/>
              <w:jc w:val="left"/>
            </w:pPr>
            <w:r>
              <w:rPr>
                <w:rFonts w:ascii="Times New Roman" w:hAnsi="Times New Roman" w:eastAsia="Times New Roman" w:cs="Times New Roman"/>
                <w:b w:val="0"/>
                <w:i w:val="0"/>
                <w:color w:val="000000"/>
                <w:sz w:val="28"/>
              </w:rPr>
              <w:t>Удалённость; страх перед лечением; пост-диагностика</w:t>
            </w:r>
          </w:p>
        </w:tc>
        <w:tc>
          <w:tcPr>
            <w:tcW w:w="2835" w:type="dxa"/>
            <w:vAlign w:val="top"/>
          </w:tcPr>
          <w:p w14:paraId="441798E2">
            <w:pPr>
              <w:spacing w:before="0" w:after="0" w:line="360" w:lineRule="auto"/>
              <w:jc w:val="left"/>
            </w:pPr>
            <w:r>
              <w:rPr>
                <w:rFonts w:ascii="Times New Roman" w:hAnsi="Times New Roman" w:eastAsia="Times New Roman" w:cs="Times New Roman"/>
                <w:b w:val="0"/>
                <w:i w:val="0"/>
                <w:color w:val="000000"/>
                <w:sz w:val="28"/>
              </w:rPr>
              <w:t>ADA Clinical Evaluators Panel (2023); JMIR (2024)</w:t>
            </w:r>
          </w:p>
        </w:tc>
      </w:tr>
      <w:tr w14:paraId="06F306F6">
        <w:tc>
          <w:tcPr>
            <w:tcW w:w="2835" w:type="dxa"/>
            <w:vAlign w:val="top"/>
          </w:tcPr>
          <w:p w14:paraId="32525681">
            <w:pPr>
              <w:spacing w:before="0" w:after="0" w:line="360" w:lineRule="auto"/>
              <w:jc w:val="left"/>
            </w:pPr>
            <w:r>
              <w:rPr>
                <w:rFonts w:ascii="Times New Roman" w:hAnsi="Times New Roman" w:eastAsia="Times New Roman" w:cs="Times New Roman"/>
                <w:b w:val="0"/>
                <w:i w:val="0"/>
                <w:color w:val="000000"/>
                <w:sz w:val="28"/>
              </w:rPr>
              <w:t>AI-аналитика обращений (тёмные данные)</w:t>
            </w:r>
          </w:p>
        </w:tc>
        <w:tc>
          <w:tcPr>
            <w:tcW w:w="3402" w:type="dxa"/>
            <w:vAlign w:val="top"/>
          </w:tcPr>
          <w:p w14:paraId="5BF46255">
            <w:pPr>
              <w:spacing w:before="0" w:after="0" w:line="360" w:lineRule="auto"/>
              <w:jc w:val="left"/>
            </w:pPr>
            <w:r>
              <w:rPr>
                <w:rFonts w:ascii="Times New Roman" w:hAnsi="Times New Roman" w:eastAsia="Times New Roman" w:cs="Times New Roman"/>
                <w:b w:val="0"/>
                <w:i w:val="0"/>
                <w:color w:val="000000"/>
                <w:sz w:val="28"/>
              </w:rPr>
              <w:t>Низкая конверсия; невидимые причины оттока</w:t>
            </w:r>
          </w:p>
        </w:tc>
        <w:tc>
          <w:tcPr>
            <w:tcW w:w="2835" w:type="dxa"/>
            <w:vAlign w:val="top"/>
          </w:tcPr>
          <w:p w14:paraId="35E32AA5">
            <w:pPr>
              <w:spacing w:before="0" w:after="0" w:line="360" w:lineRule="auto"/>
              <w:jc w:val="left"/>
            </w:pPr>
            <w:r>
              <w:rPr>
                <w:rFonts w:ascii="Times New Roman" w:hAnsi="Times New Roman" w:eastAsia="Times New Roman" w:cs="Times New Roman"/>
                <w:b w:val="0"/>
                <w:i w:val="0"/>
                <w:color w:val="000000"/>
                <w:sz w:val="28"/>
              </w:rPr>
              <w:t>Frontiers in Dental Medicine (2024)</w:t>
            </w:r>
          </w:p>
        </w:tc>
      </w:tr>
      <w:tr w14:paraId="3FBF7B91">
        <w:tc>
          <w:tcPr>
            <w:tcW w:w="2835" w:type="dxa"/>
            <w:vAlign w:val="top"/>
          </w:tcPr>
          <w:p w14:paraId="186143CF">
            <w:pPr>
              <w:spacing w:before="0" w:after="0" w:line="360" w:lineRule="auto"/>
              <w:jc w:val="left"/>
            </w:pPr>
            <w:r>
              <w:rPr>
                <w:rFonts w:ascii="Times New Roman" w:hAnsi="Times New Roman" w:eastAsia="Times New Roman" w:cs="Times New Roman"/>
                <w:b w:val="0"/>
                <w:i w:val="0"/>
                <w:color w:val="000000"/>
                <w:sz w:val="28"/>
              </w:rPr>
              <w:t>Цифровая программа лояльности</w:t>
            </w:r>
          </w:p>
        </w:tc>
        <w:tc>
          <w:tcPr>
            <w:tcW w:w="3402" w:type="dxa"/>
            <w:vAlign w:val="top"/>
          </w:tcPr>
          <w:p w14:paraId="19623832">
            <w:pPr>
              <w:spacing w:before="0" w:after="0" w:line="360" w:lineRule="auto"/>
              <w:jc w:val="left"/>
            </w:pPr>
            <w:r>
              <w:rPr>
                <w:rFonts w:ascii="Times New Roman" w:hAnsi="Times New Roman" w:eastAsia="Times New Roman" w:cs="Times New Roman"/>
                <w:b w:val="0"/>
                <w:i w:val="0"/>
                <w:color w:val="000000"/>
                <w:sz w:val="28"/>
              </w:rPr>
              <w:t>Снижение профилактических визитов; LTV</w:t>
            </w:r>
          </w:p>
        </w:tc>
        <w:tc>
          <w:tcPr>
            <w:tcW w:w="2835" w:type="dxa"/>
            <w:vAlign w:val="top"/>
          </w:tcPr>
          <w:p w14:paraId="63D79383">
            <w:pPr>
              <w:spacing w:before="0" w:after="0" w:line="360" w:lineRule="auto"/>
              <w:jc w:val="left"/>
            </w:pPr>
            <w:r>
              <w:rPr>
                <w:rFonts w:ascii="Times New Roman" w:hAnsi="Times New Roman" w:eastAsia="Times New Roman" w:cs="Times New Roman"/>
                <w:b w:val="0"/>
                <w:i w:val="0"/>
                <w:color w:val="000000"/>
                <w:sz w:val="28"/>
              </w:rPr>
              <w:t>Watermelonseed Marketing (2024); ZeviDigital (2024)</w:t>
            </w:r>
          </w:p>
        </w:tc>
      </w:tr>
    </w:tbl>
    <w:p w14:paraId="31E7753A">
      <w:pPr>
        <w:spacing w:before="40" w:after="80" w:line="360" w:lineRule="auto"/>
        <w:jc w:val="both"/>
      </w:pPr>
    </w:p>
    <w:p w14:paraId="127708C2">
      <w:pPr>
        <w:spacing w:before="0" w:after="0" w:line="360" w:lineRule="auto"/>
        <w:ind w:firstLine="709"/>
        <w:jc w:val="both"/>
      </w:pPr>
      <w:r>
        <w:rPr>
          <w:rFonts w:ascii="Times New Roman" w:hAnsi="Times New Roman" w:eastAsia="Times New Roman" w:cs="Times New Roman"/>
          <w:b w:val="0"/>
          <w:i w:val="0"/>
          <w:color w:val="000000"/>
          <w:sz w:val="28"/>
        </w:rPr>
        <w:t>Каждый инструмент оценен по шести критериям из таблицы 2.2 по шкале 1–5, где 5 — максимальное соответствие критерию. Итоговая оценка получена как взвешенная сумма; в состав MVP включаются инструменты с итоговой оценкой не ниже 3,8 и максимальным влиянием на критерии К1 и К3.</w:t>
      </w:r>
    </w:p>
    <w:p w14:paraId="1C2F925F">
      <w:pPr>
        <w:spacing w:before="120" w:after="40" w:line="360" w:lineRule="auto"/>
        <w:jc w:val="left"/>
      </w:pPr>
      <w:r>
        <w:rPr>
          <w:rFonts w:ascii="Times New Roman" w:hAnsi="Times New Roman" w:eastAsia="Times New Roman" w:cs="Times New Roman"/>
          <w:b w:val="0"/>
          <w:i w:val="0"/>
          <w:color w:val="000000"/>
          <w:sz w:val="28"/>
        </w:rPr>
        <w:t>Таблица 2.4 – Оценка цифровых инструментов по критериям отбора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7"/>
        <w:gridCol w:w="1077"/>
        <w:gridCol w:w="1077"/>
        <w:gridCol w:w="1077"/>
        <w:gridCol w:w="1077"/>
        <w:gridCol w:w="1077"/>
        <w:gridCol w:w="1077"/>
        <w:gridCol w:w="1077"/>
        <w:gridCol w:w="1077"/>
      </w:tblGrid>
      <w:tr w14:paraId="307EE8F0">
        <w:tc>
          <w:tcPr>
            <w:tcW w:w="2551" w:type="dxa"/>
            <w:vAlign w:val="center"/>
          </w:tcPr>
          <w:p w14:paraId="23166E37">
            <w:pPr>
              <w:spacing w:before="0" w:after="0" w:line="360" w:lineRule="auto"/>
              <w:jc w:val="center"/>
            </w:pPr>
            <w:r>
              <w:rPr>
                <w:rFonts w:ascii="Times New Roman" w:hAnsi="Times New Roman" w:eastAsia="Times New Roman" w:cs="Times New Roman"/>
                <w:b/>
                <w:i w:val="0"/>
                <w:color w:val="000000"/>
                <w:sz w:val="28"/>
              </w:rPr>
              <w:t>Инструмент</w:t>
            </w:r>
          </w:p>
        </w:tc>
        <w:tc>
          <w:tcPr>
            <w:tcW w:w="567" w:type="dxa"/>
            <w:vAlign w:val="center"/>
          </w:tcPr>
          <w:p w14:paraId="78F3B3E3">
            <w:pPr>
              <w:spacing w:before="0" w:after="0" w:line="360" w:lineRule="auto"/>
              <w:jc w:val="center"/>
            </w:pPr>
            <w:r>
              <w:rPr>
                <w:rFonts w:ascii="Times New Roman" w:hAnsi="Times New Roman" w:eastAsia="Times New Roman" w:cs="Times New Roman"/>
                <w:b/>
                <w:i w:val="0"/>
                <w:color w:val="000000"/>
                <w:sz w:val="28"/>
              </w:rPr>
              <w:t>К1</w:t>
            </w:r>
          </w:p>
        </w:tc>
        <w:tc>
          <w:tcPr>
            <w:tcW w:w="567" w:type="dxa"/>
            <w:vAlign w:val="center"/>
          </w:tcPr>
          <w:p w14:paraId="6CCF022E">
            <w:pPr>
              <w:spacing w:before="0" w:after="0" w:line="360" w:lineRule="auto"/>
              <w:jc w:val="center"/>
            </w:pPr>
            <w:r>
              <w:rPr>
                <w:rFonts w:ascii="Times New Roman" w:hAnsi="Times New Roman" w:eastAsia="Times New Roman" w:cs="Times New Roman"/>
                <w:b/>
                <w:i w:val="0"/>
                <w:color w:val="000000"/>
                <w:sz w:val="28"/>
              </w:rPr>
              <w:t>К2</w:t>
            </w:r>
          </w:p>
        </w:tc>
        <w:tc>
          <w:tcPr>
            <w:tcW w:w="567" w:type="dxa"/>
            <w:vAlign w:val="center"/>
          </w:tcPr>
          <w:p w14:paraId="7B4C0252">
            <w:pPr>
              <w:spacing w:before="0" w:after="0" w:line="360" w:lineRule="auto"/>
              <w:jc w:val="center"/>
            </w:pPr>
            <w:r>
              <w:rPr>
                <w:rFonts w:ascii="Times New Roman" w:hAnsi="Times New Roman" w:eastAsia="Times New Roman" w:cs="Times New Roman"/>
                <w:b/>
                <w:i w:val="0"/>
                <w:color w:val="000000"/>
                <w:sz w:val="28"/>
              </w:rPr>
              <w:t>К3</w:t>
            </w:r>
          </w:p>
        </w:tc>
        <w:tc>
          <w:tcPr>
            <w:tcW w:w="567" w:type="dxa"/>
            <w:vAlign w:val="center"/>
          </w:tcPr>
          <w:p w14:paraId="46BD1B62">
            <w:pPr>
              <w:spacing w:before="0" w:after="0" w:line="360" w:lineRule="auto"/>
              <w:jc w:val="center"/>
            </w:pPr>
            <w:r>
              <w:rPr>
                <w:rFonts w:ascii="Times New Roman" w:hAnsi="Times New Roman" w:eastAsia="Times New Roman" w:cs="Times New Roman"/>
                <w:b/>
                <w:i w:val="0"/>
                <w:color w:val="000000"/>
                <w:sz w:val="28"/>
              </w:rPr>
              <w:t>К4</w:t>
            </w:r>
          </w:p>
        </w:tc>
        <w:tc>
          <w:tcPr>
            <w:tcW w:w="567" w:type="dxa"/>
            <w:vAlign w:val="center"/>
          </w:tcPr>
          <w:p w14:paraId="1F613349">
            <w:pPr>
              <w:spacing w:before="0" w:after="0" w:line="360" w:lineRule="auto"/>
              <w:jc w:val="center"/>
            </w:pPr>
            <w:r>
              <w:rPr>
                <w:rFonts w:ascii="Times New Roman" w:hAnsi="Times New Roman" w:eastAsia="Times New Roman" w:cs="Times New Roman"/>
                <w:b/>
                <w:i w:val="0"/>
                <w:color w:val="000000"/>
                <w:sz w:val="28"/>
              </w:rPr>
              <w:t>К5</w:t>
            </w:r>
          </w:p>
        </w:tc>
        <w:tc>
          <w:tcPr>
            <w:tcW w:w="567" w:type="dxa"/>
            <w:vAlign w:val="center"/>
          </w:tcPr>
          <w:p w14:paraId="0C7B9036">
            <w:pPr>
              <w:spacing w:before="0" w:after="0" w:line="360" w:lineRule="auto"/>
              <w:jc w:val="center"/>
            </w:pPr>
            <w:r>
              <w:rPr>
                <w:rFonts w:ascii="Times New Roman" w:hAnsi="Times New Roman" w:eastAsia="Times New Roman" w:cs="Times New Roman"/>
                <w:b/>
                <w:i w:val="0"/>
                <w:color w:val="000000"/>
                <w:sz w:val="28"/>
              </w:rPr>
              <w:t>К6</w:t>
            </w:r>
          </w:p>
        </w:tc>
        <w:tc>
          <w:tcPr>
            <w:tcW w:w="850" w:type="dxa"/>
            <w:vAlign w:val="center"/>
          </w:tcPr>
          <w:p w14:paraId="7E8D3B49">
            <w:pPr>
              <w:spacing w:before="0" w:after="0" w:line="360" w:lineRule="auto"/>
              <w:jc w:val="center"/>
            </w:pPr>
            <w:r>
              <w:rPr>
                <w:rFonts w:ascii="Times New Roman" w:hAnsi="Times New Roman" w:eastAsia="Times New Roman" w:cs="Times New Roman"/>
                <w:b/>
                <w:i w:val="0"/>
                <w:color w:val="000000"/>
                <w:sz w:val="28"/>
              </w:rPr>
              <w:t>Итог</w:t>
            </w:r>
          </w:p>
        </w:tc>
        <w:tc>
          <w:tcPr>
            <w:tcW w:w="2268" w:type="dxa"/>
            <w:vAlign w:val="center"/>
          </w:tcPr>
          <w:p w14:paraId="346DDB4A">
            <w:pPr>
              <w:spacing w:before="0" w:after="0" w:line="360" w:lineRule="auto"/>
              <w:jc w:val="center"/>
            </w:pPr>
            <w:r>
              <w:rPr>
                <w:rFonts w:ascii="Times New Roman" w:hAnsi="Times New Roman" w:eastAsia="Times New Roman" w:cs="Times New Roman"/>
                <w:b/>
                <w:i w:val="0"/>
                <w:color w:val="000000"/>
                <w:sz w:val="28"/>
              </w:rPr>
              <w:t>В MVP</w:t>
            </w:r>
          </w:p>
        </w:tc>
      </w:tr>
      <w:tr w14:paraId="35A0033C">
        <w:tc>
          <w:tcPr>
            <w:tcW w:w="2551" w:type="dxa"/>
            <w:vAlign w:val="top"/>
          </w:tcPr>
          <w:p w14:paraId="606CEBE0">
            <w:pPr>
              <w:spacing w:before="0" w:after="0" w:line="360" w:lineRule="auto"/>
              <w:jc w:val="left"/>
            </w:pPr>
            <w:r>
              <w:rPr>
                <w:rFonts w:ascii="Times New Roman" w:hAnsi="Times New Roman" w:eastAsia="Times New Roman" w:cs="Times New Roman"/>
                <w:b w:val="0"/>
                <w:i w:val="0"/>
                <w:color w:val="000000"/>
                <w:sz w:val="28"/>
              </w:rPr>
              <w:t>Онлайн-запись (приложение и сайт)</w:t>
            </w:r>
          </w:p>
        </w:tc>
        <w:tc>
          <w:tcPr>
            <w:tcW w:w="567" w:type="dxa"/>
            <w:vAlign w:val="top"/>
          </w:tcPr>
          <w:p w14:paraId="273B1A6A">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6D41C724">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1BF04E51">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42CA8112">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1030B9ED">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2A077026">
            <w:pPr>
              <w:spacing w:before="0" w:after="0" w:line="360" w:lineRule="auto"/>
              <w:jc w:val="left"/>
            </w:pPr>
            <w:r>
              <w:rPr>
                <w:rFonts w:ascii="Times New Roman" w:hAnsi="Times New Roman" w:eastAsia="Times New Roman" w:cs="Times New Roman"/>
                <w:b w:val="0"/>
                <w:i w:val="0"/>
                <w:color w:val="000000"/>
                <w:sz w:val="28"/>
              </w:rPr>
              <w:t>5</w:t>
            </w:r>
          </w:p>
        </w:tc>
        <w:tc>
          <w:tcPr>
            <w:tcW w:w="850" w:type="dxa"/>
            <w:vAlign w:val="top"/>
          </w:tcPr>
          <w:p w14:paraId="4ABFBC07">
            <w:pPr>
              <w:spacing w:before="0" w:after="0" w:line="360" w:lineRule="auto"/>
              <w:jc w:val="left"/>
            </w:pPr>
            <w:r>
              <w:rPr>
                <w:rFonts w:ascii="Times New Roman" w:hAnsi="Times New Roman" w:eastAsia="Times New Roman" w:cs="Times New Roman"/>
                <w:b w:val="0"/>
                <w:i w:val="0"/>
                <w:color w:val="000000"/>
                <w:sz w:val="28"/>
              </w:rPr>
              <w:t>4,85</w:t>
            </w:r>
          </w:p>
        </w:tc>
        <w:tc>
          <w:tcPr>
            <w:tcW w:w="2268" w:type="dxa"/>
            <w:vAlign w:val="top"/>
          </w:tcPr>
          <w:p w14:paraId="5F94F088">
            <w:pPr>
              <w:spacing w:before="0" w:after="0" w:line="360" w:lineRule="auto"/>
              <w:jc w:val="left"/>
            </w:pPr>
            <w:r>
              <w:rPr>
                <w:rFonts w:ascii="Times New Roman" w:hAnsi="Times New Roman" w:eastAsia="Times New Roman" w:cs="Times New Roman"/>
                <w:b w:val="0"/>
                <w:i w:val="0"/>
                <w:color w:val="000000"/>
                <w:sz w:val="28"/>
              </w:rPr>
              <w:t>Да</w:t>
            </w:r>
          </w:p>
        </w:tc>
      </w:tr>
      <w:tr w14:paraId="7393AB66">
        <w:tc>
          <w:tcPr>
            <w:tcW w:w="2551" w:type="dxa"/>
            <w:vAlign w:val="top"/>
          </w:tcPr>
          <w:p w14:paraId="159E5833">
            <w:pPr>
              <w:spacing w:before="0" w:after="0" w:line="360" w:lineRule="auto"/>
              <w:jc w:val="left"/>
            </w:pPr>
            <w:r>
              <w:rPr>
                <w:rFonts w:ascii="Times New Roman" w:hAnsi="Times New Roman" w:eastAsia="Times New Roman" w:cs="Times New Roman"/>
                <w:b w:val="0"/>
                <w:i w:val="0"/>
                <w:color w:val="000000"/>
                <w:sz w:val="28"/>
              </w:rPr>
              <w:t>Напоминания в мессенджерах и SMS</w:t>
            </w:r>
          </w:p>
        </w:tc>
        <w:tc>
          <w:tcPr>
            <w:tcW w:w="567" w:type="dxa"/>
            <w:vAlign w:val="top"/>
          </w:tcPr>
          <w:p w14:paraId="2E2586E2">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13F448DB">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4D221E3B">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5186D3A3">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1663BC64">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3F1FFC0C">
            <w:pPr>
              <w:spacing w:before="0" w:after="0" w:line="360" w:lineRule="auto"/>
              <w:jc w:val="left"/>
            </w:pPr>
            <w:r>
              <w:rPr>
                <w:rFonts w:ascii="Times New Roman" w:hAnsi="Times New Roman" w:eastAsia="Times New Roman" w:cs="Times New Roman"/>
                <w:b w:val="0"/>
                <w:i w:val="0"/>
                <w:color w:val="000000"/>
                <w:sz w:val="28"/>
              </w:rPr>
              <w:t>4</w:t>
            </w:r>
          </w:p>
        </w:tc>
        <w:tc>
          <w:tcPr>
            <w:tcW w:w="850" w:type="dxa"/>
            <w:vAlign w:val="top"/>
          </w:tcPr>
          <w:p w14:paraId="45CE7ED6">
            <w:pPr>
              <w:spacing w:before="0" w:after="0" w:line="360" w:lineRule="auto"/>
              <w:jc w:val="left"/>
            </w:pPr>
            <w:r>
              <w:rPr>
                <w:rFonts w:ascii="Times New Roman" w:hAnsi="Times New Roman" w:eastAsia="Times New Roman" w:cs="Times New Roman"/>
                <w:b w:val="0"/>
                <w:i w:val="0"/>
                <w:color w:val="000000"/>
                <w:sz w:val="28"/>
              </w:rPr>
              <w:t>4,75</w:t>
            </w:r>
          </w:p>
        </w:tc>
        <w:tc>
          <w:tcPr>
            <w:tcW w:w="2268" w:type="dxa"/>
            <w:vAlign w:val="top"/>
          </w:tcPr>
          <w:p w14:paraId="413ED657">
            <w:pPr>
              <w:spacing w:before="0" w:after="0" w:line="360" w:lineRule="auto"/>
              <w:jc w:val="left"/>
            </w:pPr>
            <w:r>
              <w:rPr>
                <w:rFonts w:ascii="Times New Roman" w:hAnsi="Times New Roman" w:eastAsia="Times New Roman" w:cs="Times New Roman"/>
                <w:b w:val="0"/>
                <w:i w:val="0"/>
                <w:color w:val="000000"/>
                <w:sz w:val="28"/>
              </w:rPr>
              <w:t>Да</w:t>
            </w:r>
          </w:p>
        </w:tc>
      </w:tr>
      <w:tr w14:paraId="535D748A">
        <w:tc>
          <w:tcPr>
            <w:tcW w:w="2551" w:type="dxa"/>
            <w:vAlign w:val="top"/>
          </w:tcPr>
          <w:p w14:paraId="051EB778">
            <w:pPr>
              <w:spacing w:before="0" w:after="0" w:line="360" w:lineRule="auto"/>
              <w:jc w:val="left"/>
            </w:pPr>
            <w:r>
              <w:rPr>
                <w:rFonts w:ascii="Times New Roman" w:hAnsi="Times New Roman" w:eastAsia="Times New Roman" w:cs="Times New Roman"/>
                <w:b w:val="0"/>
                <w:i w:val="0"/>
                <w:color w:val="000000"/>
                <w:sz w:val="28"/>
              </w:rPr>
              <w:t>Единый цифровой профиль пациента</w:t>
            </w:r>
          </w:p>
        </w:tc>
        <w:tc>
          <w:tcPr>
            <w:tcW w:w="567" w:type="dxa"/>
            <w:vAlign w:val="top"/>
          </w:tcPr>
          <w:p w14:paraId="39E625E6">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09426336">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4B2C269F">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2ECE0798">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14CA81BC">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2FC0EC4B">
            <w:pPr>
              <w:spacing w:before="0" w:after="0" w:line="360" w:lineRule="auto"/>
              <w:jc w:val="left"/>
            </w:pPr>
            <w:r>
              <w:rPr>
                <w:rFonts w:ascii="Times New Roman" w:hAnsi="Times New Roman" w:eastAsia="Times New Roman" w:cs="Times New Roman"/>
                <w:b w:val="0"/>
                <w:i w:val="0"/>
                <w:color w:val="000000"/>
                <w:sz w:val="28"/>
              </w:rPr>
              <w:t>5</w:t>
            </w:r>
          </w:p>
        </w:tc>
        <w:tc>
          <w:tcPr>
            <w:tcW w:w="850" w:type="dxa"/>
            <w:vAlign w:val="top"/>
          </w:tcPr>
          <w:p w14:paraId="5E23E496">
            <w:pPr>
              <w:spacing w:before="0" w:after="0" w:line="360" w:lineRule="auto"/>
              <w:jc w:val="left"/>
            </w:pPr>
            <w:r>
              <w:rPr>
                <w:rFonts w:ascii="Times New Roman" w:hAnsi="Times New Roman" w:eastAsia="Times New Roman" w:cs="Times New Roman"/>
                <w:b w:val="0"/>
                <w:i w:val="0"/>
                <w:color w:val="000000"/>
                <w:sz w:val="28"/>
              </w:rPr>
              <w:t>4,65</w:t>
            </w:r>
          </w:p>
        </w:tc>
        <w:tc>
          <w:tcPr>
            <w:tcW w:w="2268" w:type="dxa"/>
            <w:vAlign w:val="top"/>
          </w:tcPr>
          <w:p w14:paraId="1AF7BC78">
            <w:pPr>
              <w:spacing w:before="0" w:after="0" w:line="360" w:lineRule="auto"/>
              <w:jc w:val="left"/>
            </w:pPr>
            <w:r>
              <w:rPr>
                <w:rFonts w:ascii="Times New Roman" w:hAnsi="Times New Roman" w:eastAsia="Times New Roman" w:cs="Times New Roman"/>
                <w:b w:val="0"/>
                <w:i w:val="0"/>
                <w:color w:val="000000"/>
                <w:sz w:val="28"/>
              </w:rPr>
              <w:t>Да</w:t>
            </w:r>
          </w:p>
        </w:tc>
      </w:tr>
      <w:tr w14:paraId="03963BD7">
        <w:tc>
          <w:tcPr>
            <w:tcW w:w="2551" w:type="dxa"/>
            <w:vAlign w:val="top"/>
          </w:tcPr>
          <w:p w14:paraId="1571EF72">
            <w:pPr>
              <w:spacing w:before="0" w:after="0" w:line="360" w:lineRule="auto"/>
              <w:jc w:val="left"/>
            </w:pPr>
            <w:r>
              <w:rPr>
                <w:rFonts w:ascii="Times New Roman" w:hAnsi="Times New Roman" w:eastAsia="Times New Roman" w:cs="Times New Roman"/>
                <w:b w:val="0"/>
                <w:i w:val="0"/>
                <w:color w:val="000000"/>
                <w:sz w:val="28"/>
              </w:rPr>
              <w:t>Цифровая заявка на налоговый вычет</w:t>
            </w:r>
          </w:p>
        </w:tc>
        <w:tc>
          <w:tcPr>
            <w:tcW w:w="567" w:type="dxa"/>
            <w:vAlign w:val="top"/>
          </w:tcPr>
          <w:p w14:paraId="080B51CE">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551EF57C">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1628B819">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528D3715">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7C664A6D">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0E61A871">
            <w:pPr>
              <w:spacing w:before="0" w:after="0" w:line="360" w:lineRule="auto"/>
              <w:jc w:val="left"/>
            </w:pPr>
            <w:r>
              <w:rPr>
                <w:rFonts w:ascii="Times New Roman" w:hAnsi="Times New Roman" w:eastAsia="Times New Roman" w:cs="Times New Roman"/>
                <w:b w:val="0"/>
                <w:i w:val="0"/>
                <w:color w:val="000000"/>
                <w:sz w:val="28"/>
              </w:rPr>
              <w:t>5</w:t>
            </w:r>
          </w:p>
        </w:tc>
        <w:tc>
          <w:tcPr>
            <w:tcW w:w="850" w:type="dxa"/>
            <w:vAlign w:val="top"/>
          </w:tcPr>
          <w:p w14:paraId="40B4713B">
            <w:pPr>
              <w:spacing w:before="0" w:after="0" w:line="360" w:lineRule="auto"/>
              <w:jc w:val="left"/>
            </w:pPr>
            <w:r>
              <w:rPr>
                <w:rFonts w:ascii="Times New Roman" w:hAnsi="Times New Roman" w:eastAsia="Times New Roman" w:cs="Times New Roman"/>
                <w:b w:val="0"/>
                <w:i w:val="0"/>
                <w:color w:val="000000"/>
                <w:sz w:val="28"/>
              </w:rPr>
              <w:t>4,35</w:t>
            </w:r>
          </w:p>
        </w:tc>
        <w:tc>
          <w:tcPr>
            <w:tcW w:w="2268" w:type="dxa"/>
            <w:vAlign w:val="top"/>
          </w:tcPr>
          <w:p w14:paraId="74DC343A">
            <w:pPr>
              <w:spacing w:before="0" w:after="0" w:line="360" w:lineRule="auto"/>
              <w:jc w:val="left"/>
            </w:pPr>
            <w:r>
              <w:rPr>
                <w:rFonts w:ascii="Times New Roman" w:hAnsi="Times New Roman" w:eastAsia="Times New Roman" w:cs="Times New Roman"/>
                <w:b w:val="0"/>
                <w:i w:val="0"/>
                <w:color w:val="000000"/>
                <w:sz w:val="28"/>
              </w:rPr>
              <w:t>Да</w:t>
            </w:r>
          </w:p>
        </w:tc>
      </w:tr>
      <w:tr w14:paraId="0C34577D">
        <w:tc>
          <w:tcPr>
            <w:tcW w:w="2551" w:type="dxa"/>
            <w:vAlign w:val="top"/>
          </w:tcPr>
          <w:p w14:paraId="5A0E0438">
            <w:pPr>
              <w:spacing w:before="0" w:after="0" w:line="360" w:lineRule="auto"/>
              <w:jc w:val="left"/>
            </w:pPr>
            <w:r>
              <w:rPr>
                <w:rFonts w:ascii="Times New Roman" w:hAnsi="Times New Roman" w:eastAsia="Times New Roman" w:cs="Times New Roman"/>
                <w:b w:val="0"/>
                <w:i w:val="0"/>
                <w:color w:val="000000"/>
                <w:sz w:val="28"/>
              </w:rPr>
              <w:t>Чат-бот для типовых сценариев</w:t>
            </w:r>
          </w:p>
        </w:tc>
        <w:tc>
          <w:tcPr>
            <w:tcW w:w="567" w:type="dxa"/>
            <w:vAlign w:val="top"/>
          </w:tcPr>
          <w:p w14:paraId="47B9530F">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760F668D">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6DC1AB7B">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2A393042">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0DF7F097">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2CDE67D0">
            <w:pPr>
              <w:spacing w:before="0" w:after="0" w:line="360" w:lineRule="auto"/>
              <w:jc w:val="left"/>
            </w:pPr>
            <w:r>
              <w:rPr>
                <w:rFonts w:ascii="Times New Roman" w:hAnsi="Times New Roman" w:eastAsia="Times New Roman" w:cs="Times New Roman"/>
                <w:b w:val="0"/>
                <w:i w:val="0"/>
                <w:color w:val="000000"/>
                <w:sz w:val="28"/>
              </w:rPr>
              <w:t>4</w:t>
            </w:r>
          </w:p>
        </w:tc>
        <w:tc>
          <w:tcPr>
            <w:tcW w:w="850" w:type="dxa"/>
            <w:vAlign w:val="top"/>
          </w:tcPr>
          <w:p w14:paraId="1E55454B">
            <w:pPr>
              <w:spacing w:before="0" w:after="0" w:line="360" w:lineRule="auto"/>
              <w:jc w:val="left"/>
            </w:pPr>
            <w:r>
              <w:rPr>
                <w:rFonts w:ascii="Times New Roman" w:hAnsi="Times New Roman" w:eastAsia="Times New Roman" w:cs="Times New Roman"/>
                <w:b w:val="0"/>
                <w:i w:val="0"/>
                <w:color w:val="000000"/>
                <w:sz w:val="28"/>
              </w:rPr>
              <w:t>3,90</w:t>
            </w:r>
          </w:p>
        </w:tc>
        <w:tc>
          <w:tcPr>
            <w:tcW w:w="2268" w:type="dxa"/>
            <w:vAlign w:val="top"/>
          </w:tcPr>
          <w:p w14:paraId="5EFA1BD0">
            <w:pPr>
              <w:spacing w:before="0" w:after="0" w:line="360" w:lineRule="auto"/>
              <w:jc w:val="left"/>
            </w:pPr>
            <w:r>
              <w:rPr>
                <w:rFonts w:ascii="Times New Roman" w:hAnsi="Times New Roman" w:eastAsia="Times New Roman" w:cs="Times New Roman"/>
                <w:b w:val="0"/>
                <w:i w:val="0"/>
                <w:color w:val="000000"/>
                <w:sz w:val="28"/>
              </w:rPr>
              <w:t>Да (вне MVP — после пилота)</w:t>
            </w:r>
          </w:p>
        </w:tc>
      </w:tr>
      <w:tr w14:paraId="585A47F8">
        <w:tc>
          <w:tcPr>
            <w:tcW w:w="2551" w:type="dxa"/>
            <w:vAlign w:val="top"/>
          </w:tcPr>
          <w:p w14:paraId="3DC3F3FB">
            <w:pPr>
              <w:spacing w:before="0" w:after="0" w:line="360" w:lineRule="auto"/>
              <w:jc w:val="left"/>
            </w:pPr>
            <w:r>
              <w:rPr>
                <w:rFonts w:ascii="Times New Roman" w:hAnsi="Times New Roman" w:eastAsia="Times New Roman" w:cs="Times New Roman"/>
                <w:b w:val="0"/>
                <w:i w:val="0"/>
                <w:color w:val="000000"/>
                <w:sz w:val="28"/>
              </w:rPr>
              <w:t>Омниканальная CRM-сегментация</w:t>
            </w:r>
          </w:p>
        </w:tc>
        <w:tc>
          <w:tcPr>
            <w:tcW w:w="567" w:type="dxa"/>
            <w:vAlign w:val="top"/>
          </w:tcPr>
          <w:p w14:paraId="7D99FA91">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1B5EAB0C">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1E7082CD">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30A5990B">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19EABEC1">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51A05ADE">
            <w:pPr>
              <w:spacing w:before="0" w:after="0" w:line="360" w:lineRule="auto"/>
              <w:jc w:val="left"/>
            </w:pPr>
            <w:r>
              <w:rPr>
                <w:rFonts w:ascii="Times New Roman" w:hAnsi="Times New Roman" w:eastAsia="Times New Roman" w:cs="Times New Roman"/>
                <w:b w:val="0"/>
                <w:i w:val="0"/>
                <w:color w:val="000000"/>
                <w:sz w:val="28"/>
              </w:rPr>
              <w:t>5</w:t>
            </w:r>
          </w:p>
        </w:tc>
        <w:tc>
          <w:tcPr>
            <w:tcW w:w="850" w:type="dxa"/>
            <w:vAlign w:val="top"/>
          </w:tcPr>
          <w:p w14:paraId="47D411D5">
            <w:pPr>
              <w:spacing w:before="0" w:after="0" w:line="360" w:lineRule="auto"/>
              <w:jc w:val="left"/>
            </w:pPr>
            <w:r>
              <w:rPr>
                <w:rFonts w:ascii="Times New Roman" w:hAnsi="Times New Roman" w:eastAsia="Times New Roman" w:cs="Times New Roman"/>
                <w:b w:val="0"/>
                <w:i w:val="0"/>
                <w:color w:val="000000"/>
                <w:sz w:val="28"/>
              </w:rPr>
              <w:t>4,05</w:t>
            </w:r>
          </w:p>
        </w:tc>
        <w:tc>
          <w:tcPr>
            <w:tcW w:w="2268" w:type="dxa"/>
            <w:vAlign w:val="top"/>
          </w:tcPr>
          <w:p w14:paraId="7D25DB26">
            <w:pPr>
              <w:spacing w:before="0" w:after="0" w:line="360" w:lineRule="auto"/>
              <w:jc w:val="left"/>
            </w:pPr>
            <w:r>
              <w:rPr>
                <w:rFonts w:ascii="Times New Roman" w:hAnsi="Times New Roman" w:eastAsia="Times New Roman" w:cs="Times New Roman"/>
                <w:b w:val="0"/>
                <w:i w:val="0"/>
                <w:color w:val="000000"/>
                <w:sz w:val="28"/>
              </w:rPr>
              <w:t>Частично (CRM-ядро в MVP)</w:t>
            </w:r>
          </w:p>
        </w:tc>
      </w:tr>
      <w:tr w14:paraId="035D9103">
        <w:tc>
          <w:tcPr>
            <w:tcW w:w="2551" w:type="dxa"/>
            <w:vAlign w:val="top"/>
          </w:tcPr>
          <w:p w14:paraId="3F84E3CC">
            <w:pPr>
              <w:spacing w:before="0" w:after="0" w:line="360" w:lineRule="auto"/>
              <w:jc w:val="left"/>
            </w:pPr>
            <w:r>
              <w:rPr>
                <w:rFonts w:ascii="Times New Roman" w:hAnsi="Times New Roman" w:eastAsia="Times New Roman" w:cs="Times New Roman"/>
                <w:b w:val="0"/>
                <w:i w:val="0"/>
                <w:color w:val="000000"/>
                <w:sz w:val="28"/>
              </w:rPr>
              <w:t>Собственный ретаргетинг по базе</w:t>
            </w:r>
          </w:p>
        </w:tc>
        <w:tc>
          <w:tcPr>
            <w:tcW w:w="567" w:type="dxa"/>
            <w:vAlign w:val="top"/>
          </w:tcPr>
          <w:p w14:paraId="2A58F3AB">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3A78CEB0">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2D8D6D7A">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41E0F3FA">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2057C133">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022EAC08">
            <w:pPr>
              <w:spacing w:before="0" w:after="0" w:line="360" w:lineRule="auto"/>
              <w:jc w:val="left"/>
            </w:pPr>
            <w:r>
              <w:rPr>
                <w:rFonts w:ascii="Times New Roman" w:hAnsi="Times New Roman" w:eastAsia="Times New Roman" w:cs="Times New Roman"/>
                <w:b w:val="0"/>
                <w:i w:val="0"/>
                <w:color w:val="000000"/>
                <w:sz w:val="28"/>
              </w:rPr>
              <w:t>5</w:t>
            </w:r>
          </w:p>
        </w:tc>
        <w:tc>
          <w:tcPr>
            <w:tcW w:w="850" w:type="dxa"/>
            <w:vAlign w:val="top"/>
          </w:tcPr>
          <w:p w14:paraId="70931E5F">
            <w:pPr>
              <w:spacing w:before="0" w:after="0" w:line="360" w:lineRule="auto"/>
              <w:jc w:val="left"/>
            </w:pPr>
            <w:r>
              <w:rPr>
                <w:rFonts w:ascii="Times New Roman" w:hAnsi="Times New Roman" w:eastAsia="Times New Roman" w:cs="Times New Roman"/>
                <w:b w:val="0"/>
                <w:i w:val="0"/>
                <w:color w:val="000000"/>
                <w:sz w:val="28"/>
              </w:rPr>
              <w:t>3,90</w:t>
            </w:r>
          </w:p>
        </w:tc>
        <w:tc>
          <w:tcPr>
            <w:tcW w:w="2268" w:type="dxa"/>
            <w:vAlign w:val="top"/>
          </w:tcPr>
          <w:p w14:paraId="5643D7CE">
            <w:pPr>
              <w:spacing w:before="0" w:after="0" w:line="360" w:lineRule="auto"/>
              <w:jc w:val="left"/>
            </w:pPr>
            <w:r>
              <w:rPr>
                <w:rFonts w:ascii="Times New Roman" w:hAnsi="Times New Roman" w:eastAsia="Times New Roman" w:cs="Times New Roman"/>
                <w:b w:val="0"/>
                <w:i w:val="0"/>
                <w:color w:val="000000"/>
                <w:sz w:val="28"/>
              </w:rPr>
              <w:t>Частично (после пилота)</w:t>
            </w:r>
          </w:p>
        </w:tc>
      </w:tr>
      <w:tr w14:paraId="4F5DD7CD">
        <w:tc>
          <w:tcPr>
            <w:tcW w:w="2551" w:type="dxa"/>
            <w:vAlign w:val="top"/>
          </w:tcPr>
          <w:p w14:paraId="41583EB7">
            <w:pPr>
              <w:spacing w:before="0" w:after="0" w:line="360" w:lineRule="auto"/>
              <w:jc w:val="left"/>
            </w:pPr>
            <w:r>
              <w:rPr>
                <w:rFonts w:ascii="Times New Roman" w:hAnsi="Times New Roman" w:eastAsia="Times New Roman" w:cs="Times New Roman"/>
                <w:b w:val="0"/>
                <w:i w:val="0"/>
                <w:color w:val="000000"/>
                <w:sz w:val="28"/>
              </w:rPr>
              <w:t>Телестоматологические консультации</w:t>
            </w:r>
          </w:p>
        </w:tc>
        <w:tc>
          <w:tcPr>
            <w:tcW w:w="567" w:type="dxa"/>
            <w:vAlign w:val="top"/>
          </w:tcPr>
          <w:p w14:paraId="53D23CF3">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3D0B0E07">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1D6D40B3">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4B759E3F">
            <w:pPr>
              <w:spacing w:before="0" w:after="0" w:line="360" w:lineRule="auto"/>
              <w:jc w:val="left"/>
            </w:pPr>
            <w:r>
              <w:rPr>
                <w:rFonts w:ascii="Times New Roman" w:hAnsi="Times New Roman" w:eastAsia="Times New Roman" w:cs="Times New Roman"/>
                <w:b w:val="0"/>
                <w:i w:val="0"/>
                <w:color w:val="000000"/>
                <w:sz w:val="28"/>
              </w:rPr>
              <w:t>2</w:t>
            </w:r>
          </w:p>
        </w:tc>
        <w:tc>
          <w:tcPr>
            <w:tcW w:w="567" w:type="dxa"/>
            <w:vAlign w:val="top"/>
          </w:tcPr>
          <w:p w14:paraId="24CEDBC7">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1E928D05">
            <w:pPr>
              <w:spacing w:before="0" w:after="0" w:line="360" w:lineRule="auto"/>
              <w:jc w:val="left"/>
            </w:pPr>
            <w:r>
              <w:rPr>
                <w:rFonts w:ascii="Times New Roman" w:hAnsi="Times New Roman" w:eastAsia="Times New Roman" w:cs="Times New Roman"/>
                <w:b w:val="0"/>
                <w:i w:val="0"/>
                <w:color w:val="000000"/>
                <w:sz w:val="28"/>
              </w:rPr>
              <w:t>3</w:t>
            </w:r>
          </w:p>
        </w:tc>
        <w:tc>
          <w:tcPr>
            <w:tcW w:w="850" w:type="dxa"/>
            <w:vAlign w:val="top"/>
          </w:tcPr>
          <w:p w14:paraId="2547FCA2">
            <w:pPr>
              <w:spacing w:before="0" w:after="0" w:line="360" w:lineRule="auto"/>
              <w:jc w:val="left"/>
            </w:pPr>
            <w:r>
              <w:rPr>
                <w:rFonts w:ascii="Times New Roman" w:hAnsi="Times New Roman" w:eastAsia="Times New Roman" w:cs="Times New Roman"/>
                <w:b w:val="0"/>
                <w:i w:val="0"/>
                <w:color w:val="000000"/>
                <w:sz w:val="28"/>
              </w:rPr>
              <w:t>3,15</w:t>
            </w:r>
          </w:p>
        </w:tc>
        <w:tc>
          <w:tcPr>
            <w:tcW w:w="2268" w:type="dxa"/>
            <w:vAlign w:val="top"/>
          </w:tcPr>
          <w:p w14:paraId="4A9E2AA7">
            <w:pPr>
              <w:spacing w:before="0" w:after="0" w:line="360" w:lineRule="auto"/>
              <w:jc w:val="left"/>
            </w:pPr>
            <w:r>
              <w:rPr>
                <w:rFonts w:ascii="Times New Roman" w:hAnsi="Times New Roman" w:eastAsia="Times New Roman" w:cs="Times New Roman"/>
                <w:b w:val="0"/>
                <w:i w:val="0"/>
                <w:color w:val="000000"/>
                <w:sz w:val="28"/>
              </w:rPr>
              <w:t>Нет (требует расширения лицензии)</w:t>
            </w:r>
          </w:p>
        </w:tc>
      </w:tr>
      <w:tr w14:paraId="2434E7DB">
        <w:tc>
          <w:tcPr>
            <w:tcW w:w="2551" w:type="dxa"/>
            <w:vAlign w:val="top"/>
          </w:tcPr>
          <w:p w14:paraId="4B8212ED">
            <w:pPr>
              <w:spacing w:before="0" w:after="0" w:line="360" w:lineRule="auto"/>
              <w:jc w:val="left"/>
            </w:pPr>
            <w:r>
              <w:rPr>
                <w:rFonts w:ascii="Times New Roman" w:hAnsi="Times New Roman" w:eastAsia="Times New Roman" w:cs="Times New Roman"/>
                <w:b w:val="0"/>
                <w:i w:val="0"/>
                <w:color w:val="000000"/>
                <w:sz w:val="28"/>
              </w:rPr>
              <w:t>AI-аналитика обращений</w:t>
            </w:r>
          </w:p>
        </w:tc>
        <w:tc>
          <w:tcPr>
            <w:tcW w:w="567" w:type="dxa"/>
            <w:vAlign w:val="top"/>
          </w:tcPr>
          <w:p w14:paraId="50AD019D">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685CBDA3">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68FEE0E4">
            <w:pPr>
              <w:spacing w:before="0" w:after="0" w:line="360" w:lineRule="auto"/>
              <w:jc w:val="left"/>
            </w:pPr>
            <w:r>
              <w:rPr>
                <w:rFonts w:ascii="Times New Roman" w:hAnsi="Times New Roman" w:eastAsia="Times New Roman" w:cs="Times New Roman"/>
                <w:b w:val="0"/>
                <w:i w:val="0"/>
                <w:color w:val="000000"/>
                <w:sz w:val="28"/>
              </w:rPr>
              <w:t>4</w:t>
            </w:r>
          </w:p>
        </w:tc>
        <w:tc>
          <w:tcPr>
            <w:tcW w:w="567" w:type="dxa"/>
            <w:vAlign w:val="top"/>
          </w:tcPr>
          <w:p w14:paraId="3070A808">
            <w:pPr>
              <w:spacing w:before="0" w:after="0" w:line="360" w:lineRule="auto"/>
              <w:jc w:val="left"/>
            </w:pPr>
            <w:r>
              <w:rPr>
                <w:rFonts w:ascii="Times New Roman" w:hAnsi="Times New Roman" w:eastAsia="Times New Roman" w:cs="Times New Roman"/>
                <w:b w:val="0"/>
                <w:i w:val="0"/>
                <w:color w:val="000000"/>
                <w:sz w:val="28"/>
              </w:rPr>
              <w:t>2</w:t>
            </w:r>
          </w:p>
        </w:tc>
        <w:tc>
          <w:tcPr>
            <w:tcW w:w="567" w:type="dxa"/>
            <w:vAlign w:val="top"/>
          </w:tcPr>
          <w:p w14:paraId="082D7895">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3F1947B1">
            <w:pPr>
              <w:spacing w:before="0" w:after="0" w:line="360" w:lineRule="auto"/>
              <w:jc w:val="left"/>
            </w:pPr>
            <w:r>
              <w:rPr>
                <w:rFonts w:ascii="Times New Roman" w:hAnsi="Times New Roman" w:eastAsia="Times New Roman" w:cs="Times New Roman"/>
                <w:b w:val="0"/>
                <w:i w:val="0"/>
                <w:color w:val="000000"/>
                <w:sz w:val="28"/>
              </w:rPr>
              <w:t>4</w:t>
            </w:r>
          </w:p>
        </w:tc>
        <w:tc>
          <w:tcPr>
            <w:tcW w:w="850" w:type="dxa"/>
            <w:vAlign w:val="top"/>
          </w:tcPr>
          <w:p w14:paraId="7D8E34F2">
            <w:pPr>
              <w:spacing w:before="0" w:after="0" w:line="360" w:lineRule="auto"/>
              <w:jc w:val="left"/>
            </w:pPr>
            <w:r>
              <w:rPr>
                <w:rFonts w:ascii="Times New Roman" w:hAnsi="Times New Roman" w:eastAsia="Times New Roman" w:cs="Times New Roman"/>
                <w:b w:val="0"/>
                <w:i w:val="0"/>
                <w:color w:val="000000"/>
                <w:sz w:val="28"/>
              </w:rPr>
              <w:t>3,10</w:t>
            </w:r>
          </w:p>
        </w:tc>
        <w:tc>
          <w:tcPr>
            <w:tcW w:w="2268" w:type="dxa"/>
            <w:vAlign w:val="top"/>
          </w:tcPr>
          <w:p w14:paraId="16D9E431">
            <w:pPr>
              <w:spacing w:before="0" w:after="0" w:line="360" w:lineRule="auto"/>
              <w:jc w:val="left"/>
            </w:pPr>
            <w:r>
              <w:rPr>
                <w:rFonts w:ascii="Times New Roman" w:hAnsi="Times New Roman" w:eastAsia="Times New Roman" w:cs="Times New Roman"/>
                <w:b w:val="0"/>
                <w:i w:val="0"/>
                <w:color w:val="000000"/>
                <w:sz w:val="28"/>
              </w:rPr>
              <w:t>Нет (после набора данных)</w:t>
            </w:r>
          </w:p>
        </w:tc>
      </w:tr>
      <w:tr w14:paraId="1AC3DD3B">
        <w:tc>
          <w:tcPr>
            <w:tcW w:w="2551" w:type="dxa"/>
            <w:vAlign w:val="top"/>
          </w:tcPr>
          <w:p w14:paraId="242A9FC8">
            <w:pPr>
              <w:spacing w:before="0" w:after="0" w:line="360" w:lineRule="auto"/>
              <w:jc w:val="left"/>
            </w:pPr>
            <w:r>
              <w:rPr>
                <w:rFonts w:ascii="Times New Roman" w:hAnsi="Times New Roman" w:eastAsia="Times New Roman" w:cs="Times New Roman"/>
                <w:b w:val="0"/>
                <w:i w:val="0"/>
                <w:color w:val="000000"/>
                <w:sz w:val="28"/>
              </w:rPr>
              <w:t>Цифровая программа лояльности</w:t>
            </w:r>
          </w:p>
        </w:tc>
        <w:tc>
          <w:tcPr>
            <w:tcW w:w="567" w:type="dxa"/>
            <w:vAlign w:val="top"/>
          </w:tcPr>
          <w:p w14:paraId="4D0B1E3E">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2AECC4E3">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55601E15">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254F93F9">
            <w:pPr>
              <w:spacing w:before="0" w:after="0" w:line="360" w:lineRule="auto"/>
              <w:jc w:val="left"/>
            </w:pPr>
            <w:r>
              <w:rPr>
                <w:rFonts w:ascii="Times New Roman" w:hAnsi="Times New Roman" w:eastAsia="Times New Roman" w:cs="Times New Roman"/>
                <w:b w:val="0"/>
                <w:i w:val="0"/>
                <w:color w:val="000000"/>
                <w:sz w:val="28"/>
              </w:rPr>
              <w:t>3</w:t>
            </w:r>
          </w:p>
        </w:tc>
        <w:tc>
          <w:tcPr>
            <w:tcW w:w="567" w:type="dxa"/>
            <w:vAlign w:val="top"/>
          </w:tcPr>
          <w:p w14:paraId="20AAA895">
            <w:pPr>
              <w:spacing w:before="0" w:after="0" w:line="360" w:lineRule="auto"/>
              <w:jc w:val="left"/>
            </w:pPr>
            <w:r>
              <w:rPr>
                <w:rFonts w:ascii="Times New Roman" w:hAnsi="Times New Roman" w:eastAsia="Times New Roman" w:cs="Times New Roman"/>
                <w:b w:val="0"/>
                <w:i w:val="0"/>
                <w:color w:val="000000"/>
                <w:sz w:val="28"/>
              </w:rPr>
              <w:t>5</w:t>
            </w:r>
          </w:p>
        </w:tc>
        <w:tc>
          <w:tcPr>
            <w:tcW w:w="567" w:type="dxa"/>
            <w:vAlign w:val="top"/>
          </w:tcPr>
          <w:p w14:paraId="6A01D6B9">
            <w:pPr>
              <w:spacing w:before="0" w:after="0" w:line="360" w:lineRule="auto"/>
              <w:jc w:val="left"/>
            </w:pPr>
            <w:r>
              <w:rPr>
                <w:rFonts w:ascii="Times New Roman" w:hAnsi="Times New Roman" w:eastAsia="Times New Roman" w:cs="Times New Roman"/>
                <w:b w:val="0"/>
                <w:i w:val="0"/>
                <w:color w:val="000000"/>
                <w:sz w:val="28"/>
              </w:rPr>
              <w:t>4</w:t>
            </w:r>
          </w:p>
        </w:tc>
        <w:tc>
          <w:tcPr>
            <w:tcW w:w="850" w:type="dxa"/>
            <w:vAlign w:val="top"/>
          </w:tcPr>
          <w:p w14:paraId="478DCBE7">
            <w:pPr>
              <w:spacing w:before="0" w:after="0" w:line="360" w:lineRule="auto"/>
              <w:jc w:val="left"/>
            </w:pPr>
            <w:r>
              <w:rPr>
                <w:rFonts w:ascii="Times New Roman" w:hAnsi="Times New Roman" w:eastAsia="Times New Roman" w:cs="Times New Roman"/>
                <w:b w:val="0"/>
                <w:i w:val="0"/>
                <w:color w:val="000000"/>
                <w:sz w:val="28"/>
              </w:rPr>
              <w:t>3,60</w:t>
            </w:r>
          </w:p>
        </w:tc>
        <w:tc>
          <w:tcPr>
            <w:tcW w:w="2268" w:type="dxa"/>
            <w:vAlign w:val="top"/>
          </w:tcPr>
          <w:p w14:paraId="7C42B4B8">
            <w:pPr>
              <w:spacing w:before="0" w:after="0" w:line="360" w:lineRule="auto"/>
              <w:jc w:val="left"/>
            </w:pPr>
            <w:r>
              <w:rPr>
                <w:rFonts w:ascii="Times New Roman" w:hAnsi="Times New Roman" w:eastAsia="Times New Roman" w:cs="Times New Roman"/>
                <w:b w:val="0"/>
                <w:i w:val="0"/>
                <w:color w:val="000000"/>
                <w:sz w:val="28"/>
              </w:rPr>
              <w:t>Нет (вторая итерация)</w:t>
            </w:r>
          </w:p>
        </w:tc>
      </w:tr>
    </w:tbl>
    <w:p w14:paraId="718E3240">
      <w:pPr>
        <w:spacing w:before="40" w:after="80" w:line="360" w:lineRule="auto"/>
        <w:jc w:val="both"/>
      </w:pPr>
    </w:p>
    <w:p w14:paraId="7595FA41">
      <w:pPr>
        <w:spacing w:before="0" w:after="0" w:line="360" w:lineRule="auto"/>
        <w:ind w:firstLine="709"/>
        <w:jc w:val="both"/>
      </w:pPr>
      <w:r>
        <w:rPr>
          <w:rFonts w:ascii="Times New Roman" w:hAnsi="Times New Roman" w:eastAsia="Times New Roman" w:cs="Times New Roman"/>
          <w:b w:val="0"/>
          <w:i w:val="0"/>
          <w:color w:val="000000"/>
          <w:sz w:val="28"/>
        </w:rPr>
        <w:t>По итогам оценки в состав MVP включаются четыре инструмента с наивысшими оценками: онлайн-запись через мобильное приложение и сайт, автоматические напоминания и подтверждения в мессенджерах с резервом SMS, единый цифровой профиль пациента с историей визитов и цифровая заявка на налоговый вычет. Они обеспечивают покрытие ключевых проявлений управленческой проблемы и опираются на доказательную базу. Чат-бот, омниканальная CRM-сегментация и собственный ретаргетинг закладываются как расширения после пилотного запуска продолжительностью 2–3 месяца. Телестоматологические консультации и AI-аналитика остаются за пределами MVP: первое требует расширения лицензии и соответствия порядку № 193н, второе — накопления собственного датасета. Состав MVP, обоснованный в этом разделе, детализируется в проектной части работы (глава 3).</w:t>
      </w:r>
    </w:p>
    <w:p w14:paraId="3FFFF347">
      <w:pPr>
        <w:spacing w:before="240" w:after="120" w:line="360" w:lineRule="auto"/>
        <w:jc w:val="center"/>
        <w:rPr>
          <w:rFonts w:ascii="Times New Roman" w:hAnsi="Times New Roman" w:eastAsia="Times New Roman" w:cs="Times New Roman"/>
          <w:b/>
          <w:i w:val="0"/>
          <w:color w:val="000000"/>
          <w:sz w:val="28"/>
        </w:rPr>
      </w:pPr>
    </w:p>
    <w:p w14:paraId="3FED1768">
      <w:pPr>
        <w:spacing w:before="240" w:after="120" w:line="360" w:lineRule="auto"/>
        <w:jc w:val="center"/>
        <w:rPr>
          <w:rFonts w:ascii="Times New Roman" w:hAnsi="Times New Roman" w:eastAsia="Times New Roman" w:cs="Times New Roman"/>
          <w:b/>
          <w:i w:val="0"/>
          <w:color w:val="000000"/>
          <w:sz w:val="28"/>
        </w:rPr>
      </w:pPr>
    </w:p>
    <w:p w14:paraId="116A22C7">
      <w:pPr>
        <w:spacing w:before="240" w:after="120" w:line="360" w:lineRule="auto"/>
        <w:jc w:val="center"/>
        <w:rPr>
          <w:rFonts w:ascii="Times New Roman" w:hAnsi="Times New Roman" w:eastAsia="Times New Roman" w:cs="Times New Roman"/>
          <w:b/>
          <w:i w:val="0"/>
          <w:color w:val="000000"/>
          <w:sz w:val="28"/>
        </w:rPr>
      </w:pPr>
    </w:p>
    <w:p w14:paraId="2D553541">
      <w:pPr>
        <w:spacing w:before="240" w:after="120" w:line="360" w:lineRule="auto"/>
        <w:jc w:val="center"/>
        <w:rPr>
          <w:rFonts w:ascii="Times New Roman" w:hAnsi="Times New Roman" w:eastAsia="Times New Roman" w:cs="Times New Roman"/>
          <w:b/>
          <w:i w:val="0"/>
          <w:color w:val="000000"/>
          <w:sz w:val="28"/>
        </w:rPr>
      </w:pPr>
    </w:p>
    <w:p w14:paraId="7FF449EC">
      <w:pPr>
        <w:spacing w:before="240" w:after="120" w:line="360" w:lineRule="auto"/>
        <w:jc w:val="center"/>
        <w:rPr>
          <w:rFonts w:ascii="Times New Roman" w:hAnsi="Times New Roman" w:eastAsia="Times New Roman" w:cs="Times New Roman"/>
          <w:b/>
          <w:i w:val="0"/>
          <w:color w:val="000000"/>
          <w:sz w:val="28"/>
        </w:rPr>
      </w:pPr>
    </w:p>
    <w:p w14:paraId="70232D8C">
      <w:pPr>
        <w:spacing w:before="240" w:after="120" w:line="360" w:lineRule="auto"/>
        <w:jc w:val="center"/>
        <w:rPr>
          <w:rFonts w:ascii="Times New Roman" w:hAnsi="Times New Roman" w:eastAsia="Times New Roman" w:cs="Times New Roman"/>
          <w:b/>
          <w:i w:val="0"/>
          <w:color w:val="000000"/>
          <w:sz w:val="28"/>
        </w:rPr>
      </w:pPr>
    </w:p>
    <w:p w14:paraId="1E550D83">
      <w:pPr>
        <w:spacing w:before="240" w:after="120" w:line="360" w:lineRule="auto"/>
        <w:jc w:val="center"/>
        <w:rPr>
          <w:rFonts w:ascii="Times New Roman" w:hAnsi="Times New Roman" w:eastAsia="Times New Roman" w:cs="Times New Roman"/>
          <w:b/>
          <w:i w:val="0"/>
          <w:color w:val="000000"/>
          <w:sz w:val="28"/>
        </w:rPr>
      </w:pPr>
    </w:p>
    <w:p w14:paraId="67FF6C78">
      <w:pPr>
        <w:spacing w:before="240" w:after="120" w:line="360" w:lineRule="auto"/>
        <w:jc w:val="center"/>
        <w:rPr>
          <w:rFonts w:ascii="Times New Roman" w:hAnsi="Times New Roman" w:eastAsia="Times New Roman" w:cs="Times New Roman"/>
          <w:b/>
          <w:i w:val="0"/>
          <w:color w:val="000000"/>
          <w:sz w:val="28"/>
        </w:rPr>
      </w:pPr>
    </w:p>
    <w:p w14:paraId="09D1EFCB">
      <w:pPr>
        <w:spacing w:before="240" w:after="120" w:line="360" w:lineRule="auto"/>
        <w:jc w:val="center"/>
        <w:rPr>
          <w:rFonts w:ascii="Times New Roman" w:hAnsi="Times New Roman" w:eastAsia="Times New Roman" w:cs="Times New Roman"/>
          <w:b/>
          <w:i w:val="0"/>
          <w:color w:val="000000"/>
          <w:sz w:val="28"/>
        </w:rPr>
      </w:pPr>
    </w:p>
    <w:p w14:paraId="05269E5A">
      <w:pPr>
        <w:spacing w:before="240" w:after="120" w:line="360" w:lineRule="auto"/>
        <w:jc w:val="center"/>
        <w:rPr>
          <w:rFonts w:ascii="Times New Roman" w:hAnsi="Times New Roman" w:eastAsia="Times New Roman" w:cs="Times New Roman"/>
          <w:b/>
          <w:i w:val="0"/>
          <w:color w:val="000000"/>
          <w:sz w:val="28"/>
        </w:rPr>
      </w:pPr>
    </w:p>
    <w:p w14:paraId="1B8EBDC3">
      <w:pPr>
        <w:spacing w:before="240" w:after="120" w:line="360" w:lineRule="auto"/>
        <w:jc w:val="center"/>
        <w:rPr>
          <w:rFonts w:ascii="Times New Roman" w:hAnsi="Times New Roman" w:eastAsia="Times New Roman" w:cs="Times New Roman"/>
          <w:b/>
          <w:i w:val="0"/>
          <w:color w:val="000000"/>
          <w:sz w:val="28"/>
        </w:rPr>
      </w:pPr>
    </w:p>
    <w:p w14:paraId="3FE0780E">
      <w:pPr>
        <w:spacing w:before="240" w:after="120" w:line="360" w:lineRule="auto"/>
        <w:jc w:val="center"/>
        <w:rPr>
          <w:rFonts w:ascii="Times New Roman" w:hAnsi="Times New Roman" w:eastAsia="Times New Roman" w:cs="Times New Roman"/>
          <w:b/>
          <w:i w:val="0"/>
          <w:color w:val="000000"/>
          <w:sz w:val="28"/>
        </w:rPr>
      </w:pPr>
    </w:p>
    <w:p w14:paraId="74D3E4D2">
      <w:pPr>
        <w:spacing w:before="240" w:after="120" w:line="360" w:lineRule="auto"/>
        <w:jc w:val="center"/>
        <w:rPr>
          <w:rFonts w:ascii="Times New Roman" w:hAnsi="Times New Roman" w:eastAsia="Times New Roman" w:cs="Times New Roman"/>
          <w:b/>
          <w:i w:val="0"/>
          <w:color w:val="000000"/>
          <w:sz w:val="28"/>
        </w:rPr>
      </w:pPr>
    </w:p>
    <w:p w14:paraId="35E914FB">
      <w:pPr>
        <w:spacing w:before="240" w:after="120" w:line="360" w:lineRule="auto"/>
        <w:jc w:val="center"/>
        <w:rPr>
          <w:rFonts w:ascii="Times New Roman" w:hAnsi="Times New Roman" w:eastAsia="Times New Roman" w:cs="Times New Roman"/>
          <w:b/>
          <w:i w:val="0"/>
          <w:color w:val="000000"/>
          <w:sz w:val="28"/>
        </w:rPr>
      </w:pPr>
    </w:p>
    <w:p w14:paraId="353EBE27">
      <w:pPr>
        <w:spacing w:before="240" w:after="120" w:line="360" w:lineRule="auto"/>
        <w:jc w:val="center"/>
        <w:rPr>
          <w:rFonts w:ascii="Times New Roman" w:hAnsi="Times New Roman" w:eastAsia="Times New Roman" w:cs="Times New Roman"/>
          <w:b/>
          <w:i w:val="0"/>
          <w:color w:val="000000"/>
          <w:sz w:val="28"/>
        </w:rPr>
      </w:pPr>
    </w:p>
    <w:p w14:paraId="03C8B552">
      <w:pPr>
        <w:spacing w:before="240" w:after="120" w:line="360" w:lineRule="auto"/>
        <w:jc w:val="center"/>
        <w:rPr>
          <w:rFonts w:ascii="Times New Roman" w:hAnsi="Times New Roman" w:eastAsia="Times New Roman" w:cs="Times New Roman"/>
          <w:b/>
          <w:i w:val="0"/>
          <w:color w:val="000000"/>
          <w:sz w:val="28"/>
        </w:rPr>
      </w:pPr>
    </w:p>
    <w:p w14:paraId="4927F6D7">
      <w:pPr>
        <w:spacing w:before="240" w:after="120" w:line="360" w:lineRule="auto"/>
        <w:jc w:val="center"/>
      </w:pPr>
      <w:bookmarkStart w:id="0" w:name="_GoBack"/>
      <w:bookmarkEnd w:id="0"/>
      <w:r>
        <w:rPr>
          <w:rFonts w:ascii="Times New Roman" w:hAnsi="Times New Roman" w:eastAsia="Times New Roman" w:cs="Times New Roman"/>
          <w:b/>
          <w:i w:val="0"/>
          <w:color w:val="000000"/>
          <w:sz w:val="28"/>
        </w:rPr>
        <w:t>ЗАКЛЮЧЕНИЕ</w:t>
      </w:r>
    </w:p>
    <w:p w14:paraId="1CECEA97">
      <w:pPr>
        <w:spacing w:before="0" w:after="0" w:line="360" w:lineRule="auto"/>
        <w:ind w:firstLine="709"/>
        <w:jc w:val="both"/>
      </w:pPr>
      <w:r>
        <w:rPr>
          <w:rFonts w:ascii="Times New Roman" w:hAnsi="Times New Roman" w:eastAsia="Times New Roman" w:cs="Times New Roman"/>
          <w:b w:val="0"/>
          <w:i w:val="0"/>
          <w:color w:val="000000"/>
          <w:sz w:val="28"/>
        </w:rPr>
        <w:t>Настоящая работа посвящена обоснованию и проектированию состава цифровых инструментов для стоматологической сети клиник с разработкой мобильного приложения уровня MVP. По итогам исследования получены результаты, отвечающие поставленным во введении задачам.</w:t>
      </w:r>
    </w:p>
    <w:p w14:paraId="3ECF17BF">
      <w:pPr>
        <w:spacing w:before="0" w:after="0" w:line="360" w:lineRule="auto"/>
        <w:ind w:firstLine="709"/>
        <w:jc w:val="both"/>
      </w:pPr>
      <w:r>
        <w:rPr>
          <w:rFonts w:ascii="Times New Roman" w:hAnsi="Times New Roman" w:eastAsia="Times New Roman" w:cs="Times New Roman"/>
          <w:b w:val="0"/>
          <w:i w:val="0"/>
          <w:color w:val="000000"/>
          <w:sz w:val="28"/>
        </w:rPr>
        <w:t>Первая задача потребовала анализа понятия и инструментария цифрового маркетинга. Установлено, что цифровой маркетинг шире интернет-маркетинга и охватывает каналы, не требующие выхода в интернет (мобильные устройства, цифровое телевидение, цифровые билборды). Выделены ключевые инструменты — социальные медиа, контент-маркетинг, реклама во всех её разновидностях, корпоративный сайт, мобильные приложения, мессенджеры, аналитические системы. Систематизированы рыночные тенденции 2024–2025 годов: внедрение искусственного интеллекта, оптимизация под генеративные поисковые движки, сокращение воронки продаж, омниканальный путь клиента, перевод коммуникаций в мессенджеры. Применительно к стоматологии выделены критерии выбора клиники пациентом и барьеры посещения, включая структурные и поведенческие.</w:t>
      </w:r>
    </w:p>
    <w:p w14:paraId="5425C9F4">
      <w:pPr>
        <w:spacing w:before="0" w:after="0" w:line="360" w:lineRule="auto"/>
        <w:ind w:firstLine="709"/>
        <w:jc w:val="both"/>
      </w:pPr>
      <w:r>
        <w:rPr>
          <w:rFonts w:ascii="Times New Roman" w:hAnsi="Times New Roman" w:eastAsia="Times New Roman" w:cs="Times New Roman"/>
          <w:b w:val="0"/>
          <w:i w:val="0"/>
          <w:color w:val="000000"/>
          <w:sz w:val="28"/>
        </w:rPr>
        <w:t>Изучение международного и российского опыта вынесено в новый раздел 1.4 первой главы. Рассмотрены пилот NHS 111 по прямой записи на срочные стоматологические приёмы, программа DentaQuest по SMS-стимулированию утилизации страхового покрытия, архитектура DSO-сетей в США (Henry Schein One и DentalMonitoring), результаты опроса ADA по телестоматологии и подходы к омниканальным коммуникациям. Российский опыт систематизирован по четырём линиям: МИС с пациентским контуром, агрегаторы записи, собственные приложения сетей, мессенджер-коммуникации. Установлено, что устойчивый эффект достигается при сочетании пациентского цифрового контура, интегрированного с системой управления практикой, и омниканальной коммуникации с собственной идентификацией.</w:t>
      </w:r>
    </w:p>
    <w:p w14:paraId="71C1B32D">
      <w:pPr>
        <w:spacing w:before="0" w:after="0" w:line="360" w:lineRule="auto"/>
        <w:ind w:firstLine="709"/>
        <w:jc w:val="both"/>
      </w:pPr>
      <w:r>
        <w:rPr>
          <w:rFonts w:ascii="Times New Roman" w:hAnsi="Times New Roman" w:eastAsia="Times New Roman" w:cs="Times New Roman"/>
          <w:b w:val="0"/>
          <w:i w:val="0"/>
          <w:color w:val="000000"/>
          <w:sz w:val="28"/>
        </w:rPr>
        <w:t>Систематизация нормативных изменений 2025–2026 годов представлена в подразделе 1.4.4. Сводная карта изменений охватывает Федеральные законы № 152-ФЗ (в редакции ФЗ № 121-ФЗ), № 23-ФЗ, № 38-ФЗ (с учётом ФЗ № 72-ФЗ), № 323-ФЗ, постановление Правительства № 1119, приказы Минздрава России № 193н, № 4н и № 686н, приказ ФСТЭК № 21. Установлено, что нормативная среда последовательно вынуждает клиники развивать собственные цифровые контуры: согласия оформляются отдельным документом, базы должны размещаться на территории Российской Федерации, ретаргетинг через внешние пиксели становится юридически рискованным.</w:t>
      </w:r>
    </w:p>
    <w:p w14:paraId="5521714A">
      <w:pPr>
        <w:spacing w:before="0" w:after="0" w:line="360" w:lineRule="auto"/>
        <w:ind w:firstLine="709"/>
        <w:jc w:val="both"/>
      </w:pPr>
      <w:r>
        <w:rPr>
          <w:rFonts w:ascii="Times New Roman" w:hAnsi="Times New Roman" w:eastAsia="Times New Roman" w:cs="Times New Roman"/>
          <w:b w:val="0"/>
          <w:i w:val="0"/>
          <w:color w:val="000000"/>
          <w:sz w:val="28"/>
        </w:rPr>
        <w:t>Обоснование выбора цифровых инструментов и критериев отбора выполнено в разделе 2 настоящего документа. Каждой рыночной тенденции из таблицы 2 первой главы поставлена в соответствие конкретная проблема клиники; сформулировано шесть критериев отбора с весами (покрытие проблем, эмпирическая обоснованность, соответствие нормативной базе, реализуемость в MVP, влияние на LTV, управляемость данными). По итогам взвешенной оценки в состав MVP включены онлайн-запись, автоматические напоминания, единый цифровой профиль пациента и цифровая заявка на налоговый вычет; чат-бот, CRM-сегментация и ретаргетинг выделены как расширения после пилота; телестоматология и AI-аналитика — за пределами MVP по нормативным и операционным причинам.</w:t>
      </w:r>
    </w:p>
    <w:p w14:paraId="0D80E3D3">
      <w:pPr>
        <w:spacing w:before="0" w:after="0" w:line="360" w:lineRule="auto"/>
        <w:ind w:firstLine="709"/>
        <w:jc w:val="both"/>
      </w:pPr>
      <w:r>
        <w:rPr>
          <w:rFonts w:ascii="Times New Roman" w:hAnsi="Times New Roman" w:eastAsia="Times New Roman" w:cs="Times New Roman"/>
          <w:b w:val="0"/>
          <w:i w:val="0"/>
          <w:color w:val="000000"/>
          <w:sz w:val="28"/>
        </w:rPr>
        <w:t>Концепт мобильного приложения уровня MVP и оценка прогнозного экономического эффекта представлены в третьей главе. Сформулированы 12 функциональных и 7 нефункциональных требований, описаны три роли пользователей, четыре пользовательские истории и три варианта использования. Спроектирована четырёхслойная архитектура (клиенты, шлюз, доменные сервисы, хранилища) с отдельной фоновой очередью, для каждого слоя обоснован технологический стек. Построена модель данных из шести базовых сущностей с возможностью расширения под план лечения и карту зубов формата FDI. Определены 13 внешних интеграций по четырём направлениям и пять основных нормативных требований; меры информационной безопасности соответствуют уровню защищённости УЗ-3, статус «не медицинское изделие» по 323-ФЗ обоснован документально. Прогнозный расчёт по базовому сценарию показывает чистый годовой эффект 16,3 млн руб. и срок окупаемости 19 месяцев; ключевыми источниками чувствительности выступают LTV и средний чек.</w:t>
      </w:r>
    </w:p>
    <w:p w14:paraId="115586E9">
      <w:pPr>
        <w:spacing w:before="0" w:after="0" w:line="360" w:lineRule="auto"/>
        <w:ind w:firstLine="709"/>
        <w:jc w:val="both"/>
      </w:pPr>
      <w:r>
        <w:rPr>
          <w:rFonts w:ascii="Times New Roman" w:hAnsi="Times New Roman" w:eastAsia="Times New Roman" w:cs="Times New Roman"/>
          <w:b w:val="0"/>
          <w:i w:val="0"/>
          <w:color w:val="000000"/>
          <w:sz w:val="28"/>
        </w:rPr>
        <w:t>Полученные результаты применимы при подготовке проектных решений в стоматологических сетях среднего размера. Дальнейшее развитие темы предполагает валидацию прогнозного расчёта на пилотном запуске продолжительностью 2–3 месяца и расширение продукта функцией удалённой консультации в соответствии с порядком № 193н после обновления медицинской лицензии и записи в Федеральном реестре медицинских организаций.</w:t>
      </w:r>
    </w:p>
    <w:p w14:paraId="1AFAEBD5">
      <w:pPr>
        <w:spacing w:before="240" w:after="120" w:line="360" w:lineRule="auto"/>
        <w:jc w:val="center"/>
        <w:rPr>
          <w:rFonts w:ascii="Times New Roman" w:hAnsi="Times New Roman" w:eastAsia="Times New Roman" w:cs="Times New Roman"/>
          <w:b/>
          <w:i w:val="0"/>
          <w:color w:val="000000"/>
          <w:sz w:val="28"/>
        </w:rPr>
      </w:pPr>
    </w:p>
    <w:p w14:paraId="40807211">
      <w:pPr>
        <w:spacing w:before="240" w:after="120" w:line="360" w:lineRule="auto"/>
        <w:jc w:val="center"/>
        <w:rPr>
          <w:rFonts w:ascii="Times New Roman" w:hAnsi="Times New Roman" w:eastAsia="Times New Roman" w:cs="Times New Roman"/>
          <w:b/>
          <w:i w:val="0"/>
          <w:color w:val="000000"/>
          <w:sz w:val="28"/>
        </w:rPr>
      </w:pPr>
    </w:p>
    <w:p w14:paraId="2EDC8670">
      <w:pPr>
        <w:spacing w:before="240" w:after="120" w:line="360" w:lineRule="auto"/>
        <w:jc w:val="center"/>
        <w:rPr>
          <w:rFonts w:ascii="Times New Roman" w:hAnsi="Times New Roman" w:eastAsia="Times New Roman" w:cs="Times New Roman"/>
          <w:b/>
          <w:i w:val="0"/>
          <w:color w:val="000000"/>
          <w:sz w:val="28"/>
        </w:rPr>
      </w:pPr>
    </w:p>
    <w:p w14:paraId="6A41BA12">
      <w:pPr>
        <w:spacing w:before="240" w:after="120" w:line="360" w:lineRule="auto"/>
        <w:jc w:val="center"/>
        <w:rPr>
          <w:rFonts w:ascii="Times New Roman" w:hAnsi="Times New Roman" w:eastAsia="Times New Roman" w:cs="Times New Roman"/>
          <w:b/>
          <w:i w:val="0"/>
          <w:color w:val="000000"/>
          <w:sz w:val="28"/>
        </w:rPr>
      </w:pPr>
    </w:p>
    <w:p w14:paraId="48FF4145">
      <w:pPr>
        <w:spacing w:before="240" w:after="120" w:line="360" w:lineRule="auto"/>
        <w:jc w:val="center"/>
        <w:rPr>
          <w:rFonts w:ascii="Times New Roman" w:hAnsi="Times New Roman" w:eastAsia="Times New Roman" w:cs="Times New Roman"/>
          <w:b/>
          <w:i w:val="0"/>
          <w:color w:val="000000"/>
          <w:sz w:val="28"/>
        </w:rPr>
      </w:pPr>
    </w:p>
    <w:p w14:paraId="3D30AC2D">
      <w:pPr>
        <w:spacing w:before="240" w:after="120" w:line="360" w:lineRule="auto"/>
        <w:jc w:val="center"/>
        <w:rPr>
          <w:rFonts w:ascii="Times New Roman" w:hAnsi="Times New Roman" w:eastAsia="Times New Roman" w:cs="Times New Roman"/>
          <w:b/>
          <w:i w:val="0"/>
          <w:color w:val="000000"/>
          <w:sz w:val="28"/>
        </w:rPr>
      </w:pPr>
    </w:p>
    <w:p w14:paraId="5AED1F16">
      <w:pPr>
        <w:spacing w:before="240" w:after="120" w:line="360" w:lineRule="auto"/>
        <w:jc w:val="center"/>
        <w:rPr>
          <w:rFonts w:ascii="Times New Roman" w:hAnsi="Times New Roman" w:eastAsia="Times New Roman" w:cs="Times New Roman"/>
          <w:b/>
          <w:i w:val="0"/>
          <w:color w:val="000000"/>
          <w:sz w:val="28"/>
        </w:rPr>
      </w:pPr>
    </w:p>
    <w:p w14:paraId="10147368">
      <w:pPr>
        <w:spacing w:before="240" w:after="120" w:line="360" w:lineRule="auto"/>
        <w:jc w:val="center"/>
        <w:rPr>
          <w:rFonts w:ascii="Times New Roman" w:hAnsi="Times New Roman" w:eastAsia="Times New Roman" w:cs="Times New Roman"/>
          <w:b/>
          <w:i w:val="0"/>
          <w:color w:val="000000"/>
          <w:sz w:val="28"/>
        </w:rPr>
      </w:pPr>
    </w:p>
    <w:p w14:paraId="5FE6E91F">
      <w:pPr>
        <w:spacing w:before="240" w:after="120" w:line="360" w:lineRule="auto"/>
        <w:jc w:val="center"/>
        <w:rPr>
          <w:rFonts w:ascii="Times New Roman" w:hAnsi="Times New Roman" w:eastAsia="Times New Roman" w:cs="Times New Roman"/>
          <w:b/>
          <w:i w:val="0"/>
          <w:color w:val="000000"/>
          <w:sz w:val="28"/>
        </w:rPr>
      </w:pPr>
    </w:p>
    <w:p w14:paraId="1454B78E">
      <w:pPr>
        <w:spacing w:before="240" w:after="120" w:line="360" w:lineRule="auto"/>
        <w:jc w:val="center"/>
        <w:rPr>
          <w:rFonts w:ascii="Times New Roman" w:hAnsi="Times New Roman" w:eastAsia="Times New Roman" w:cs="Times New Roman"/>
          <w:b/>
          <w:i w:val="0"/>
          <w:color w:val="000000"/>
          <w:sz w:val="28"/>
        </w:rPr>
      </w:pPr>
    </w:p>
    <w:p w14:paraId="7F021B0D">
      <w:pPr>
        <w:spacing w:before="240" w:after="120" w:line="360" w:lineRule="auto"/>
        <w:jc w:val="center"/>
      </w:pPr>
      <w:r>
        <w:rPr>
          <w:rFonts w:ascii="Times New Roman" w:hAnsi="Times New Roman" w:eastAsia="Times New Roman" w:cs="Times New Roman"/>
          <w:b/>
          <w:i w:val="0"/>
          <w:color w:val="000000"/>
          <w:sz w:val="28"/>
        </w:rPr>
        <w:t>СПИСОК ДОПОЛНИТЕЛЬНЫХ ИСТОЧНИКОВ</w:t>
      </w:r>
    </w:p>
    <w:p w14:paraId="68E0E883">
      <w:pPr>
        <w:spacing w:before="0" w:after="0" w:line="360" w:lineRule="auto"/>
        <w:ind w:firstLine="709"/>
        <w:jc w:val="both"/>
      </w:pPr>
      <w:r>
        <w:rPr>
          <w:rFonts w:ascii="Times New Roman" w:hAnsi="Times New Roman" w:eastAsia="Times New Roman" w:cs="Times New Roman"/>
          <w:b w:val="0"/>
          <w:i w:val="0"/>
          <w:color w:val="000000"/>
          <w:sz w:val="28"/>
        </w:rPr>
        <w:t>Перечень содержит источники, добавленные при подготовке аннотации, введения, раздела 1.4 первой главы, обоснования цифровых инструментов и заключения. Нумерация продолжает список глав 1–3 и начинается с № 24.</w:t>
      </w:r>
    </w:p>
    <w:p w14:paraId="49FCFAAE">
      <w:pPr>
        <w:spacing w:before="0" w:after="0" w:line="360" w:lineRule="auto"/>
        <w:jc w:val="both"/>
      </w:pPr>
      <w:r>
        <w:rPr>
          <w:rFonts w:ascii="Times New Roman" w:hAnsi="Times New Roman" w:eastAsia="Times New Roman" w:cs="Times New Roman"/>
          <w:b w:val="0"/>
          <w:i w:val="0"/>
          <w:color w:val="000000"/>
          <w:sz w:val="28"/>
        </w:rPr>
        <w:t>24. Тавберидзе К.Ю. Эффективность цифрового маркетинга в сфере здравоохранения: преимущества и недостатки // Общественное здоровье и здравоохранение. – 2023. – Т. 79, № 4. – DOI: 10.56685/18120555_2023_79_4_49.</w:t>
      </w:r>
    </w:p>
    <w:p w14:paraId="762DD9D7">
      <w:pPr>
        <w:spacing w:before="0" w:after="0" w:line="360" w:lineRule="auto"/>
        <w:jc w:val="both"/>
      </w:pPr>
      <w:r>
        <w:rPr>
          <w:rFonts w:ascii="Times New Roman" w:hAnsi="Times New Roman" w:eastAsia="Times New Roman" w:cs="Times New Roman"/>
          <w:b w:val="0"/>
          <w:i w:val="0"/>
          <w:color w:val="000000"/>
          <w:sz w:val="28"/>
        </w:rPr>
        <w:t>25. Гавриков А.В., Давыдов В.В., Фёдоров М.В. Digital-маркетинг. Главная книга интернет-маркетолога. – Москва : АСТ, 2022. – 480 с.</w:t>
      </w:r>
    </w:p>
    <w:p w14:paraId="40707FE3">
      <w:pPr>
        <w:spacing w:before="0" w:after="0" w:line="360" w:lineRule="auto"/>
        <w:jc w:val="both"/>
      </w:pPr>
      <w:r>
        <w:rPr>
          <w:rFonts w:ascii="Times New Roman" w:hAnsi="Times New Roman" w:eastAsia="Times New Roman" w:cs="Times New Roman"/>
          <w:b w:val="0"/>
          <w:i w:val="0"/>
          <w:color w:val="000000"/>
          <w:sz w:val="28"/>
        </w:rPr>
        <w:t>26. Шевченко Д.А. Цифровой маркетинг / Д.А. Шевченко. – Москва : Директ-Медиа, 2022. – 185 с.</w:t>
      </w:r>
    </w:p>
    <w:p w14:paraId="33010D49">
      <w:pPr>
        <w:spacing w:before="0" w:after="0" w:line="360" w:lineRule="auto"/>
        <w:jc w:val="both"/>
      </w:pPr>
      <w:r>
        <w:rPr>
          <w:rFonts w:ascii="Times New Roman" w:hAnsi="Times New Roman" w:eastAsia="Times New Roman" w:cs="Times New Roman"/>
          <w:b w:val="0"/>
          <w:i w:val="0"/>
          <w:color w:val="000000"/>
          <w:sz w:val="28"/>
        </w:rPr>
        <w:t>27. Манн И. Маркетинг на 100 %: ремикс / И. Манн. – Москва : Манн, Иванов и Фербер, 2022. – 392 с.</w:t>
      </w:r>
    </w:p>
    <w:p w14:paraId="4A685467">
      <w:pPr>
        <w:spacing w:before="0" w:after="0" w:line="360" w:lineRule="auto"/>
        <w:jc w:val="both"/>
      </w:pPr>
      <w:r>
        <w:rPr>
          <w:rFonts w:ascii="Times New Roman" w:hAnsi="Times New Roman" w:eastAsia="Times New Roman" w:cs="Times New Roman"/>
          <w:b w:val="0"/>
          <w:i w:val="0"/>
          <w:color w:val="000000"/>
          <w:sz w:val="28"/>
        </w:rPr>
        <w:t>28. О внесении изменений в Федеральный закон «О персональных данных» и отдельные законодательные акты Российской Федерации : Федер. закон от 23.05.2025 № 121-ФЗ. – Текст : электронный // Официальный интернет-портал правовой информации. – URL: http://pravo.gov.ru (дата обращения: 04.05.2026).</w:t>
      </w:r>
    </w:p>
    <w:p w14:paraId="111CE518">
      <w:pPr>
        <w:spacing w:before="0" w:after="0" w:line="360" w:lineRule="auto"/>
        <w:jc w:val="both"/>
      </w:pPr>
      <w:r>
        <w:rPr>
          <w:rFonts w:ascii="Times New Roman" w:hAnsi="Times New Roman" w:eastAsia="Times New Roman" w:cs="Times New Roman"/>
          <w:b w:val="0"/>
          <w:i w:val="0"/>
          <w:color w:val="000000"/>
          <w:sz w:val="28"/>
        </w:rPr>
        <w:t>29. О внесении изменений в отдельные законодательные акты Российской Федерации : Федер. закон от 28.02.2025 № 23-ФЗ. – URL: http://publication.pravo.gov.ru/Document/View/0001202502280001 (дата обращения: 04.05.2026).</w:t>
      </w:r>
    </w:p>
    <w:p w14:paraId="29B1271E">
      <w:pPr>
        <w:spacing w:before="0" w:after="0" w:line="360" w:lineRule="auto"/>
        <w:jc w:val="both"/>
      </w:pPr>
      <w:r>
        <w:rPr>
          <w:rFonts w:ascii="Times New Roman" w:hAnsi="Times New Roman" w:eastAsia="Times New Roman" w:cs="Times New Roman"/>
          <w:b w:val="0"/>
          <w:i w:val="0"/>
          <w:color w:val="000000"/>
          <w:sz w:val="28"/>
        </w:rPr>
        <w:t>30. О персональных данных : Федер. закон от 27.07.2006 № 152-ФЗ : ред. от 24.06.2025. – URL: https://www.consultant.ru/document/cons_doc_LAW_61801/ (дата обращения: 04.05.2026).</w:t>
      </w:r>
    </w:p>
    <w:p w14:paraId="3CF1886E">
      <w:pPr>
        <w:spacing w:before="0" w:after="0" w:line="360" w:lineRule="auto"/>
        <w:jc w:val="both"/>
      </w:pPr>
      <w:r>
        <w:rPr>
          <w:rFonts w:ascii="Times New Roman" w:hAnsi="Times New Roman" w:eastAsia="Times New Roman" w:cs="Times New Roman"/>
          <w:b w:val="0"/>
          <w:i w:val="0"/>
          <w:color w:val="000000"/>
          <w:sz w:val="28"/>
        </w:rPr>
        <w:t>31. Об основах охраны здоровья граждан в Российской Федерации : Федер. закон от 21.11.2011 № 323-ФЗ : ред. от 23.07.2025 (с изм. и доп., вступ. в силу с 01.01.2026). Статья 36.2. Особенности медицинской помощи, оказываемой с применением телемедицинских технологий. – URL: https://www.consultant.ru/document/cons_doc_LAW_121895/ (дата обращения: 04.05.2026).</w:t>
      </w:r>
    </w:p>
    <w:p w14:paraId="230D67B6">
      <w:pPr>
        <w:spacing w:before="0" w:after="0" w:line="360" w:lineRule="auto"/>
        <w:jc w:val="both"/>
      </w:pPr>
      <w:r>
        <w:rPr>
          <w:rFonts w:ascii="Times New Roman" w:hAnsi="Times New Roman" w:eastAsia="Times New Roman" w:cs="Times New Roman"/>
          <w:b w:val="0"/>
          <w:i w:val="0"/>
          <w:color w:val="000000"/>
          <w:sz w:val="28"/>
        </w:rPr>
        <w:t>32. О рекламе : Федер. закон от 13.03.2006 № 38-ФЗ : ред. от 31.07.2025 (с изм. и доп., вступ. в силу с 01.09.2025). Статья 24. – URL: https://www.consultant.ru/document/cons_doc_LAW_58968/ (дата обращения: 04.05.2026).</w:t>
      </w:r>
    </w:p>
    <w:p w14:paraId="7D5D3E16">
      <w:pPr>
        <w:spacing w:before="0" w:after="0" w:line="360" w:lineRule="auto"/>
        <w:jc w:val="both"/>
      </w:pPr>
      <w:r>
        <w:rPr>
          <w:rFonts w:ascii="Times New Roman" w:hAnsi="Times New Roman" w:eastAsia="Times New Roman" w:cs="Times New Roman"/>
          <w:b w:val="0"/>
          <w:i w:val="0"/>
          <w:color w:val="000000"/>
          <w:sz w:val="28"/>
        </w:rPr>
        <w:t>33. Об утверждении Порядка организации и оказания медицинской помощи с применением телемедицинских технологий : приказ Министерства здравоохранения Российской Федерации от 11.04.2025 № 193н : зарегистрирован в Минюсте России 15.05.2025 № 82181. – URL: https://www.consultant.ru/document/cons_doc_LAW_505342/ (дата обращения: 04.05.2026).</w:t>
      </w:r>
    </w:p>
    <w:p w14:paraId="184D3101">
      <w:pPr>
        <w:spacing w:before="0" w:after="0" w:line="360" w:lineRule="auto"/>
        <w:jc w:val="both"/>
      </w:pPr>
      <w:r>
        <w:rPr>
          <w:rFonts w:ascii="Times New Roman" w:hAnsi="Times New Roman" w:eastAsia="Times New Roman" w:cs="Times New Roman"/>
          <w:b w:val="0"/>
          <w:i w:val="0"/>
          <w:color w:val="000000"/>
          <w:sz w:val="28"/>
        </w:rPr>
        <w:t>34. Об утверждении номенклатурной классификации медицинских изделий по видам : приказ Министерства здравоохранения Российской Федерации от 06.06.2012 № 4н. – URL: https://roszdravnadzor.gov.ru/medproducts/registration (дата обращения: 04.05.2026).</w:t>
      </w:r>
    </w:p>
    <w:p w14:paraId="626DC5F6">
      <w:pPr>
        <w:spacing w:before="0" w:after="0" w:line="360" w:lineRule="auto"/>
        <w:jc w:val="both"/>
      </w:pPr>
      <w:r>
        <w:rPr>
          <w:rFonts w:ascii="Times New Roman" w:hAnsi="Times New Roman" w:eastAsia="Times New Roman" w:cs="Times New Roman"/>
          <w:b w:val="0"/>
          <w:i w:val="0"/>
          <w:color w:val="000000"/>
          <w:sz w:val="28"/>
        </w:rPr>
        <w:t>35. О внесении изменений в номенклатурную классификацию медицинских изделий по видам в части программного обеспечения : приказ Министерства здравоохранения Российской Федерации от 07.07.2020 № 686н. – URL: https://roszdravnadzor.gov.ru/medproducts/registration (дата обращения: 04.05.2026).</w:t>
      </w:r>
    </w:p>
    <w:p w14:paraId="57CE97F8">
      <w:pPr>
        <w:spacing w:before="0" w:after="0" w:line="360" w:lineRule="auto"/>
        <w:jc w:val="both"/>
      </w:pPr>
      <w:r>
        <w:rPr>
          <w:rFonts w:ascii="Times New Roman" w:hAnsi="Times New Roman" w:eastAsia="Times New Roman" w:cs="Times New Roman"/>
          <w:b w:val="0"/>
          <w:i w:val="0"/>
          <w:color w:val="000000"/>
          <w:sz w:val="28"/>
        </w:rPr>
        <w:t>36. Boksmati N., Butler-Henderson K., Anderson K., Sahama T. The Effectiveness of SMS Reminders on Appointment Attendance: a Meta-Analysis // Journal of Medical Systems. – 2016. – Vol. 40. – Article 90. – DOI: 10.1007/s10916-016-0452-2.</w:t>
      </w:r>
    </w:p>
    <w:p w14:paraId="6D68A781">
      <w:pPr>
        <w:spacing w:before="0" w:after="0" w:line="360" w:lineRule="auto"/>
        <w:jc w:val="both"/>
      </w:pPr>
      <w:r>
        <w:rPr>
          <w:rFonts w:ascii="Times New Roman" w:hAnsi="Times New Roman" w:eastAsia="Times New Roman" w:cs="Times New Roman"/>
          <w:b w:val="0"/>
          <w:i w:val="0"/>
          <w:color w:val="000000"/>
          <w:sz w:val="28"/>
        </w:rPr>
        <w:t>37. Stormon N., Sexton C., Chen C., et al. SMS reminders to improve outpatient attendance for public dental services: a retrospective study // Health &amp; Social Care in the Community. – 2022. – Vol. 30, No. 5. – P. e2255–e2263. – DOI: 10.1111/hsc.13663.</w:t>
      </w:r>
    </w:p>
    <w:p w14:paraId="62CA67FC">
      <w:pPr>
        <w:spacing w:before="0" w:after="0" w:line="360" w:lineRule="auto"/>
        <w:jc w:val="both"/>
      </w:pPr>
      <w:r>
        <w:rPr>
          <w:rFonts w:ascii="Times New Roman" w:hAnsi="Times New Roman" w:eastAsia="Times New Roman" w:cs="Times New Roman"/>
          <w:b w:val="0"/>
          <w:i w:val="0"/>
          <w:color w:val="000000"/>
          <w:sz w:val="28"/>
        </w:rPr>
        <w:t>38. McLean S., Booth A., Gee M., et al. Appointment reminder systems are effective but not optimal: results of a systematic review and evidence synthesis employing realist principles // Patient Preference and Adherence. – 2016. – Vol. 10. – P. 479–499.</w:t>
      </w:r>
    </w:p>
    <w:p w14:paraId="1FF57CB1">
      <w:pPr>
        <w:spacing w:before="0" w:after="0" w:line="360" w:lineRule="auto"/>
        <w:jc w:val="both"/>
      </w:pPr>
      <w:r>
        <w:rPr>
          <w:rFonts w:ascii="Times New Roman" w:hAnsi="Times New Roman" w:eastAsia="Times New Roman" w:cs="Times New Roman"/>
          <w:b w:val="0"/>
          <w:i w:val="0"/>
          <w:color w:val="000000"/>
          <w:sz w:val="28"/>
        </w:rPr>
        <w:t>39. Feng S., Li X.L., Wake A.N. Engaging Artificial Intelligence (AI)-based chatbots in digital health: A systematic review // PLOS Digital Health. – 2026. – Vol. 5, No. 2. – Article e0001201. – DOI: 10.1371/journal.pdig.0001201. – URL: https://pmc.ncbi.nlm.nih.gov/articles/PMC12900317/ (дата обращения: 04.05.2026).</w:t>
      </w:r>
    </w:p>
    <w:p w14:paraId="58D498A4">
      <w:pPr>
        <w:spacing w:before="0" w:after="0" w:line="360" w:lineRule="auto"/>
        <w:jc w:val="both"/>
      </w:pPr>
      <w:r>
        <w:rPr>
          <w:rFonts w:ascii="Times New Roman" w:hAnsi="Times New Roman" w:eastAsia="Times New Roman" w:cs="Times New Roman"/>
          <w:b w:val="0"/>
          <w:i w:val="0"/>
          <w:color w:val="000000"/>
          <w:sz w:val="28"/>
        </w:rPr>
        <w:t>40. Ronsivalle V., Santonocito S., Cammarata U. et al. Current Applications of Chatbots Powered by Large Language Models in Oral and Maxillofacial Surgery: A Systematic Review // Dentistry Journal (MDPI). – 2025. – Vol. 13, No. 6. – Article 261. – DOI: 10.3390/dj13060261. – URL: https://www.mdpi.com/2304-6767/13/6/261 (дата обращения: 04.05.2026).</w:t>
      </w:r>
    </w:p>
    <w:p w14:paraId="43ED70AC">
      <w:pPr>
        <w:spacing w:before="0" w:after="0" w:line="360" w:lineRule="auto"/>
        <w:jc w:val="both"/>
      </w:pPr>
      <w:r>
        <w:rPr>
          <w:rFonts w:ascii="Times New Roman" w:hAnsi="Times New Roman" w:eastAsia="Times New Roman" w:cs="Times New Roman"/>
          <w:b w:val="0"/>
          <w:i w:val="0"/>
          <w:color w:val="000000"/>
          <w:sz w:val="28"/>
        </w:rPr>
        <w:t>41. AI-driven evolution in teledentistry: A comprehensive overview of technology and clinical applications // Journal of Dentistry (ScienceDirect). – 2025. – URL: https://www.sciencedirect.com/science/article/pii/S2772559625000033 (дата обращения: 04.05.2026).</w:t>
      </w:r>
    </w:p>
    <w:p w14:paraId="610D02F0">
      <w:pPr>
        <w:spacing w:before="0" w:after="0" w:line="360" w:lineRule="auto"/>
        <w:jc w:val="both"/>
      </w:pPr>
      <w:r>
        <w:rPr>
          <w:rFonts w:ascii="Times New Roman" w:hAnsi="Times New Roman" w:eastAsia="Times New Roman" w:cs="Times New Roman"/>
          <w:b w:val="0"/>
          <w:i w:val="0"/>
          <w:color w:val="000000"/>
          <w:sz w:val="28"/>
        </w:rPr>
        <w:t>42. Howell S.E.I., Kumar P., da Costa J. et al. Teledentistry adoption and applications: An American Dental Association Clinical Evaluators Panel survey // Journal of the American Dental Association. – 2023. – Vol. 154, No. 9. – P. 856–857.e2. – DOI: 10.1016/j.adaj.2023.06.006.</w:t>
      </w:r>
    </w:p>
    <w:p w14:paraId="1B055EA2">
      <w:pPr>
        <w:spacing w:before="0" w:after="0" w:line="360" w:lineRule="auto"/>
        <w:jc w:val="both"/>
      </w:pPr>
      <w:r>
        <w:rPr>
          <w:rFonts w:ascii="Times New Roman" w:hAnsi="Times New Roman" w:eastAsia="Times New Roman" w:cs="Times New Roman"/>
          <w:b w:val="0"/>
          <w:i w:val="0"/>
          <w:color w:val="000000"/>
          <w:sz w:val="28"/>
        </w:rPr>
        <w:t>43. AAPD Oral Health Policies: Teledentistry / American Academy of Pediatric Dentistry. – 2024. – URL: https://www.aapd.org/globalassets/media/policies_guidelines/p_teledentistry.pdf (дата обращения: 04.05.2026).</w:t>
      </w:r>
    </w:p>
    <w:p w14:paraId="4AE4532D">
      <w:pPr>
        <w:spacing w:before="0" w:after="0" w:line="360" w:lineRule="auto"/>
        <w:jc w:val="both"/>
      </w:pPr>
      <w:r>
        <w:rPr>
          <w:rFonts w:ascii="Times New Roman" w:hAnsi="Times New Roman" w:eastAsia="Times New Roman" w:cs="Times New Roman"/>
          <w:b w:val="0"/>
          <w:i w:val="0"/>
          <w:color w:val="000000"/>
          <w:sz w:val="28"/>
        </w:rPr>
        <w:t>44. NHS 111 able to directly book urgent dental appointments for first time in England / NHS Mid and South Essex Integrated Care System. – 2025. – URL: https://www.midandsouthessex.ics.nhs.uk/news/nhs-111-able-to-directly-book-urgent-dental-appointments-for-first-time-in-england/ (дата обращения: 04.05.2026).</w:t>
      </w:r>
    </w:p>
    <w:p w14:paraId="3AF522B5">
      <w:pPr>
        <w:spacing w:before="0" w:after="0" w:line="360" w:lineRule="auto"/>
        <w:jc w:val="both"/>
      </w:pPr>
      <w:r>
        <w:rPr>
          <w:rFonts w:ascii="Times New Roman" w:hAnsi="Times New Roman" w:eastAsia="Times New Roman" w:cs="Times New Roman"/>
          <w:b w:val="0"/>
          <w:i w:val="0"/>
          <w:color w:val="000000"/>
          <w:sz w:val="28"/>
        </w:rPr>
        <w:t>45. New model of urgent dental care helps patients in North East and North Cumbria / North East and North Cumbria NHS. – 2024. – URL: https://northeastnorthcumbria.nhs.uk/our-blogs/new-model-of-urgent-dental-care-helps-patients-in-north-east-and-north-cumbria/ (дата обращения: 04.05.2026).</w:t>
      </w:r>
    </w:p>
    <w:p w14:paraId="1E30279A">
      <w:pPr>
        <w:spacing w:before="0" w:after="0" w:line="360" w:lineRule="auto"/>
        <w:jc w:val="both"/>
      </w:pPr>
      <w:r>
        <w:rPr>
          <w:rFonts w:ascii="Times New Roman" w:hAnsi="Times New Roman" w:eastAsia="Times New Roman" w:cs="Times New Roman"/>
          <w:b w:val="0"/>
          <w:i w:val="0"/>
          <w:color w:val="000000"/>
          <w:sz w:val="28"/>
        </w:rPr>
        <w:t>46. DentaQuest Embarks on Digital Evolution To Improve Patient Outcomes and Access To Care / DentaQuest. – 2023. – URL: https://www.dentaquest.com/en/news-and-resources/news-events/news-releases/dentaquest-embarks-on-digital-evolution (дата обращения: 04.05.2026).</w:t>
      </w:r>
    </w:p>
    <w:p w14:paraId="4E665CF1">
      <w:pPr>
        <w:spacing w:before="0" w:after="0" w:line="360" w:lineRule="auto"/>
        <w:jc w:val="both"/>
      </w:pPr>
      <w:r>
        <w:rPr>
          <w:rFonts w:ascii="Times New Roman" w:hAnsi="Times New Roman" w:eastAsia="Times New Roman" w:cs="Times New Roman"/>
          <w:b w:val="0"/>
          <w:i w:val="0"/>
          <w:color w:val="000000"/>
          <w:sz w:val="28"/>
        </w:rPr>
        <w:t>47. Digital Engagement Boosts Member Utilization, Satisfaction / DentaQuest. – 2024. – URL: https://www.dentaquest.com/en/news-and-resources/industry-insights/digital-engagement-boosts-member-satisfaction (дата обращения: 04.05.2026).</w:t>
      </w:r>
    </w:p>
    <w:p w14:paraId="6799A4D8">
      <w:pPr>
        <w:spacing w:before="0" w:after="0" w:line="360" w:lineRule="auto"/>
        <w:jc w:val="both"/>
      </w:pPr>
      <w:r>
        <w:rPr>
          <w:rFonts w:ascii="Times New Roman" w:hAnsi="Times New Roman" w:eastAsia="Times New Roman" w:cs="Times New Roman"/>
          <w:b w:val="0"/>
          <w:i w:val="0"/>
          <w:color w:val="000000"/>
          <w:sz w:val="28"/>
        </w:rPr>
        <w:t>48. Henry Schein One Practice Management Software / Henry Schein, Inc. – 2025. – URL: https://www.henryscheinone.com/ (дата обращения: 04.05.2026).</w:t>
      </w:r>
    </w:p>
    <w:p w14:paraId="136F25F5">
      <w:pPr>
        <w:spacing w:before="0" w:after="0" w:line="360" w:lineRule="auto"/>
        <w:jc w:val="both"/>
      </w:pPr>
      <w:r>
        <w:rPr>
          <w:rFonts w:ascii="Times New Roman" w:hAnsi="Times New Roman" w:eastAsia="Times New Roman" w:cs="Times New Roman"/>
          <w:b w:val="0"/>
          <w:i w:val="0"/>
          <w:color w:val="000000"/>
          <w:sz w:val="28"/>
        </w:rPr>
        <w:t>49. DentalMonitoring patient app / Dental Monitoring SAS. – 2024. – URL: https://dentalmonitoring.com/for-patients/ (дата обращения: 04.05.2026).</w:t>
      </w:r>
    </w:p>
    <w:p w14:paraId="317330D0">
      <w:pPr>
        <w:spacing w:before="0" w:after="0" w:line="360" w:lineRule="auto"/>
        <w:jc w:val="both"/>
      </w:pPr>
      <w:r>
        <w:rPr>
          <w:rFonts w:ascii="Times New Roman" w:hAnsi="Times New Roman" w:eastAsia="Times New Roman" w:cs="Times New Roman"/>
          <w:b w:val="0"/>
          <w:i w:val="0"/>
          <w:color w:val="000000"/>
          <w:sz w:val="28"/>
        </w:rPr>
        <w:t>50. Impact of Modern Communication in Transforming Dental Care // Dentistry Journal (MDPI). – 2025. – Vol. 13, No. 10. – Article 441. – URL: https://www.mdpi.com/2304-6767/13/10/441 (дата обращения: 04.05.2026).</w:t>
      </w:r>
    </w:p>
    <w:p w14:paraId="16A8D9C1">
      <w:pPr>
        <w:spacing w:before="0" w:after="0" w:line="360" w:lineRule="auto"/>
        <w:jc w:val="both"/>
      </w:pPr>
      <w:r>
        <w:rPr>
          <w:rFonts w:ascii="Times New Roman" w:hAnsi="Times New Roman" w:eastAsia="Times New Roman" w:cs="Times New Roman"/>
          <w:b w:val="0"/>
          <w:i w:val="0"/>
          <w:color w:val="000000"/>
          <w:sz w:val="28"/>
        </w:rPr>
        <w:t>51. The state of health care communication: What patients want in 2025 / Medical Economics. – 2025. – URL: https://www.medicaleconomics.com/view/the-state-of-health-care-communication-what-patients-want-in-2025 (дата обращения: 04.05.2026).</w:t>
      </w:r>
    </w:p>
    <w:p w14:paraId="70E4716F">
      <w:pPr>
        <w:spacing w:before="0" w:after="0" w:line="360" w:lineRule="auto"/>
        <w:jc w:val="both"/>
      </w:pPr>
      <w:r>
        <w:rPr>
          <w:rFonts w:ascii="Times New Roman" w:hAnsi="Times New Roman" w:eastAsia="Times New Roman" w:cs="Times New Roman"/>
          <w:b w:val="0"/>
          <w:i w:val="0"/>
          <w:color w:val="000000"/>
          <w:sz w:val="28"/>
        </w:rPr>
        <w:t>52. Patient Conversion Rate by Practice Type: 2025 Report / First Page Sage. – 2025. – URL: https://firstpagesage.com/reports/patient-conversion-rate-by-practice-type/ (дата обращения: 04.05.2026).</w:t>
      </w:r>
    </w:p>
    <w:p w14:paraId="759989CB">
      <w:pPr>
        <w:spacing w:before="0" w:after="0" w:line="360" w:lineRule="auto"/>
        <w:jc w:val="both"/>
      </w:pPr>
      <w:r>
        <w:rPr>
          <w:rFonts w:ascii="Times New Roman" w:hAnsi="Times New Roman" w:eastAsia="Times New Roman" w:cs="Times New Roman"/>
          <w:b w:val="0"/>
          <w:i w:val="0"/>
          <w:color w:val="000000"/>
          <w:sz w:val="28"/>
        </w:rPr>
        <w:t>53. Dental Patient Appointment Booking Statistics / Resonate AI. – 2024. – URL: https://www.resonateapp.com/resources/dental-patient-appointment-booking-statistics (дата обращения: 04.05.2026).</w:t>
      </w:r>
    </w:p>
    <w:p w14:paraId="16E9AB1C">
      <w:pPr>
        <w:spacing w:before="0" w:after="0" w:line="360" w:lineRule="auto"/>
        <w:jc w:val="both"/>
      </w:pPr>
      <w:r>
        <w:rPr>
          <w:rFonts w:ascii="Times New Roman" w:hAnsi="Times New Roman" w:eastAsia="Times New Roman" w:cs="Times New Roman"/>
          <w:b w:val="0"/>
          <w:i w:val="0"/>
          <w:color w:val="000000"/>
          <w:sz w:val="28"/>
        </w:rPr>
        <w:t>54. Dental Website Average Conversion Rates / PatientGain. – 2025. – URL: https://www.patientgain.com/average-conversion-rates (дата обращения: 04.05.2026).</w:t>
      </w:r>
    </w:p>
    <w:p w14:paraId="39E5E726">
      <w:pPr>
        <w:spacing w:before="0" w:after="0" w:line="360" w:lineRule="auto"/>
        <w:jc w:val="both"/>
      </w:pPr>
      <w:r>
        <w:rPr>
          <w:rFonts w:ascii="Times New Roman" w:hAnsi="Times New Roman" w:eastAsia="Times New Roman" w:cs="Times New Roman"/>
          <w:b w:val="0"/>
          <w:i w:val="0"/>
          <w:color w:val="000000"/>
          <w:sz w:val="28"/>
        </w:rPr>
        <w:t>55. Dental Practice Growth Strategies for 2026 / Vada COO. – 2025. – URL: https://vadacoo.com/blog/dental-practice-growth-strategies-for-2026 (дата обращения: 04.05.2026).</w:t>
      </w:r>
    </w:p>
    <w:p w14:paraId="75B19BA3">
      <w:pPr>
        <w:spacing w:before="0" w:after="0" w:line="360" w:lineRule="auto"/>
        <w:jc w:val="both"/>
      </w:pPr>
      <w:r>
        <w:rPr>
          <w:rFonts w:ascii="Times New Roman" w:hAnsi="Times New Roman" w:eastAsia="Times New Roman" w:cs="Times New Roman"/>
          <w:b w:val="0"/>
          <w:i w:val="0"/>
          <w:color w:val="000000"/>
          <w:sz w:val="28"/>
        </w:rPr>
        <w:t>56. HHS Updates Pixels and Trackers Guidance for HIPAA Regulated Entities / Foley &amp; Lardner. – 2024. – URL: https://www.foley.com/insights/publications/2024/03/hhs-updates-pixels-and-trackers-guidance-for-hipaa-regulated-entities/ (дата обращения: 04.05.2026).</w:t>
      </w:r>
    </w:p>
    <w:p w14:paraId="699FB4B2">
      <w:pPr>
        <w:spacing w:before="0" w:after="0" w:line="360" w:lineRule="auto"/>
        <w:jc w:val="both"/>
      </w:pPr>
      <w:r>
        <w:rPr>
          <w:rFonts w:ascii="Times New Roman" w:hAnsi="Times New Roman" w:eastAsia="Times New Roman" w:cs="Times New Roman"/>
          <w:b w:val="0"/>
          <w:i w:val="0"/>
          <w:color w:val="000000"/>
          <w:sz w:val="28"/>
        </w:rPr>
        <w:t>57. Исследование: цифровизация увеличивает прибыль стоматологических клиник на 30 % / CNews. – 2025. – URL: https://www.cnews.ru/news/line/2025-08-05_issledovanie_tsifrovizatsiya (дата обращения: 04.05.2026).</w:t>
      </w:r>
    </w:p>
    <w:p w14:paraId="18E87D18">
      <w:pPr>
        <w:spacing w:before="0" w:after="0" w:line="360" w:lineRule="auto"/>
        <w:jc w:val="both"/>
      </w:pPr>
      <w:r>
        <w:rPr>
          <w:rFonts w:ascii="Times New Roman" w:hAnsi="Times New Roman" w:eastAsia="Times New Roman" w:cs="Times New Roman"/>
          <w:b w:val="0"/>
          <w:i w:val="0"/>
          <w:color w:val="000000"/>
          <w:sz w:val="28"/>
        </w:rPr>
        <w:t>58. Стоматологический рынок в приближении 2026 года: как сохранить качество и устойчивость в эпоху перегрева / Коммерсантъ. – 2025. – URL: https://www.kommersant.ru/doc/8180048 (дата обращения: 04.05.2026).</w:t>
      </w:r>
    </w:p>
    <w:p w14:paraId="13E1E86A">
      <w:pPr>
        <w:spacing w:before="0" w:after="0" w:line="360" w:lineRule="auto"/>
        <w:jc w:val="both"/>
      </w:pPr>
      <w:r>
        <w:rPr>
          <w:rFonts w:ascii="Times New Roman" w:hAnsi="Times New Roman" w:eastAsia="Times New Roman" w:cs="Times New Roman"/>
          <w:b w:val="0"/>
          <w:i w:val="0"/>
          <w:color w:val="000000"/>
          <w:sz w:val="28"/>
        </w:rPr>
        <w:t>59. Стоматологический рынок 2025: тренды, которые нельзя игнорировать / Никадент. – 2025. – URL: https://www.nika-dent.ru/blog/stomatologicheskiy-rynok-2025-trendy-kotorye-nelzya-ignorirovat/ (дата обращения: 04.05.2026).</w:t>
      </w:r>
    </w:p>
    <w:p w14:paraId="78426D43">
      <w:pPr>
        <w:spacing w:before="0" w:after="0" w:line="360" w:lineRule="auto"/>
        <w:jc w:val="both"/>
      </w:pPr>
      <w:r>
        <w:rPr>
          <w:rFonts w:ascii="Times New Roman" w:hAnsi="Times New Roman" w:eastAsia="Times New Roman" w:cs="Times New Roman"/>
          <w:b w:val="0"/>
          <w:i w:val="0"/>
          <w:color w:val="000000"/>
          <w:sz w:val="28"/>
        </w:rPr>
        <w:t>60. Будущее стоматологии: ключевые направления развития отрасли / 1С:Медицина. Стоматологическая клиника. – 2025. – URL: https://stoma1c.ru/blog/budushhee-stomatologii-klyuchevye-napravleniya-razvitiya-otrasli/ (дата обращения: 04.05.2026).</w:t>
      </w:r>
    </w:p>
    <w:p w14:paraId="707FE236">
      <w:pPr>
        <w:spacing w:before="0" w:after="0" w:line="360" w:lineRule="auto"/>
        <w:jc w:val="both"/>
      </w:pPr>
      <w:r>
        <w:rPr>
          <w:rFonts w:ascii="Times New Roman" w:hAnsi="Times New Roman" w:eastAsia="Times New Roman" w:cs="Times New Roman"/>
          <w:b w:val="0"/>
          <w:i w:val="0"/>
          <w:color w:val="000000"/>
          <w:sz w:val="28"/>
        </w:rPr>
        <w:t>61. Регистрация программного обеспечения как медицинского изделия в 2025 году в России / ООО «КВОЛИТИ». – 2025. – URL: https://certru.ru/registracija-po-kak-medicinskogo-izdelija-v-2025-godu-v-rossii/ (дата обращения: 04.05.2026).</w:t>
      </w:r>
    </w:p>
    <w:p w14:paraId="1CAEB2FA">
      <w:pPr>
        <w:spacing w:before="0" w:after="0" w:line="360" w:lineRule="auto"/>
        <w:jc w:val="both"/>
      </w:pPr>
      <w:r>
        <w:rPr>
          <w:rFonts w:ascii="Times New Roman" w:hAnsi="Times New Roman" w:eastAsia="Times New Roman" w:cs="Times New Roman"/>
          <w:b w:val="0"/>
          <w:i w:val="0"/>
          <w:color w:val="000000"/>
          <w:sz w:val="28"/>
        </w:rPr>
        <w:t>62. Как не нарушить закон: реклама медицины в социальных сетях с 2025 года / Sinergium. – 2025. – URL: https://sinergium.ru/blog/kak-ne-narushit-zakon-novye-pravila-reklamy-mediciny-v-socsetyah-s-sentyabrya-2025 (дата обращения: 04.05.2026).</w:t>
      </w:r>
    </w:p>
    <w:p w14:paraId="7AD613C7">
      <w:pPr>
        <w:spacing w:before="0" w:after="0" w:line="360" w:lineRule="auto"/>
        <w:jc w:val="both"/>
      </w:pPr>
      <w:r>
        <w:rPr>
          <w:rFonts w:ascii="Times New Roman" w:hAnsi="Times New Roman" w:eastAsia="Times New Roman" w:cs="Times New Roman"/>
          <w:b w:val="0"/>
          <w:i w:val="0"/>
          <w:color w:val="000000"/>
          <w:sz w:val="28"/>
        </w:rPr>
        <w:t>63. Waiting in line for a check-up: evaluating access to NHS dental services in England // British Dental Journal. – 2025. – Vol. 238. – URL: https://www.nature.com/articles/s41415-025-8320-4 (дата обращения: 04.05.2026).</w:t>
      </w:r>
    </w:p>
    <w:p w14:paraId="6944EE8A">
      <w:pPr>
        <w:spacing w:before="0" w:after="0" w:line="360" w:lineRule="auto"/>
        <w:jc w:val="both"/>
      </w:pPr>
      <w:r>
        <w:rPr>
          <w:rFonts w:ascii="Times New Roman" w:hAnsi="Times New Roman" w:eastAsia="Times New Roman" w:cs="Times New Roman"/>
          <w:b w:val="0"/>
          <w:i w:val="0"/>
          <w:color w:val="000000"/>
          <w:sz w:val="28"/>
        </w:rPr>
        <w:t>64. ASDA. Barriers to Care / American Student Dental Association. – 2024. – URL: https://www.asdanet.org/index/get-involved/advocate/issues-and-legislative-priorities/Barriers-to-Care (дата обращения: 04.05.2026).</w:t>
      </w:r>
    </w:p>
    <w:sectPr>
      <w:pgSz w:w="12240" w:h="15840"/>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F2373"/>
    <w:rsid w:val="FFDF9C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5</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2013-12-23T07:15:00Z</dcterms:created>
  <dc:creator>python-docx</dc:creator>
  <dc:description>generated by python-docx</dc:description>
  <cp:lastModifiedBy>Антон Иванов</cp:lastModifiedBy>
  <dcterms:modified xsi:type="dcterms:W3CDTF">2026-05-04T04:15:03Z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19D2E64CE5BC19D08476F86949838C6E_42</vt:lpwstr>
  </property>
</Properties>
</file>