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506190">
      <w:pPr>
        <w:spacing w:before="240" w:after="120" w:line="360" w:lineRule="auto"/>
        <w:jc w:val="center"/>
      </w:pPr>
      <w:r>
        <w:rPr>
          <w:rFonts w:ascii="Times New Roman" w:hAnsi="Times New Roman" w:eastAsia="Times New Roman" w:cs="Times New Roman"/>
          <w:b/>
          <w:i w:val="0"/>
          <w:color w:val="000000"/>
          <w:sz w:val="28"/>
        </w:rPr>
        <w:t>АННОТАЦИЯ</w:t>
      </w:r>
    </w:p>
    <w:p w14:paraId="737244F7">
      <w:pPr>
        <w:spacing w:before="0" w:after="0" w:line="360" w:lineRule="auto"/>
        <w:ind w:firstLine="709"/>
        <w:jc w:val="both"/>
      </w:pPr>
      <w:r>
        <w:rPr>
          <w:rFonts w:ascii="Times New Roman" w:hAnsi="Times New Roman" w:eastAsia="Times New Roman" w:cs="Times New Roman"/>
          <w:b w:val="0"/>
          <w:i w:val="0"/>
          <w:color w:val="000000"/>
          <w:sz w:val="28"/>
        </w:rPr>
        <w:t>Работа посвящена применению цифрового маркетинга в стоматологии и проектированию мобильного приложения для сети клиник. В первой главе разобраны понятие и инструментарий digital-маркетинга, рыночные тенденции последних лет, особенности цифровых каналов в работе с пациентами стоматологической клиники, а также нормативные изменения 2025–2026 годов в области персональных данных, телемедицины и рекламы медицинских услуг. Вторая глава содержит анализ внутренней и внешней среды конкретной сети клиник; в ней определены барьеры пути пациента и точки трения в процессах записи и пост-визитной коммуникации. В третьей главе разработан концепт мобильного приложения уровня MVP: описаны функциональные и нефункциональные требования, пользовательские истории и сценарии, спроектированы архитектура и модель данных, определены внешние интеграции и нормативные требования, рассчитан прогноз экономической эффективности. По базовому сценарию внедрения в одной клинике сети чистый годовой эффект составляет 16,3 млн руб. при сроке окупаемости 19 месяцев. Полученные результаты применимы при планировании цифровой трансформации стоматологических клиник среднего размера.</w:t>
      </w:r>
    </w:p>
    <w:p w14:paraId="4C1416AB">
      <w:pPr>
        <w:spacing w:before="240" w:after="120" w:line="360" w:lineRule="auto"/>
        <w:jc w:val="center"/>
        <w:rPr>
          <w:rFonts w:ascii="Times New Roman" w:hAnsi="Times New Roman" w:eastAsia="Times New Roman" w:cs="Times New Roman"/>
          <w:b/>
          <w:i w:val="0"/>
          <w:color w:val="000000"/>
          <w:sz w:val="28"/>
        </w:rPr>
      </w:pPr>
    </w:p>
    <w:p w14:paraId="571CD189">
      <w:pPr>
        <w:spacing w:before="240" w:after="120" w:line="360" w:lineRule="auto"/>
        <w:jc w:val="center"/>
        <w:rPr>
          <w:rFonts w:ascii="Times New Roman" w:hAnsi="Times New Roman" w:eastAsia="Times New Roman" w:cs="Times New Roman"/>
          <w:b/>
          <w:i w:val="0"/>
          <w:color w:val="000000"/>
          <w:sz w:val="28"/>
        </w:rPr>
      </w:pPr>
    </w:p>
    <w:p w14:paraId="43242416">
      <w:pPr>
        <w:spacing w:before="240" w:after="120" w:line="360" w:lineRule="auto"/>
        <w:jc w:val="center"/>
        <w:rPr>
          <w:rFonts w:ascii="Times New Roman" w:hAnsi="Times New Roman" w:eastAsia="Times New Roman" w:cs="Times New Roman"/>
          <w:b/>
          <w:i w:val="0"/>
          <w:color w:val="000000"/>
          <w:sz w:val="28"/>
        </w:rPr>
      </w:pPr>
    </w:p>
    <w:p w14:paraId="415B3BB8">
      <w:pPr>
        <w:spacing w:before="240" w:after="120" w:line="360" w:lineRule="auto"/>
        <w:jc w:val="center"/>
        <w:rPr>
          <w:rFonts w:ascii="Times New Roman" w:hAnsi="Times New Roman" w:eastAsia="Times New Roman" w:cs="Times New Roman"/>
          <w:b/>
          <w:i w:val="0"/>
          <w:color w:val="000000"/>
          <w:sz w:val="28"/>
        </w:rPr>
      </w:pPr>
    </w:p>
    <w:p w14:paraId="31DBDE48">
      <w:pPr>
        <w:spacing w:before="240" w:after="120" w:line="360" w:lineRule="auto"/>
        <w:jc w:val="center"/>
        <w:rPr>
          <w:rFonts w:ascii="Times New Roman" w:hAnsi="Times New Roman" w:eastAsia="Times New Roman" w:cs="Times New Roman"/>
          <w:b/>
          <w:i w:val="0"/>
          <w:color w:val="000000"/>
          <w:sz w:val="28"/>
        </w:rPr>
      </w:pPr>
    </w:p>
    <w:p w14:paraId="42925902">
      <w:pPr>
        <w:spacing w:before="240" w:after="120" w:line="360" w:lineRule="auto"/>
        <w:jc w:val="center"/>
        <w:rPr>
          <w:rFonts w:ascii="Times New Roman" w:hAnsi="Times New Roman" w:eastAsia="Times New Roman" w:cs="Times New Roman"/>
          <w:b/>
          <w:i w:val="0"/>
          <w:color w:val="000000"/>
          <w:sz w:val="28"/>
        </w:rPr>
      </w:pPr>
    </w:p>
    <w:p w14:paraId="5CF65232">
      <w:pPr>
        <w:spacing w:before="240" w:after="120" w:line="360" w:lineRule="auto"/>
        <w:jc w:val="center"/>
      </w:pPr>
      <w:r>
        <w:rPr>
          <w:rFonts w:ascii="Times New Roman" w:hAnsi="Times New Roman" w:eastAsia="Times New Roman" w:cs="Times New Roman"/>
          <w:b/>
          <w:i w:val="0"/>
          <w:color w:val="000000"/>
          <w:sz w:val="28"/>
        </w:rPr>
        <w:t>ВВЕДЕНИЕ</w:t>
      </w:r>
    </w:p>
    <w:p w14:paraId="2456E695">
      <w:pPr>
        <w:spacing w:before="0" w:after="0" w:line="360" w:lineRule="auto"/>
        <w:ind w:firstLine="709"/>
        <w:jc w:val="both"/>
      </w:pPr>
      <w:r>
        <w:rPr>
          <w:rFonts w:ascii="Times New Roman" w:hAnsi="Times New Roman" w:eastAsia="Times New Roman" w:cs="Times New Roman"/>
          <w:b w:val="0"/>
          <w:i w:val="0"/>
          <w:color w:val="000000"/>
          <w:sz w:val="28"/>
        </w:rPr>
        <w:t>Российский рынок стоматологических услуг продолжает рост: по оценке DentalData (Ведомости, 10.01.2025), оборот рынка частных стоматологических услуг в России за 2024 год вырос на 15,4 % и достиг 717 млрд руб., причём опережающими темпами растёт сегмент крупных городов, где конкуренция за лояльность пациента обострена сильнее. Аналитика медицинского маркетинга за последний год фиксирует заметный рост расходов на рекламу в отрасли и удорожание единицы коммуникации — заявки или звонка. Несмотря на широкий выбор МИС и CRM на российском рынке, полноценный цифровой контур коммуникаций с пациентом внедрён в ограниченном числе клиник. Сочетание дорожающего привлечения и низкой цифровой зрелости каналов превращает цифровую трансформацию пути пациента в условие сохранения рентабельности клиники.</w:t>
      </w:r>
    </w:p>
    <w:p w14:paraId="0C950170">
      <w:pPr>
        <w:spacing w:before="0" w:after="0" w:line="360" w:lineRule="auto"/>
        <w:ind w:firstLine="709"/>
        <w:jc w:val="both"/>
      </w:pPr>
      <w:r>
        <w:rPr>
          <w:rFonts w:ascii="Times New Roman" w:hAnsi="Times New Roman" w:eastAsia="Times New Roman" w:cs="Times New Roman"/>
          <w:b w:val="0"/>
          <w:i w:val="0"/>
          <w:color w:val="000000"/>
          <w:sz w:val="28"/>
        </w:rPr>
        <w:t>Поведение пациента меняется параллельно с рынком. Телефонный звонок сохраняет лидерство в общем потоке обращений, однако среди первичных коммуникаций уже доминируют чаты и формы заявок: пациенты избегают голосового канала и ожидают от клиники удобной онлайн-записи, прозрачного ценообразования и доступа к истории визитов в одном цифровом контуре. Тот же запрос подтверждает и зарубежная статистика: до 83 % пациентов предпочитают самостоятельную онлайн-запись (Resonate), 81 % готовы рекомендовать клинику при превышении ожиданий по коммуникациям (Smart Communications, 2025).</w:t>
      </w:r>
    </w:p>
    <w:p w14:paraId="2B1F8418">
      <w:pPr>
        <w:spacing w:before="0" w:after="0" w:line="360" w:lineRule="auto"/>
        <w:ind w:firstLine="709"/>
        <w:jc w:val="both"/>
      </w:pPr>
      <w:r>
        <w:rPr>
          <w:rFonts w:ascii="Times New Roman" w:hAnsi="Times New Roman" w:eastAsia="Times New Roman" w:cs="Times New Roman"/>
          <w:b w:val="0"/>
          <w:i w:val="0"/>
          <w:color w:val="000000"/>
          <w:sz w:val="28"/>
        </w:rPr>
        <w:t>Управленческая проблема исследования состоит в том, что текущая цепочка касаний клиники не соответствует ожиданиям пациента: удобной онлайн-записи, прозрачному статусу лечения и доступу к истории визитов. Внешне это проявляется как низкая конверсия первичного трафика, рост числа неявок на записанные приёмы, отказы от лечения из-за трудоёмкости переноса записи, отток пациентов на этапе пост-диагностики, увеличение операционной нагрузки на регистратуру, снижение частоты профилактических визитов и зависимость бизнеса от единственного телефонного канала записи.</w:t>
      </w:r>
    </w:p>
    <w:p w14:paraId="0F668B5E">
      <w:pPr>
        <w:spacing w:before="0" w:after="0" w:line="360" w:lineRule="auto"/>
        <w:ind w:firstLine="709"/>
        <w:jc w:val="both"/>
      </w:pPr>
      <w:r>
        <w:rPr>
          <w:rFonts w:ascii="Times New Roman" w:hAnsi="Times New Roman" w:eastAsia="Times New Roman" w:cs="Times New Roman"/>
          <w:b w:val="0"/>
          <w:i w:val="0"/>
          <w:color w:val="000000"/>
          <w:sz w:val="28"/>
        </w:rPr>
        <w:t>Актуальность темы обусловлена и нормативной средой. На отрезке 2025–2026 годов последовательно меняются требования к работе с персональными данными, телемедицинским технологиям и рекламе медицинских услуг. С 30 мая и 1 сентября 2025 года вступили в силу изменения в Федеральный закон «О персональных данных», внесённые Федеральным законом от 23.05.2025 № 121-ФЗ: согласие должно оформляться отдельным документом, ужесточаются требования к составу обязательных реквизитов и к хранению. С 1 июля 2025 года введён запрет на обработку и хранение персональных данных российских граждан в базах, размещённых за пределами Российской Федерации. С 1 сентября 2025 года действуют новый порядок применения телемедицинских технологий, утверждённый приказом Минздрава России № 193н, и универсальный запрет рекламы на ограниченных и нежелательных интернет-ресурсах (Федеральным законом от 07.04.2025 № 72-ФЗ), который меняет правила продвижения медицинских услуг в интернете. Эти изменения напрямую определяют технические и продуктовые решения цифровых сервисов клиники.</w:t>
      </w:r>
    </w:p>
    <w:p w14:paraId="753A7BDF">
      <w:pPr>
        <w:spacing w:before="0" w:after="0" w:line="360" w:lineRule="auto"/>
        <w:ind w:firstLine="709"/>
        <w:jc w:val="both"/>
      </w:pPr>
      <w:r>
        <w:rPr>
          <w:rFonts w:ascii="Times New Roman" w:hAnsi="Times New Roman" w:eastAsia="Times New Roman" w:cs="Times New Roman"/>
          <w:b w:val="0"/>
          <w:i w:val="0"/>
          <w:color w:val="000000"/>
          <w:sz w:val="28"/>
        </w:rPr>
        <w:t>Объект исследования — сеть стоматологических клиник как субъект рынка медицинских услуг, реализующий цифровую модель взаимодействия с пациентом. Предмет исследования — инструменты цифрового маркетинга для привлечения и удержания пациентов, а также проектные решения мобильного приложения, поддерживающего ключевые этапы пути пациента.</w:t>
      </w:r>
    </w:p>
    <w:p w14:paraId="262E6A39">
      <w:pPr>
        <w:spacing w:before="0" w:after="0" w:line="360" w:lineRule="auto"/>
        <w:ind w:firstLine="709"/>
        <w:jc w:val="both"/>
      </w:pPr>
      <w:r>
        <w:rPr>
          <w:rFonts w:ascii="Times New Roman" w:hAnsi="Times New Roman" w:eastAsia="Times New Roman" w:cs="Times New Roman"/>
          <w:b w:val="0"/>
          <w:i w:val="0"/>
          <w:color w:val="000000"/>
          <w:sz w:val="28"/>
        </w:rPr>
        <w:t>Цель работы — обосновать состав цифровых инструментов, снимающих барьеры пути пациента в стоматологической клинике, и разработать концепт мобильного приложения уровня MVP, который реализует приоритетные сценарии записи, ведения профиля и оформления налогового вычета.</w:t>
      </w:r>
    </w:p>
    <w:p w14:paraId="26D3C112">
      <w:pPr>
        <w:spacing w:before="0" w:after="0" w:line="360" w:lineRule="auto"/>
        <w:ind w:firstLine="709"/>
        <w:jc w:val="both"/>
      </w:pPr>
      <w:r>
        <w:rPr>
          <w:rFonts w:ascii="Times New Roman" w:hAnsi="Times New Roman" w:eastAsia="Times New Roman" w:cs="Times New Roman"/>
          <w:b w:val="0"/>
          <w:i w:val="0"/>
          <w:color w:val="000000"/>
          <w:sz w:val="28"/>
        </w:rPr>
        <w:t>Для достижения цели поставлены следующие задачи:</w:t>
      </w:r>
    </w:p>
    <w:p w14:paraId="2CE6DBDB">
      <w:pPr>
        <w:spacing w:before="0" w:after="0" w:line="360" w:lineRule="auto"/>
        <w:ind w:firstLine="709"/>
        <w:jc w:val="both"/>
      </w:pPr>
      <w:r>
        <w:rPr>
          <w:rFonts w:ascii="Times New Roman" w:hAnsi="Times New Roman" w:eastAsia="Times New Roman" w:cs="Times New Roman"/>
          <w:b w:val="0"/>
          <w:i w:val="0"/>
          <w:color w:val="000000"/>
          <w:sz w:val="28"/>
        </w:rPr>
        <w:t>1) проанализировать понятие и инструментарий цифрового маркетинга, рыночные тенденции его развития и особенности применения в стоматологии;</w:t>
      </w:r>
    </w:p>
    <w:p w14:paraId="42118350">
      <w:pPr>
        <w:spacing w:before="0" w:after="0" w:line="360" w:lineRule="auto"/>
        <w:ind w:firstLine="709"/>
        <w:jc w:val="both"/>
      </w:pPr>
      <w:r>
        <w:rPr>
          <w:rFonts w:ascii="Times New Roman" w:hAnsi="Times New Roman" w:eastAsia="Times New Roman" w:cs="Times New Roman"/>
          <w:b w:val="0"/>
          <w:i w:val="0"/>
          <w:color w:val="000000"/>
          <w:sz w:val="28"/>
        </w:rPr>
        <w:t>2) изучить международный и российский опыт решения проблемы цифровых барьеров записи и повторных визитов пациентов, определить теоретические предпосылки её устранения;</w:t>
      </w:r>
    </w:p>
    <w:p w14:paraId="16D7277B">
      <w:pPr>
        <w:spacing w:before="0" w:after="0" w:line="360" w:lineRule="auto"/>
        <w:ind w:firstLine="709"/>
        <w:jc w:val="both"/>
      </w:pPr>
      <w:r>
        <w:rPr>
          <w:rFonts w:ascii="Times New Roman" w:hAnsi="Times New Roman" w:eastAsia="Times New Roman" w:cs="Times New Roman"/>
          <w:b w:val="0"/>
          <w:i w:val="0"/>
          <w:color w:val="000000"/>
          <w:sz w:val="28"/>
        </w:rPr>
        <w:t>3) систематизировать нормативные изменения 2025–2026 годов в части персональных данных, телемедицины и рекламы медицинских услуг, оценить их влияние на проектные решения;</w:t>
      </w:r>
    </w:p>
    <w:p w14:paraId="31B39367">
      <w:pPr>
        <w:spacing w:before="0" w:after="0" w:line="360" w:lineRule="auto"/>
        <w:ind w:firstLine="709"/>
        <w:jc w:val="both"/>
      </w:pPr>
      <w:r>
        <w:rPr>
          <w:rFonts w:ascii="Times New Roman" w:hAnsi="Times New Roman" w:eastAsia="Times New Roman" w:cs="Times New Roman"/>
          <w:b w:val="0"/>
          <w:i w:val="0"/>
          <w:color w:val="000000"/>
          <w:sz w:val="28"/>
        </w:rPr>
        <w:t>4) обосновать выбор конкретного состава цифровых инструментов для клиники и сформулировать критерии их отбора;</w:t>
      </w:r>
    </w:p>
    <w:p w14:paraId="5B4A29C5">
      <w:pPr>
        <w:spacing w:before="0" w:after="0" w:line="360" w:lineRule="auto"/>
        <w:ind w:firstLine="709"/>
        <w:jc w:val="both"/>
      </w:pPr>
      <w:r>
        <w:rPr>
          <w:rFonts w:ascii="Times New Roman" w:hAnsi="Times New Roman" w:eastAsia="Times New Roman" w:cs="Times New Roman"/>
          <w:b w:val="0"/>
          <w:i w:val="0"/>
          <w:color w:val="000000"/>
          <w:sz w:val="28"/>
        </w:rPr>
        <w:t>5) разработать концепт мобильного приложения уровня MVP и оценить прогнозный экономический эффект внедрения.</w:t>
      </w:r>
    </w:p>
    <w:p w14:paraId="47A691B2">
      <w:pPr>
        <w:spacing w:before="0" w:after="0" w:line="360" w:lineRule="auto"/>
        <w:ind w:firstLine="709"/>
        <w:jc w:val="both"/>
      </w:pPr>
      <w:r>
        <w:rPr>
          <w:rFonts w:ascii="Times New Roman" w:hAnsi="Times New Roman" w:eastAsia="Times New Roman" w:cs="Times New Roman"/>
          <w:b w:val="0"/>
          <w:i w:val="0"/>
          <w:color w:val="000000"/>
          <w:sz w:val="28"/>
        </w:rPr>
        <w:t>Методологическую основу исследования составили общенаучные методы анализа и синтеза, системный и сравнительный подходы, методы кабинетного анализа открытых данных, контент-анализ научной литературы и нормативных актов, методы проектирования программного обеспечения по ГОСТ 34.602-89 и модели качества ISO/IEC 25010:2011, а также расчётные методы прогнозной экономической оценки.</w:t>
      </w:r>
    </w:p>
    <w:p w14:paraId="46BDA771">
      <w:pPr>
        <w:spacing w:before="0" w:after="0" w:line="360" w:lineRule="auto"/>
        <w:ind w:firstLine="709"/>
        <w:jc w:val="both"/>
      </w:pPr>
      <w:r>
        <w:rPr>
          <w:rFonts w:ascii="Times New Roman" w:hAnsi="Times New Roman" w:eastAsia="Times New Roman" w:cs="Times New Roman"/>
          <w:b w:val="0"/>
          <w:i w:val="0"/>
          <w:color w:val="000000"/>
          <w:sz w:val="28"/>
        </w:rPr>
        <w:t>Информационная база исследования включает работы российских и зарубежных авторов в области цифрового маркетинга и медицинских коммуникаций, отраслевые отчёты BusinesStat и аналитические обзоры медицинского маркетинга, законодательные и подзаконные акты Российской Федерации (в том числе федеральные законы № 152-ФЗ, № 323-ФЗ, № 38-ФЗ, приказы Минздрава России и ФСТЭК), международные источники (материалы Американской стоматологической ассоциации, Национальной службы здравоохранения Великобритании, профильные мета-анализы), а также собственные расчёты автора по базовому сценарию внедрения мобильного приложения.</w:t>
      </w:r>
    </w:p>
    <w:p w14:paraId="7E770D30">
      <w:pPr>
        <w:spacing w:before="0" w:after="0" w:line="360" w:lineRule="auto"/>
        <w:ind w:firstLine="709"/>
        <w:jc w:val="both"/>
      </w:pPr>
      <w:r>
        <w:rPr>
          <w:rFonts w:ascii="Times New Roman" w:hAnsi="Times New Roman" w:eastAsia="Times New Roman" w:cs="Times New Roman"/>
          <w:b w:val="0"/>
          <w:i w:val="0"/>
          <w:color w:val="000000"/>
          <w:sz w:val="28"/>
        </w:rPr>
        <w:t>Научная и практическая значимость работы состоит в том, что в ней систематизирована связь между конкретными барьерами пути пациента в стоматологии и составом цифровых инструментов, способных эти барьеры снимать; систематизация выполнена с привязкой к актуальной нормативной среде и проверяемым эмпирическим данным. Полученные проектные решения применимы сетями клиник среднего размера при подготовке цифровых продуктов и обосновании инвестиционных решений.</w:t>
      </w:r>
    </w:p>
    <w:p w14:paraId="1348FBB3">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Работа состоит из введения, трёх глав, заключения и списка использованных источников. Первая глава посвящена теоретическим и рыночным основам применения цифрового маркетинга в стоматологии; в неё включён раздел о международной и российской практике решения проблемы цифровых барьеров. Во второй главе выполняется анализ среды и пути пациента сети клиник, обосновывается выбор цифровых инструментов, формулируются критерии отбора. Третья глава содержит концепт мобильного приложения уровня MVP и расчёт прогнозного экономического эффекта.</w:t>
      </w:r>
    </w:p>
    <w:p w14:paraId="4A9BCB3D">
      <w:pPr>
        <w:keepNext w:val="0"/>
        <w:keepLines w:val="0"/>
        <w:pageBreakBefore w:val="0"/>
        <w:widowControl/>
        <w:kinsoku/>
        <w:wordWrap/>
        <w:overflowPunct/>
        <w:topLinePunct w:val="0"/>
        <w:autoSpaceDE/>
        <w:autoSpaceDN/>
        <w:bidi w:val="0"/>
        <w:adjustRightInd/>
        <w:snapToGrid/>
        <w:spacing w:after="0" w:line="360" w:lineRule="auto"/>
        <w:ind w:firstLine="706"/>
        <w:jc w:val="left"/>
        <w:textAlignment w:val="auto"/>
      </w:pPr>
      <w:r>
        <w:rPr>
          <w:rFonts w:ascii="Times New Roman" w:hAnsi="Times New Roman" w:eastAsia="Times New Roman" w:cs="Times New Roman"/>
          <w:b/>
          <w:i w:val="0"/>
          <w:color w:val="000000"/>
          <w:sz w:val="28"/>
        </w:rPr>
        <w:t>1.4. Международная и российская практика решения проблемы цифровых барьеров записи и повторных визитов пациентов в стоматологии</w:t>
      </w:r>
    </w:p>
    <w:p w14:paraId="7F9A57CA">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Параграфы 1.1–1.3 первой главы дают обзор инструментов и тенденций цифрового маркетинга в стоматологии и фиксируют барьеры пути пациента на уровне общих категорий. Однако управленческие проявления, с которыми сталкивается конкретная сеть клиник, лежат глубже: они связаны не с отсутствием инструментов, а с разрывами в цепочке касаний и с тем, что отдельные элементы коммуникации не работают друг с другом. В этом параграфе проблема переформулирована в терминах точек трения пути пациента, приведён обзор международных и российских практик её решения и систематизированы изменения нормативной базы 2025–2026 годов, которые задают правовые рамки для проектных решений.</w:t>
      </w:r>
    </w:p>
    <w:p w14:paraId="39397CE2">
      <w:pPr>
        <w:spacing w:before="120" w:after="80" w:line="360" w:lineRule="auto"/>
        <w:ind w:firstLine="709"/>
        <w:jc w:val="left"/>
      </w:pPr>
      <w:r>
        <w:rPr>
          <w:rFonts w:ascii="Times New Roman" w:hAnsi="Times New Roman" w:eastAsia="Times New Roman" w:cs="Times New Roman"/>
          <w:b/>
          <w:i w:val="0"/>
          <w:color w:val="000000"/>
          <w:sz w:val="28"/>
        </w:rPr>
        <w:t>1.4.1. Постановка проблемы и теоретическая рамка точек трения</w:t>
      </w:r>
    </w:p>
    <w:p w14:paraId="3C489623">
      <w:pPr>
        <w:spacing w:before="0" w:after="0" w:line="360" w:lineRule="auto"/>
        <w:ind w:firstLine="709"/>
        <w:jc w:val="both"/>
      </w:pPr>
      <w:r>
        <w:rPr>
          <w:rFonts w:ascii="Times New Roman" w:hAnsi="Times New Roman" w:eastAsia="Times New Roman" w:cs="Times New Roman"/>
          <w:b w:val="0"/>
          <w:i w:val="0"/>
          <w:color w:val="000000"/>
          <w:sz w:val="28"/>
        </w:rPr>
        <w:t>В научной литературе барьеры доступа к стоматологической помощи традиционно описываются на двух уровнях. Первый уровень включает структурные ограничения — стоимость услуг, наличие страхового покрытия, географическую удалённость, дефицит кадров. По данным Health Policy Institute Американской стоматологической ассоциации (Research Brief, 2019, на материале NHANES 2013–2016) [67], около 13 % населения США называют финансовые причины основным барьером к получению стоматологической помощи; среди работающих взрослых 19–64 лет показатель достигает 17,4 %. По оценке CareQuest Institute for Oral Health (2023) [68], более 68 млн взрослых жителей США не имеют стоматологической страховки. Второй уровень относится к поведенческим и сервисным барьерам — страху лечения, недостатку времени, негативному опыту, трудностям записи, отсутствию информации.</w:t>
      </w:r>
    </w:p>
    <w:p w14:paraId="10D3E55E">
      <w:pPr>
        <w:spacing w:before="0" w:after="0" w:line="360" w:lineRule="auto"/>
        <w:ind w:firstLine="709"/>
        <w:jc w:val="both"/>
      </w:pPr>
      <w:r>
        <w:rPr>
          <w:rFonts w:ascii="Times New Roman" w:hAnsi="Times New Roman" w:eastAsia="Times New Roman" w:cs="Times New Roman"/>
          <w:b w:val="0"/>
          <w:i w:val="0"/>
          <w:color w:val="000000"/>
          <w:sz w:val="28"/>
        </w:rPr>
        <w:t>В маркетинговых исследованиях параллельно используется понятие точек трения (friction points) — конкретных эпизодов в пути пациента, которые увеличивают усилие пациента и снижают вероятность продолжения сценария. Отраслевой обзор Vada о практике управления стоматологической клиникой (2026) фиксирует, что значительная доля новых пациентов не возвращается после первого визита, а часть пациентов откладывает или отказывается от лечения; основные причины — слабая коммуникация, отсутствие прозрачных объяснений и несвязанные между собой каналы записи и пост-визитного контакта.</w:t>
      </w:r>
    </w:p>
    <w:p w14:paraId="5082A623">
      <w:pPr>
        <w:spacing w:before="0" w:after="0" w:line="360" w:lineRule="auto"/>
        <w:ind w:firstLine="709"/>
        <w:jc w:val="both"/>
      </w:pPr>
      <w:r>
        <w:rPr>
          <w:rFonts w:ascii="Times New Roman" w:hAnsi="Times New Roman" w:eastAsia="Times New Roman" w:cs="Times New Roman"/>
          <w:b w:val="0"/>
          <w:i w:val="0"/>
          <w:color w:val="000000"/>
          <w:sz w:val="28"/>
        </w:rPr>
        <w:t>Управленческая проблема в этой работе соединяет оба уровня: структурные барьеры остаются фоном, а решающее значение приобретают точки трения в цифровой части пути. Для систематизации проявлений, описанных в постановке исследовательского вопроса, в таблице 1.4.1 приведена сопоставительная классификация: проявление в работе клиники, тип барьера и стадия пути пациента.</w:t>
      </w:r>
    </w:p>
    <w:p w14:paraId="1A4666D6">
      <w:pPr>
        <w:spacing w:before="120" w:after="40" w:line="360" w:lineRule="auto"/>
        <w:jc w:val="left"/>
      </w:pPr>
      <w:r>
        <w:rPr>
          <w:rFonts w:ascii="Times New Roman" w:hAnsi="Times New Roman" w:eastAsia="Times New Roman" w:cs="Times New Roman"/>
          <w:b w:val="0"/>
          <w:i w:val="0"/>
          <w:color w:val="000000"/>
          <w:sz w:val="28"/>
        </w:rPr>
        <w:t>Таблица 1.4.1 – Классификация проявлений управленческой проблемы по типу барьера и стадии пути пациента</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30"/>
        <w:gridCol w:w="3230"/>
        <w:gridCol w:w="3230"/>
      </w:tblGrid>
      <w:tr w14:paraId="4BEF85E1">
        <w:tc>
          <w:tcPr>
            <w:tcW w:w="4535" w:type="dxa"/>
            <w:vAlign w:val="center"/>
          </w:tcPr>
          <w:p w14:paraId="765FADE1">
            <w:pPr>
              <w:spacing w:before="0" w:after="0" w:line="360" w:lineRule="auto"/>
              <w:jc w:val="center"/>
            </w:pPr>
            <w:r>
              <w:rPr>
                <w:rFonts w:ascii="Times New Roman" w:hAnsi="Times New Roman" w:eastAsia="Times New Roman" w:cs="Times New Roman"/>
                <w:b/>
                <w:i w:val="0"/>
                <w:color w:val="000000"/>
                <w:sz w:val="28"/>
              </w:rPr>
              <w:t>Проявление в клинике</w:t>
            </w:r>
          </w:p>
        </w:tc>
        <w:tc>
          <w:tcPr>
            <w:tcW w:w="2835" w:type="dxa"/>
            <w:vAlign w:val="center"/>
          </w:tcPr>
          <w:p w14:paraId="1BD38348">
            <w:pPr>
              <w:spacing w:before="0" w:after="0" w:line="360" w:lineRule="auto"/>
              <w:jc w:val="center"/>
            </w:pPr>
            <w:r>
              <w:rPr>
                <w:rFonts w:ascii="Times New Roman" w:hAnsi="Times New Roman" w:eastAsia="Times New Roman" w:cs="Times New Roman"/>
                <w:b/>
                <w:i w:val="0"/>
                <w:color w:val="000000"/>
                <w:sz w:val="28"/>
              </w:rPr>
              <w:t>Тип барьера</w:t>
            </w:r>
          </w:p>
        </w:tc>
        <w:tc>
          <w:tcPr>
            <w:tcW w:w="2268" w:type="dxa"/>
            <w:vAlign w:val="center"/>
          </w:tcPr>
          <w:p w14:paraId="34618233">
            <w:pPr>
              <w:spacing w:before="0" w:after="0" w:line="360" w:lineRule="auto"/>
              <w:jc w:val="center"/>
            </w:pPr>
            <w:r>
              <w:rPr>
                <w:rFonts w:ascii="Times New Roman" w:hAnsi="Times New Roman" w:eastAsia="Times New Roman" w:cs="Times New Roman"/>
                <w:b/>
                <w:i w:val="0"/>
                <w:color w:val="000000"/>
                <w:sz w:val="28"/>
              </w:rPr>
              <w:t>Стадия пути</w:t>
            </w:r>
          </w:p>
        </w:tc>
      </w:tr>
      <w:tr w14:paraId="6520C57E">
        <w:tc>
          <w:tcPr>
            <w:tcW w:w="4535" w:type="dxa"/>
            <w:vAlign w:val="top"/>
          </w:tcPr>
          <w:p w14:paraId="22C38939">
            <w:pPr>
              <w:spacing w:before="0" w:after="0" w:line="360" w:lineRule="auto"/>
              <w:jc w:val="left"/>
            </w:pPr>
            <w:r>
              <w:rPr>
                <w:rFonts w:ascii="Times New Roman" w:hAnsi="Times New Roman" w:eastAsia="Times New Roman" w:cs="Times New Roman"/>
                <w:b w:val="0"/>
                <w:i w:val="0"/>
                <w:color w:val="000000"/>
                <w:sz w:val="28"/>
              </w:rPr>
              <w:t>Низкая конверсия первичного трафика сайта в записи</w:t>
            </w:r>
          </w:p>
        </w:tc>
        <w:tc>
          <w:tcPr>
            <w:tcW w:w="2835" w:type="dxa"/>
            <w:vAlign w:val="top"/>
          </w:tcPr>
          <w:p w14:paraId="15E83CD0">
            <w:pPr>
              <w:spacing w:before="0" w:after="0" w:line="360" w:lineRule="auto"/>
              <w:jc w:val="left"/>
            </w:pPr>
            <w:r>
              <w:rPr>
                <w:rFonts w:ascii="Times New Roman" w:hAnsi="Times New Roman" w:eastAsia="Times New Roman" w:cs="Times New Roman"/>
                <w:b w:val="0"/>
                <w:i w:val="0"/>
                <w:color w:val="000000"/>
                <w:sz w:val="28"/>
              </w:rPr>
              <w:t>Сервисный (трудоёмкость записи)</w:t>
            </w:r>
          </w:p>
        </w:tc>
        <w:tc>
          <w:tcPr>
            <w:tcW w:w="2268" w:type="dxa"/>
            <w:vAlign w:val="top"/>
          </w:tcPr>
          <w:p w14:paraId="423F6FCD">
            <w:pPr>
              <w:spacing w:before="0" w:after="0" w:line="360" w:lineRule="auto"/>
              <w:jc w:val="left"/>
            </w:pPr>
            <w:r>
              <w:rPr>
                <w:rFonts w:ascii="Times New Roman" w:hAnsi="Times New Roman" w:eastAsia="Times New Roman" w:cs="Times New Roman"/>
                <w:b w:val="0"/>
                <w:i w:val="0"/>
                <w:color w:val="000000"/>
                <w:sz w:val="28"/>
              </w:rPr>
              <w:t>Привлечение</w:t>
            </w:r>
          </w:p>
        </w:tc>
      </w:tr>
      <w:tr w14:paraId="0304A9A3">
        <w:tc>
          <w:tcPr>
            <w:tcW w:w="4535" w:type="dxa"/>
            <w:vAlign w:val="top"/>
          </w:tcPr>
          <w:p w14:paraId="0BAE9CC0">
            <w:pPr>
              <w:spacing w:before="0" w:after="0" w:line="360" w:lineRule="auto"/>
              <w:jc w:val="left"/>
            </w:pPr>
            <w:r>
              <w:rPr>
                <w:rFonts w:ascii="Times New Roman" w:hAnsi="Times New Roman" w:eastAsia="Times New Roman" w:cs="Times New Roman"/>
                <w:b w:val="0"/>
                <w:i w:val="0"/>
                <w:color w:val="000000"/>
                <w:sz w:val="28"/>
              </w:rPr>
              <w:t>Рост числа неявок на записанные приёмы</w:t>
            </w:r>
          </w:p>
        </w:tc>
        <w:tc>
          <w:tcPr>
            <w:tcW w:w="2835" w:type="dxa"/>
            <w:vAlign w:val="top"/>
          </w:tcPr>
          <w:p w14:paraId="13F68BE7">
            <w:pPr>
              <w:spacing w:before="0" w:after="0" w:line="360" w:lineRule="auto"/>
              <w:jc w:val="left"/>
            </w:pPr>
            <w:r>
              <w:rPr>
                <w:rFonts w:ascii="Times New Roman" w:hAnsi="Times New Roman" w:eastAsia="Times New Roman" w:cs="Times New Roman"/>
                <w:b w:val="0"/>
                <w:i w:val="0"/>
                <w:color w:val="000000"/>
                <w:sz w:val="28"/>
              </w:rPr>
              <w:t>Поведенческий (забывание, низкая мотивация)</w:t>
            </w:r>
          </w:p>
        </w:tc>
        <w:tc>
          <w:tcPr>
            <w:tcW w:w="2268" w:type="dxa"/>
            <w:vAlign w:val="top"/>
          </w:tcPr>
          <w:p w14:paraId="694EF5E9">
            <w:pPr>
              <w:spacing w:before="0" w:after="0" w:line="360" w:lineRule="auto"/>
              <w:jc w:val="left"/>
            </w:pPr>
            <w:r>
              <w:rPr>
                <w:rFonts w:ascii="Times New Roman" w:hAnsi="Times New Roman" w:eastAsia="Times New Roman" w:cs="Times New Roman"/>
                <w:b w:val="0"/>
                <w:i w:val="0"/>
                <w:color w:val="000000"/>
                <w:sz w:val="28"/>
              </w:rPr>
              <w:t>Подтверждение</w:t>
            </w:r>
          </w:p>
        </w:tc>
      </w:tr>
      <w:tr w14:paraId="79234AEC">
        <w:tc>
          <w:tcPr>
            <w:tcW w:w="4535" w:type="dxa"/>
            <w:vAlign w:val="top"/>
          </w:tcPr>
          <w:p w14:paraId="48C533D7">
            <w:pPr>
              <w:spacing w:before="0" w:after="0" w:line="360" w:lineRule="auto"/>
              <w:jc w:val="left"/>
            </w:pPr>
            <w:r>
              <w:rPr>
                <w:rFonts w:ascii="Times New Roman" w:hAnsi="Times New Roman" w:eastAsia="Times New Roman" w:cs="Times New Roman"/>
                <w:b w:val="0"/>
                <w:i w:val="0"/>
                <w:color w:val="000000"/>
                <w:sz w:val="28"/>
              </w:rPr>
              <w:t>Отказы из-за трудоёмкости переноса записи</w:t>
            </w:r>
          </w:p>
        </w:tc>
        <w:tc>
          <w:tcPr>
            <w:tcW w:w="2835" w:type="dxa"/>
            <w:vAlign w:val="top"/>
          </w:tcPr>
          <w:p w14:paraId="7FD96DD2">
            <w:pPr>
              <w:spacing w:before="0" w:after="0" w:line="360" w:lineRule="auto"/>
              <w:jc w:val="left"/>
            </w:pPr>
            <w:r>
              <w:rPr>
                <w:rFonts w:ascii="Times New Roman" w:hAnsi="Times New Roman" w:eastAsia="Times New Roman" w:cs="Times New Roman"/>
                <w:b w:val="0"/>
                <w:i w:val="0"/>
                <w:color w:val="000000"/>
                <w:sz w:val="28"/>
              </w:rPr>
              <w:t>Сервисный (отсутствие самообслуживания)</w:t>
            </w:r>
          </w:p>
        </w:tc>
        <w:tc>
          <w:tcPr>
            <w:tcW w:w="2268" w:type="dxa"/>
            <w:vAlign w:val="top"/>
          </w:tcPr>
          <w:p w14:paraId="0C52ED57">
            <w:pPr>
              <w:spacing w:before="0" w:after="0" w:line="360" w:lineRule="auto"/>
              <w:jc w:val="left"/>
            </w:pPr>
            <w:r>
              <w:rPr>
                <w:rFonts w:ascii="Times New Roman" w:hAnsi="Times New Roman" w:eastAsia="Times New Roman" w:cs="Times New Roman"/>
                <w:b w:val="0"/>
                <w:i w:val="0"/>
                <w:color w:val="000000"/>
                <w:sz w:val="28"/>
              </w:rPr>
              <w:t>Подтверждение</w:t>
            </w:r>
          </w:p>
        </w:tc>
      </w:tr>
      <w:tr w14:paraId="2B392C70">
        <w:tc>
          <w:tcPr>
            <w:tcW w:w="4535" w:type="dxa"/>
            <w:vAlign w:val="top"/>
          </w:tcPr>
          <w:p w14:paraId="5C7F1E98">
            <w:pPr>
              <w:spacing w:before="0" w:after="0" w:line="360" w:lineRule="auto"/>
              <w:jc w:val="left"/>
            </w:pPr>
            <w:r>
              <w:rPr>
                <w:rFonts w:ascii="Times New Roman" w:hAnsi="Times New Roman" w:eastAsia="Times New Roman" w:cs="Times New Roman"/>
                <w:b w:val="0"/>
                <w:i w:val="0"/>
                <w:color w:val="000000"/>
                <w:sz w:val="28"/>
              </w:rPr>
              <w:t>Отток на этапе пост-диагностики</w:t>
            </w:r>
          </w:p>
        </w:tc>
        <w:tc>
          <w:tcPr>
            <w:tcW w:w="2835" w:type="dxa"/>
            <w:vAlign w:val="top"/>
          </w:tcPr>
          <w:p w14:paraId="1AF68306">
            <w:pPr>
              <w:spacing w:before="0" w:after="0" w:line="360" w:lineRule="auto"/>
              <w:jc w:val="left"/>
            </w:pPr>
            <w:r>
              <w:rPr>
                <w:rFonts w:ascii="Times New Roman" w:hAnsi="Times New Roman" w:eastAsia="Times New Roman" w:cs="Times New Roman"/>
                <w:b w:val="0"/>
                <w:i w:val="0"/>
                <w:color w:val="000000"/>
                <w:sz w:val="28"/>
              </w:rPr>
              <w:t>Информационный (нет цифрового канала плана лечения)</w:t>
            </w:r>
          </w:p>
        </w:tc>
        <w:tc>
          <w:tcPr>
            <w:tcW w:w="2268" w:type="dxa"/>
            <w:vAlign w:val="top"/>
          </w:tcPr>
          <w:p w14:paraId="5E26F0B0">
            <w:pPr>
              <w:spacing w:before="0" w:after="0" w:line="360" w:lineRule="auto"/>
              <w:jc w:val="left"/>
            </w:pPr>
            <w:r>
              <w:rPr>
                <w:rFonts w:ascii="Times New Roman" w:hAnsi="Times New Roman" w:eastAsia="Times New Roman" w:cs="Times New Roman"/>
                <w:b w:val="0"/>
                <w:i w:val="0"/>
                <w:color w:val="000000"/>
                <w:sz w:val="28"/>
              </w:rPr>
              <w:t>Пост-визит</w:t>
            </w:r>
          </w:p>
        </w:tc>
      </w:tr>
      <w:tr w14:paraId="542EBDB6">
        <w:tc>
          <w:tcPr>
            <w:tcW w:w="4535" w:type="dxa"/>
            <w:vAlign w:val="top"/>
          </w:tcPr>
          <w:p w14:paraId="0819AF95">
            <w:pPr>
              <w:spacing w:before="0" w:after="0" w:line="360" w:lineRule="auto"/>
              <w:jc w:val="left"/>
            </w:pPr>
            <w:r>
              <w:rPr>
                <w:rFonts w:ascii="Times New Roman" w:hAnsi="Times New Roman" w:eastAsia="Times New Roman" w:cs="Times New Roman"/>
                <w:b w:val="0"/>
                <w:i w:val="0"/>
                <w:color w:val="000000"/>
                <w:sz w:val="28"/>
              </w:rPr>
              <w:t>Нагрузка регистратуры по запросам истории</w:t>
            </w:r>
          </w:p>
        </w:tc>
        <w:tc>
          <w:tcPr>
            <w:tcW w:w="2835" w:type="dxa"/>
            <w:vAlign w:val="top"/>
          </w:tcPr>
          <w:p w14:paraId="5689D56A">
            <w:pPr>
              <w:spacing w:before="0" w:after="0" w:line="360" w:lineRule="auto"/>
              <w:jc w:val="left"/>
            </w:pPr>
            <w:r>
              <w:rPr>
                <w:rFonts w:ascii="Times New Roman" w:hAnsi="Times New Roman" w:eastAsia="Times New Roman" w:cs="Times New Roman"/>
                <w:b w:val="0"/>
                <w:i w:val="0"/>
                <w:color w:val="000000"/>
                <w:sz w:val="28"/>
              </w:rPr>
              <w:t>Информационный (нет доступа к истории)</w:t>
            </w:r>
          </w:p>
        </w:tc>
        <w:tc>
          <w:tcPr>
            <w:tcW w:w="2268" w:type="dxa"/>
            <w:vAlign w:val="top"/>
          </w:tcPr>
          <w:p w14:paraId="4C8B423A">
            <w:pPr>
              <w:spacing w:before="0" w:after="0" w:line="360" w:lineRule="auto"/>
              <w:jc w:val="left"/>
            </w:pPr>
            <w:r>
              <w:rPr>
                <w:rFonts w:ascii="Times New Roman" w:hAnsi="Times New Roman" w:eastAsia="Times New Roman" w:cs="Times New Roman"/>
                <w:b w:val="0"/>
                <w:i w:val="0"/>
                <w:color w:val="000000"/>
                <w:sz w:val="28"/>
              </w:rPr>
              <w:t>Удержание</w:t>
            </w:r>
          </w:p>
        </w:tc>
      </w:tr>
      <w:tr w14:paraId="5770F793">
        <w:tc>
          <w:tcPr>
            <w:tcW w:w="4535" w:type="dxa"/>
            <w:vAlign w:val="top"/>
          </w:tcPr>
          <w:p w14:paraId="0EBE8F76">
            <w:pPr>
              <w:spacing w:before="0" w:after="0" w:line="360" w:lineRule="auto"/>
              <w:jc w:val="left"/>
            </w:pPr>
            <w:r>
              <w:rPr>
                <w:rFonts w:ascii="Times New Roman" w:hAnsi="Times New Roman" w:eastAsia="Times New Roman" w:cs="Times New Roman"/>
                <w:b w:val="0"/>
                <w:i w:val="0"/>
                <w:color w:val="000000"/>
                <w:sz w:val="28"/>
              </w:rPr>
              <w:t>Снижение частоты профилактических визитов</w:t>
            </w:r>
          </w:p>
        </w:tc>
        <w:tc>
          <w:tcPr>
            <w:tcW w:w="2835" w:type="dxa"/>
            <w:vAlign w:val="top"/>
          </w:tcPr>
          <w:p w14:paraId="738AB61B">
            <w:pPr>
              <w:spacing w:before="0" w:after="0" w:line="360" w:lineRule="auto"/>
              <w:jc w:val="left"/>
            </w:pPr>
            <w:r>
              <w:rPr>
                <w:rFonts w:ascii="Times New Roman" w:hAnsi="Times New Roman" w:eastAsia="Times New Roman" w:cs="Times New Roman"/>
                <w:b w:val="0"/>
                <w:i w:val="0"/>
                <w:color w:val="000000"/>
                <w:sz w:val="28"/>
              </w:rPr>
              <w:t>Поведенческий (нет триггерных коммуникаций)</w:t>
            </w:r>
          </w:p>
        </w:tc>
        <w:tc>
          <w:tcPr>
            <w:tcW w:w="2268" w:type="dxa"/>
            <w:vAlign w:val="top"/>
          </w:tcPr>
          <w:p w14:paraId="664638AD">
            <w:pPr>
              <w:spacing w:before="0" w:after="0" w:line="360" w:lineRule="auto"/>
              <w:jc w:val="left"/>
            </w:pPr>
            <w:r>
              <w:rPr>
                <w:rFonts w:ascii="Times New Roman" w:hAnsi="Times New Roman" w:eastAsia="Times New Roman" w:cs="Times New Roman"/>
                <w:b w:val="0"/>
                <w:i w:val="0"/>
                <w:color w:val="000000"/>
                <w:sz w:val="28"/>
              </w:rPr>
              <w:t>Удержание</w:t>
            </w:r>
          </w:p>
        </w:tc>
      </w:tr>
      <w:tr w14:paraId="684A28C4">
        <w:tc>
          <w:tcPr>
            <w:tcW w:w="4535" w:type="dxa"/>
            <w:vAlign w:val="top"/>
          </w:tcPr>
          <w:p w14:paraId="78B5B13D">
            <w:pPr>
              <w:spacing w:before="0" w:after="0" w:line="360" w:lineRule="auto"/>
              <w:jc w:val="left"/>
            </w:pPr>
            <w:r>
              <w:rPr>
                <w:rFonts w:ascii="Times New Roman" w:hAnsi="Times New Roman" w:eastAsia="Times New Roman" w:cs="Times New Roman"/>
                <w:b w:val="0"/>
                <w:i w:val="0"/>
                <w:color w:val="000000"/>
                <w:sz w:val="28"/>
              </w:rPr>
              <w:t>Невозможность ретаргетинга и повторных коммуникаций</w:t>
            </w:r>
          </w:p>
        </w:tc>
        <w:tc>
          <w:tcPr>
            <w:tcW w:w="2835" w:type="dxa"/>
            <w:vAlign w:val="top"/>
          </w:tcPr>
          <w:p w14:paraId="1A48DDDF">
            <w:pPr>
              <w:spacing w:before="0" w:after="0" w:line="360" w:lineRule="auto"/>
              <w:jc w:val="left"/>
            </w:pPr>
            <w:r>
              <w:rPr>
                <w:rFonts w:ascii="Times New Roman" w:hAnsi="Times New Roman" w:eastAsia="Times New Roman" w:cs="Times New Roman"/>
                <w:b w:val="0"/>
                <w:i w:val="0"/>
                <w:color w:val="000000"/>
                <w:sz w:val="28"/>
              </w:rPr>
              <w:t>Структурный (нет идентифицированных контактов)</w:t>
            </w:r>
          </w:p>
        </w:tc>
        <w:tc>
          <w:tcPr>
            <w:tcW w:w="2268" w:type="dxa"/>
            <w:vAlign w:val="top"/>
          </w:tcPr>
          <w:p w14:paraId="55F43961">
            <w:pPr>
              <w:spacing w:before="0" w:after="0" w:line="360" w:lineRule="auto"/>
              <w:jc w:val="left"/>
            </w:pPr>
            <w:r>
              <w:rPr>
                <w:rFonts w:ascii="Times New Roman" w:hAnsi="Times New Roman" w:eastAsia="Times New Roman" w:cs="Times New Roman"/>
                <w:b w:val="0"/>
                <w:i w:val="0"/>
                <w:color w:val="000000"/>
                <w:sz w:val="28"/>
              </w:rPr>
              <w:t>Привлечение</w:t>
            </w:r>
          </w:p>
        </w:tc>
      </w:tr>
      <w:tr w14:paraId="1FE5D548">
        <w:tc>
          <w:tcPr>
            <w:tcW w:w="4535" w:type="dxa"/>
            <w:vAlign w:val="top"/>
          </w:tcPr>
          <w:p w14:paraId="0ECBBF26">
            <w:pPr>
              <w:spacing w:before="0" w:after="0" w:line="360" w:lineRule="auto"/>
              <w:jc w:val="left"/>
            </w:pPr>
            <w:r>
              <w:rPr>
                <w:rFonts w:ascii="Times New Roman" w:hAnsi="Times New Roman" w:eastAsia="Times New Roman" w:cs="Times New Roman"/>
                <w:b w:val="0"/>
                <w:i w:val="0"/>
                <w:color w:val="000000"/>
                <w:sz w:val="28"/>
              </w:rPr>
              <w:t>Зависимость от единственного канала записи</w:t>
            </w:r>
          </w:p>
        </w:tc>
        <w:tc>
          <w:tcPr>
            <w:tcW w:w="2835" w:type="dxa"/>
            <w:vAlign w:val="top"/>
          </w:tcPr>
          <w:p w14:paraId="268942CA">
            <w:pPr>
              <w:spacing w:before="0" w:after="0" w:line="360" w:lineRule="auto"/>
              <w:jc w:val="left"/>
            </w:pPr>
            <w:r>
              <w:rPr>
                <w:rFonts w:ascii="Times New Roman" w:hAnsi="Times New Roman" w:eastAsia="Times New Roman" w:cs="Times New Roman"/>
                <w:b w:val="0"/>
                <w:i w:val="0"/>
                <w:color w:val="000000"/>
                <w:sz w:val="28"/>
              </w:rPr>
              <w:t>Операционный риск</w:t>
            </w:r>
          </w:p>
        </w:tc>
        <w:tc>
          <w:tcPr>
            <w:tcW w:w="2268" w:type="dxa"/>
            <w:vAlign w:val="top"/>
          </w:tcPr>
          <w:p w14:paraId="1094E1F0">
            <w:pPr>
              <w:spacing w:before="0" w:after="0" w:line="360" w:lineRule="auto"/>
              <w:jc w:val="left"/>
            </w:pPr>
            <w:r>
              <w:rPr>
                <w:rFonts w:ascii="Times New Roman" w:hAnsi="Times New Roman" w:eastAsia="Times New Roman" w:cs="Times New Roman"/>
                <w:b w:val="0"/>
                <w:i w:val="0"/>
                <w:color w:val="000000"/>
                <w:sz w:val="28"/>
              </w:rPr>
              <w:t>Все стадии</w:t>
            </w:r>
          </w:p>
        </w:tc>
      </w:tr>
    </w:tbl>
    <w:p w14:paraId="39C21FDC">
      <w:pPr>
        <w:spacing w:before="40" w:after="80" w:line="360" w:lineRule="auto"/>
        <w:jc w:val="both"/>
      </w:pPr>
    </w:p>
    <w:p w14:paraId="70D82167">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Из таблицы видно свойство, важное для проектирования решения: проявления одного и того же типа барьера встречаются на разных стадиях пути, а одна стадия пути собирает разные типы барьеров. Поэтому точечное решение одного канала (например, добавление формы заявки) не закрывает проблему системно — нужен набор инструментов, согласованных в единой цифровой инфр</w:t>
      </w:r>
      <w:bookmarkStart w:id="0" w:name="_GoBack"/>
      <w:r>
        <w:rPr>
          <w:rFonts w:ascii="Times New Roman" w:hAnsi="Times New Roman" w:eastAsia="Times New Roman" w:cs="Times New Roman"/>
          <w:b w:val="0"/>
          <w:i w:val="0"/>
          <w:color w:val="000000"/>
          <w:sz w:val="28"/>
        </w:rPr>
        <w:t>аструктуре.</w:t>
      </w:r>
    </w:p>
    <w:p w14:paraId="7674B6AD">
      <w:pPr>
        <w:keepNext w:val="0"/>
        <w:keepLines w:val="0"/>
        <w:pageBreakBefore w:val="0"/>
        <w:widowControl/>
        <w:kinsoku/>
        <w:wordWrap/>
        <w:overflowPunct/>
        <w:topLinePunct w:val="0"/>
        <w:autoSpaceDE/>
        <w:autoSpaceDN/>
        <w:bidi w:val="0"/>
        <w:adjustRightInd/>
        <w:snapToGrid/>
        <w:spacing w:after="0" w:line="360" w:lineRule="auto"/>
        <w:ind w:firstLine="706"/>
        <w:jc w:val="left"/>
        <w:textAlignment w:val="auto"/>
      </w:pPr>
      <w:r>
        <w:rPr>
          <w:rFonts w:ascii="Times New Roman" w:hAnsi="Times New Roman" w:eastAsia="Times New Roman" w:cs="Times New Roman"/>
          <w:b/>
          <w:i w:val="0"/>
          <w:color w:val="000000"/>
          <w:sz w:val="28"/>
        </w:rPr>
        <w:t>1.4.2. Международный опыт решения проблемы цифровых барьеров записи</w:t>
      </w:r>
    </w:p>
    <w:p w14:paraId="505918EC">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 xml:space="preserve">В Великобритании Национальная служба здравоохранения (NHS) с мая </w:t>
      </w:r>
      <w:bookmarkEnd w:id="0"/>
      <w:r>
        <w:rPr>
          <w:rFonts w:ascii="Times New Roman" w:hAnsi="Times New Roman" w:eastAsia="Times New Roman" w:cs="Times New Roman"/>
          <w:b w:val="0"/>
          <w:i w:val="0"/>
          <w:color w:val="000000"/>
          <w:sz w:val="28"/>
        </w:rPr>
        <w:t>2024 года тестирует прямую электронную интеграцию между службой 111 и регистрационными системами стоматологических практик. Пилот в регионе Mid and South Essex к весне 2025 года позволил записать на срочный приём около 10 000 пациентов; параллельно программа Urgent Dental Access Centres в северо-восточном регионе и Камбрии охватила более 4 000 пациентов в Darlington UDAC при доле клинически завершённых приёмов 96,4 %. Эффект пилота для бизнеса в том, что барьер «не дозвонился до клиники» снимается на уровне межведомственной интеграции: пациент звонит в единый номер 111, оператор видит свободные слоты в нескольких клиниках и закрепляет запись напрямую.</w:t>
      </w:r>
    </w:p>
    <w:p w14:paraId="36547783">
      <w:pPr>
        <w:spacing w:before="0" w:after="0" w:line="360" w:lineRule="auto"/>
        <w:ind w:firstLine="709"/>
        <w:jc w:val="both"/>
      </w:pPr>
      <w:r>
        <w:rPr>
          <w:rFonts w:ascii="Times New Roman" w:hAnsi="Times New Roman" w:eastAsia="Times New Roman" w:cs="Times New Roman"/>
          <w:b w:val="0"/>
          <w:i w:val="0"/>
          <w:color w:val="000000"/>
          <w:sz w:val="28"/>
        </w:rPr>
        <w:t>В США наиболее подробно задокументирован пример программы DentaQuest — крупнейшего в стране плательщика стоматологических услуг. С 2023 года DentaQuest развёртывает SMS-сценарии повышения уровня использования стоматологической помощи; отчёт компании за 2024 год фиксирует рост вовлечённости и удовлетворённости пациентов в управляемых страховых программах. Опыт DentaQuest показывает: при сохранении телефона стандартом становятся текстовые касания (SMS, мессенджеры) и портал плательщика как место хранения долгосрочных данных пациента.</w:t>
      </w:r>
    </w:p>
    <w:p w14:paraId="3A3016AB">
      <w:pPr>
        <w:spacing w:before="0" w:after="0" w:line="360" w:lineRule="auto"/>
        <w:ind w:firstLine="709"/>
        <w:jc w:val="both"/>
      </w:pPr>
      <w:r>
        <w:rPr>
          <w:rFonts w:ascii="Times New Roman" w:hAnsi="Times New Roman" w:eastAsia="Times New Roman" w:cs="Times New Roman"/>
          <w:b w:val="0"/>
          <w:i w:val="0"/>
          <w:color w:val="000000"/>
          <w:sz w:val="28"/>
        </w:rPr>
        <w:t>В практике стоматологических сервисных организаций (Dental Service Organizations, DSO) — групп клиник под единым операционным управлением — основным архитектурным выбором стало сочетание облачной системы управления практикой и портала для пациентов. Henry Schein One объединяет в одном контуре платформы Dentrix, Easy Dental, eCentral и решения для коммуникаций с пациентом (онлайн-запись, SMS-напоминания, цифровые анкеты). DentalMonitoring занимает отдельный сегмент удалённого мониторинга: пациент через мобильное приложение присылает фотографии полости рта, врач комментирует ход лечения и вносит изменения в график визитов. Оба примера показывают, что цифровизация в DSO выстраивается вокруг постоянного канала связи с пациентом между визитами.</w:t>
      </w:r>
    </w:p>
    <w:p w14:paraId="250ECF78">
      <w:pPr>
        <w:spacing w:before="0" w:after="0" w:line="360" w:lineRule="auto"/>
        <w:ind w:firstLine="709"/>
        <w:jc w:val="both"/>
      </w:pPr>
      <w:r>
        <w:rPr>
          <w:rFonts w:ascii="Times New Roman" w:hAnsi="Times New Roman" w:eastAsia="Times New Roman" w:cs="Times New Roman"/>
          <w:b w:val="0"/>
          <w:i w:val="0"/>
          <w:color w:val="000000"/>
          <w:sz w:val="28"/>
        </w:rPr>
        <w:t>Опрос Clinical Evaluators Panel Американской стоматологической ассоциации в 2023 году показывает, что 30 % практик используют телестоматологию (синхронную или асинхронную). Основные мотивы — удобство для пациентов (53 %), последствия пандемии (50 %) и расширение доступа к врачам (39 %). Среди наблюдаемых эффектов — сокращение числа очных визитов (63 %) и улучшение качества доступа к помощи (57 %). Обзор систематических обзоров по телестоматологии, опубликованный в Journal of Medical Internet Research в 2025 году (Carrer и соавторы) [69], фиксирует, что после пандемии телестоматология закрепилась в развитых странах преимущественно как инструмент сопровождения очных приёмов, а не их замены; эту функцию подтверждает и обновлённая позиция AAPD о телестоматологии.</w:t>
      </w:r>
    </w:p>
    <w:p w14:paraId="33B79C9B">
      <w:pPr>
        <w:spacing w:before="0" w:after="0" w:line="360" w:lineRule="auto"/>
        <w:ind w:firstLine="709"/>
        <w:jc w:val="both"/>
      </w:pPr>
      <w:r>
        <w:rPr>
          <w:rFonts w:ascii="Times New Roman" w:hAnsi="Times New Roman" w:eastAsia="Times New Roman" w:cs="Times New Roman"/>
          <w:b w:val="0"/>
          <w:i w:val="0"/>
          <w:color w:val="000000"/>
          <w:sz w:val="28"/>
        </w:rPr>
        <w:t>Ещё одна линия международного опыта — омниканальное взаимодействие с пациентом. Опрос Smart Communications «2025 Healthcare Benchmark Report» (3 000 потребителей здравоохранения) показывает, что 81 % готовы рекомендовать клинику при превышении ожиданий по коммуникациям, а почти 70 % готовы сменить поставщика при их несоответствии. Качество цифровых коммуникаций превратилось из дополнительного сервиса в фактор удержания пациента.</w:t>
      </w:r>
    </w:p>
    <w:p w14:paraId="108019F7">
      <w:pPr>
        <w:spacing w:before="120" w:after="40" w:line="360" w:lineRule="auto"/>
        <w:jc w:val="left"/>
      </w:pPr>
      <w:r>
        <w:rPr>
          <w:rFonts w:ascii="Times New Roman" w:hAnsi="Times New Roman" w:eastAsia="Times New Roman" w:cs="Times New Roman"/>
          <w:b w:val="0"/>
          <w:i w:val="0"/>
          <w:color w:val="000000"/>
          <w:sz w:val="28"/>
        </w:rPr>
        <w:t>Таблица 1.4.2 – Международные практики цифровых решений пути пациента в стоматологии</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30"/>
        <w:gridCol w:w="3230"/>
        <w:gridCol w:w="3230"/>
      </w:tblGrid>
      <w:tr w14:paraId="2F8080BF">
        <w:tc>
          <w:tcPr>
            <w:tcW w:w="2835" w:type="dxa"/>
            <w:vAlign w:val="center"/>
          </w:tcPr>
          <w:p w14:paraId="5E1575CF">
            <w:pPr>
              <w:spacing w:before="0" w:after="0" w:line="360" w:lineRule="auto"/>
              <w:jc w:val="center"/>
            </w:pPr>
            <w:r>
              <w:rPr>
                <w:rFonts w:ascii="Times New Roman" w:hAnsi="Times New Roman" w:eastAsia="Times New Roman" w:cs="Times New Roman"/>
                <w:b/>
                <w:i w:val="0"/>
                <w:color w:val="000000"/>
                <w:sz w:val="28"/>
              </w:rPr>
              <w:t>Решение / страна</w:t>
            </w:r>
          </w:p>
        </w:tc>
        <w:tc>
          <w:tcPr>
            <w:tcW w:w="3402" w:type="dxa"/>
            <w:vAlign w:val="center"/>
          </w:tcPr>
          <w:p w14:paraId="47B48535">
            <w:pPr>
              <w:spacing w:before="0" w:after="0" w:line="360" w:lineRule="auto"/>
              <w:jc w:val="center"/>
            </w:pPr>
            <w:r>
              <w:rPr>
                <w:rFonts w:ascii="Times New Roman" w:hAnsi="Times New Roman" w:eastAsia="Times New Roman" w:cs="Times New Roman"/>
                <w:b/>
                <w:i w:val="0"/>
                <w:color w:val="000000"/>
                <w:sz w:val="28"/>
              </w:rPr>
              <w:t>Ключевая механика</w:t>
            </w:r>
          </w:p>
        </w:tc>
        <w:tc>
          <w:tcPr>
            <w:tcW w:w="3402" w:type="dxa"/>
            <w:vAlign w:val="center"/>
          </w:tcPr>
          <w:p w14:paraId="657B4A75">
            <w:pPr>
              <w:spacing w:before="0" w:after="0" w:line="360" w:lineRule="auto"/>
              <w:jc w:val="center"/>
            </w:pPr>
            <w:r>
              <w:rPr>
                <w:rFonts w:ascii="Times New Roman" w:hAnsi="Times New Roman" w:eastAsia="Times New Roman" w:cs="Times New Roman"/>
                <w:b/>
                <w:i w:val="0"/>
                <w:color w:val="000000"/>
                <w:sz w:val="28"/>
              </w:rPr>
              <w:t>Подтверждённый эффект</w:t>
            </w:r>
          </w:p>
        </w:tc>
      </w:tr>
      <w:tr w14:paraId="715CA21C">
        <w:tc>
          <w:tcPr>
            <w:tcW w:w="2835" w:type="dxa"/>
            <w:vAlign w:val="top"/>
          </w:tcPr>
          <w:p w14:paraId="5C62792C">
            <w:pPr>
              <w:spacing w:before="0" w:after="0" w:line="360" w:lineRule="auto"/>
              <w:jc w:val="left"/>
            </w:pPr>
            <w:r>
              <w:rPr>
                <w:rFonts w:ascii="Times New Roman" w:hAnsi="Times New Roman" w:eastAsia="Times New Roman" w:cs="Times New Roman"/>
                <w:b w:val="0"/>
                <w:i w:val="0"/>
                <w:color w:val="000000"/>
                <w:sz w:val="28"/>
              </w:rPr>
              <w:t>NHS 111 Direct Booking, Великобритания</w:t>
            </w:r>
          </w:p>
        </w:tc>
        <w:tc>
          <w:tcPr>
            <w:tcW w:w="3402" w:type="dxa"/>
            <w:vAlign w:val="top"/>
          </w:tcPr>
          <w:p w14:paraId="113F43EB">
            <w:pPr>
              <w:spacing w:before="0" w:after="0" w:line="360" w:lineRule="auto"/>
              <w:jc w:val="left"/>
            </w:pPr>
            <w:r>
              <w:rPr>
                <w:rFonts w:ascii="Times New Roman" w:hAnsi="Times New Roman" w:eastAsia="Times New Roman" w:cs="Times New Roman"/>
                <w:b w:val="0"/>
                <w:i w:val="0"/>
                <w:color w:val="000000"/>
                <w:sz w:val="28"/>
              </w:rPr>
              <w:t>Прямая электронная запись на срочный приём через единый канал</w:t>
            </w:r>
          </w:p>
        </w:tc>
        <w:tc>
          <w:tcPr>
            <w:tcW w:w="3402" w:type="dxa"/>
            <w:vAlign w:val="top"/>
          </w:tcPr>
          <w:p w14:paraId="7B47CECA">
            <w:pPr>
              <w:spacing w:before="0" w:after="0" w:line="360" w:lineRule="auto"/>
              <w:jc w:val="left"/>
            </w:pPr>
            <w:r>
              <w:rPr>
                <w:rFonts w:ascii="Times New Roman" w:hAnsi="Times New Roman" w:eastAsia="Times New Roman" w:cs="Times New Roman"/>
                <w:b w:val="0"/>
                <w:i w:val="0"/>
                <w:color w:val="000000"/>
                <w:sz w:val="28"/>
              </w:rPr>
              <w:t>≈10 000 записей в Mid and South Essex (с мая 2024); более 4 000 пациентов в Darlington UDAC, 96,4 % с завершённым лечением</w:t>
            </w:r>
          </w:p>
        </w:tc>
      </w:tr>
      <w:tr w14:paraId="1839F2E8">
        <w:tc>
          <w:tcPr>
            <w:tcW w:w="2835" w:type="dxa"/>
            <w:vAlign w:val="top"/>
          </w:tcPr>
          <w:p w14:paraId="2B18A6A5">
            <w:pPr>
              <w:spacing w:before="0" w:after="0" w:line="360" w:lineRule="auto"/>
              <w:jc w:val="left"/>
            </w:pPr>
            <w:r>
              <w:rPr>
                <w:rFonts w:ascii="Times New Roman" w:hAnsi="Times New Roman" w:eastAsia="Times New Roman" w:cs="Times New Roman"/>
                <w:b w:val="0"/>
                <w:i w:val="0"/>
                <w:color w:val="000000"/>
                <w:sz w:val="28"/>
              </w:rPr>
              <w:t>DentaQuest Digital Evolution, США</w:t>
            </w:r>
          </w:p>
        </w:tc>
        <w:tc>
          <w:tcPr>
            <w:tcW w:w="3402" w:type="dxa"/>
            <w:vAlign w:val="top"/>
          </w:tcPr>
          <w:p w14:paraId="48231587">
            <w:pPr>
              <w:spacing w:before="0" w:after="0" w:line="360" w:lineRule="auto"/>
              <w:jc w:val="left"/>
            </w:pPr>
            <w:r>
              <w:rPr>
                <w:rFonts w:ascii="Times New Roman" w:hAnsi="Times New Roman" w:eastAsia="Times New Roman" w:cs="Times New Roman"/>
                <w:b w:val="0"/>
                <w:i w:val="0"/>
                <w:color w:val="000000"/>
                <w:sz w:val="28"/>
              </w:rPr>
              <w:t>SMS-сценарии стимулирования визитов в управляемых страховых программах</w:t>
            </w:r>
          </w:p>
        </w:tc>
        <w:tc>
          <w:tcPr>
            <w:tcW w:w="3402" w:type="dxa"/>
            <w:vAlign w:val="top"/>
          </w:tcPr>
          <w:p w14:paraId="1D4A2003">
            <w:pPr>
              <w:spacing w:before="0" w:after="0" w:line="360" w:lineRule="auto"/>
              <w:jc w:val="left"/>
            </w:pPr>
            <w:r>
              <w:rPr>
                <w:rFonts w:ascii="Times New Roman" w:hAnsi="Times New Roman" w:eastAsia="Times New Roman" w:cs="Times New Roman"/>
                <w:b w:val="0"/>
                <w:i w:val="0"/>
                <w:color w:val="000000"/>
                <w:sz w:val="28"/>
              </w:rPr>
              <w:t>Рост утилизации страхового покрытия и удовлетворённости пациентов (отчёт 2024)</w:t>
            </w:r>
          </w:p>
        </w:tc>
      </w:tr>
      <w:tr w14:paraId="3DD35804">
        <w:tc>
          <w:tcPr>
            <w:tcW w:w="2835" w:type="dxa"/>
            <w:vAlign w:val="top"/>
          </w:tcPr>
          <w:p w14:paraId="22339E74">
            <w:pPr>
              <w:spacing w:before="0" w:after="0" w:line="360" w:lineRule="auto"/>
              <w:jc w:val="left"/>
            </w:pPr>
            <w:r>
              <w:rPr>
                <w:rFonts w:ascii="Times New Roman" w:hAnsi="Times New Roman" w:eastAsia="Times New Roman" w:cs="Times New Roman"/>
                <w:b w:val="0"/>
                <w:i w:val="0"/>
                <w:color w:val="000000"/>
                <w:sz w:val="28"/>
              </w:rPr>
              <w:t>Henry Schein One (Dentrix, eCentral)</w:t>
            </w:r>
          </w:p>
        </w:tc>
        <w:tc>
          <w:tcPr>
            <w:tcW w:w="3402" w:type="dxa"/>
            <w:vAlign w:val="top"/>
          </w:tcPr>
          <w:p w14:paraId="2DAE38A4">
            <w:pPr>
              <w:spacing w:before="0" w:after="0" w:line="360" w:lineRule="auto"/>
              <w:jc w:val="left"/>
            </w:pPr>
            <w:r>
              <w:rPr>
                <w:rFonts w:ascii="Times New Roman" w:hAnsi="Times New Roman" w:eastAsia="Times New Roman" w:cs="Times New Roman"/>
                <w:b w:val="0"/>
                <w:i w:val="0"/>
                <w:color w:val="000000"/>
                <w:sz w:val="28"/>
              </w:rPr>
              <w:t>Облачная PMS с онлайн-записью, SMS-напоминаниями, цифровыми анкетами для DSO</w:t>
            </w:r>
          </w:p>
        </w:tc>
        <w:tc>
          <w:tcPr>
            <w:tcW w:w="3402" w:type="dxa"/>
            <w:vAlign w:val="top"/>
          </w:tcPr>
          <w:p w14:paraId="535F09C4">
            <w:pPr>
              <w:spacing w:before="0" w:after="0" w:line="360" w:lineRule="auto"/>
              <w:jc w:val="left"/>
            </w:pPr>
            <w:r>
              <w:rPr>
                <w:rFonts w:ascii="Times New Roman" w:hAnsi="Times New Roman" w:eastAsia="Times New Roman" w:cs="Times New Roman"/>
                <w:b w:val="0"/>
                <w:i w:val="0"/>
                <w:color w:val="000000"/>
                <w:sz w:val="28"/>
              </w:rPr>
              <w:t>Стандарт де-факто для сетей клиник в США и Канаде</w:t>
            </w:r>
          </w:p>
        </w:tc>
      </w:tr>
      <w:tr w14:paraId="0FAE7524">
        <w:tc>
          <w:tcPr>
            <w:tcW w:w="2835" w:type="dxa"/>
            <w:vAlign w:val="top"/>
          </w:tcPr>
          <w:p w14:paraId="2E1C6F43">
            <w:pPr>
              <w:spacing w:before="0" w:after="0" w:line="360" w:lineRule="auto"/>
              <w:jc w:val="left"/>
            </w:pPr>
            <w:r>
              <w:rPr>
                <w:rFonts w:ascii="Times New Roman" w:hAnsi="Times New Roman" w:eastAsia="Times New Roman" w:cs="Times New Roman"/>
                <w:b w:val="0"/>
                <w:i w:val="0"/>
                <w:color w:val="000000"/>
                <w:sz w:val="28"/>
              </w:rPr>
              <w:t>DentalMonitoring</w:t>
            </w:r>
          </w:p>
        </w:tc>
        <w:tc>
          <w:tcPr>
            <w:tcW w:w="3402" w:type="dxa"/>
            <w:vAlign w:val="top"/>
          </w:tcPr>
          <w:p w14:paraId="0D3827FE">
            <w:pPr>
              <w:spacing w:before="0" w:after="0" w:line="360" w:lineRule="auto"/>
              <w:jc w:val="left"/>
            </w:pPr>
            <w:r>
              <w:rPr>
                <w:rFonts w:ascii="Times New Roman" w:hAnsi="Times New Roman" w:eastAsia="Times New Roman" w:cs="Times New Roman"/>
                <w:b w:val="0"/>
                <w:i w:val="0"/>
                <w:color w:val="000000"/>
                <w:sz w:val="28"/>
              </w:rPr>
              <w:t>Удалённый мониторинг по фото/видео из мобильного приложения пациента</w:t>
            </w:r>
          </w:p>
        </w:tc>
        <w:tc>
          <w:tcPr>
            <w:tcW w:w="3402" w:type="dxa"/>
            <w:vAlign w:val="top"/>
          </w:tcPr>
          <w:p w14:paraId="657027B8">
            <w:pPr>
              <w:spacing w:before="0" w:after="0" w:line="360" w:lineRule="auto"/>
              <w:jc w:val="left"/>
            </w:pPr>
            <w:r>
              <w:rPr>
                <w:rFonts w:ascii="Times New Roman" w:hAnsi="Times New Roman" w:eastAsia="Times New Roman" w:cs="Times New Roman"/>
                <w:b w:val="0"/>
                <w:i w:val="0"/>
                <w:color w:val="000000"/>
                <w:sz w:val="28"/>
              </w:rPr>
              <w:t>Сокращение числа очных контрольных визитов в ортодонтии и ортопедии</w:t>
            </w:r>
          </w:p>
        </w:tc>
      </w:tr>
      <w:tr w14:paraId="5F7E3AED">
        <w:tc>
          <w:tcPr>
            <w:tcW w:w="2835" w:type="dxa"/>
            <w:vAlign w:val="top"/>
          </w:tcPr>
          <w:p w14:paraId="4F2B3C99">
            <w:pPr>
              <w:spacing w:before="0" w:after="0" w:line="360" w:lineRule="auto"/>
              <w:jc w:val="left"/>
            </w:pPr>
            <w:r>
              <w:rPr>
                <w:rFonts w:ascii="Times New Roman" w:hAnsi="Times New Roman" w:eastAsia="Times New Roman" w:cs="Times New Roman"/>
                <w:b w:val="0"/>
                <w:i w:val="0"/>
                <w:color w:val="000000"/>
                <w:sz w:val="28"/>
              </w:rPr>
              <w:t>ADA Clinical Evaluators Panel (телестоматология)</w:t>
            </w:r>
          </w:p>
        </w:tc>
        <w:tc>
          <w:tcPr>
            <w:tcW w:w="3402" w:type="dxa"/>
            <w:vAlign w:val="top"/>
          </w:tcPr>
          <w:p w14:paraId="61F08F23">
            <w:pPr>
              <w:spacing w:before="0" w:after="0" w:line="360" w:lineRule="auto"/>
              <w:jc w:val="left"/>
            </w:pPr>
            <w:r>
              <w:rPr>
                <w:rFonts w:ascii="Times New Roman" w:hAnsi="Times New Roman" w:eastAsia="Times New Roman" w:cs="Times New Roman"/>
                <w:b w:val="0"/>
                <w:i w:val="0"/>
                <w:color w:val="000000"/>
                <w:sz w:val="28"/>
              </w:rPr>
              <w:t>Синхронные и асинхронные удалённые консультации</w:t>
            </w:r>
          </w:p>
        </w:tc>
        <w:tc>
          <w:tcPr>
            <w:tcW w:w="3402" w:type="dxa"/>
            <w:vAlign w:val="top"/>
          </w:tcPr>
          <w:p w14:paraId="70494618">
            <w:pPr>
              <w:spacing w:before="0" w:after="0" w:line="360" w:lineRule="auto"/>
              <w:jc w:val="left"/>
            </w:pPr>
            <w:r>
              <w:rPr>
                <w:rFonts w:ascii="Times New Roman" w:hAnsi="Times New Roman" w:eastAsia="Times New Roman" w:cs="Times New Roman"/>
                <w:b w:val="0"/>
                <w:i w:val="0"/>
                <w:color w:val="000000"/>
                <w:sz w:val="28"/>
              </w:rPr>
              <w:t>30 % практик в США применяют телестоматологию; 63 % фиксируют сокращение очных визитов</w:t>
            </w:r>
          </w:p>
        </w:tc>
      </w:tr>
      <w:tr w14:paraId="544ED147">
        <w:tc>
          <w:tcPr>
            <w:tcW w:w="2835" w:type="dxa"/>
            <w:vAlign w:val="top"/>
          </w:tcPr>
          <w:p w14:paraId="06ABC01B">
            <w:pPr>
              <w:spacing w:before="0" w:after="0" w:line="360" w:lineRule="auto"/>
              <w:jc w:val="left"/>
            </w:pPr>
            <w:r>
              <w:rPr>
                <w:rFonts w:ascii="Times New Roman" w:hAnsi="Times New Roman" w:eastAsia="Times New Roman" w:cs="Times New Roman"/>
                <w:b w:val="0"/>
                <w:i w:val="0"/>
                <w:color w:val="000000"/>
                <w:sz w:val="28"/>
              </w:rPr>
              <w:t>Smart Communications 2025 Healthcare Benchmark</w:t>
            </w:r>
          </w:p>
        </w:tc>
        <w:tc>
          <w:tcPr>
            <w:tcW w:w="3402" w:type="dxa"/>
            <w:vAlign w:val="top"/>
          </w:tcPr>
          <w:p w14:paraId="7CA70D1D">
            <w:pPr>
              <w:spacing w:before="0" w:after="0" w:line="360" w:lineRule="auto"/>
              <w:jc w:val="left"/>
            </w:pPr>
            <w:r>
              <w:rPr>
                <w:rFonts w:ascii="Times New Roman" w:hAnsi="Times New Roman" w:eastAsia="Times New Roman" w:cs="Times New Roman"/>
                <w:b w:val="0"/>
                <w:i w:val="0"/>
                <w:color w:val="000000"/>
                <w:sz w:val="28"/>
              </w:rPr>
              <w:t>Координированный мульти-канал: SMS, чаты, мессенджеры, портал, приложение</w:t>
            </w:r>
          </w:p>
        </w:tc>
        <w:tc>
          <w:tcPr>
            <w:tcW w:w="3402" w:type="dxa"/>
            <w:vAlign w:val="top"/>
          </w:tcPr>
          <w:p w14:paraId="2DFC0579">
            <w:pPr>
              <w:spacing w:before="0" w:after="0" w:line="360" w:lineRule="auto"/>
              <w:jc w:val="left"/>
            </w:pPr>
            <w:r>
              <w:rPr>
                <w:rFonts w:ascii="Times New Roman" w:hAnsi="Times New Roman" w:eastAsia="Times New Roman" w:cs="Times New Roman"/>
                <w:b w:val="0"/>
                <w:i w:val="0"/>
                <w:color w:val="000000"/>
                <w:sz w:val="28"/>
              </w:rPr>
              <w:t>81 % готовы рекомендовать клинику при превышении ожиданий по коммуникациям; ≈70 % готовы сменить провайдера при их несоответствии</w:t>
            </w:r>
          </w:p>
        </w:tc>
      </w:tr>
    </w:tbl>
    <w:p w14:paraId="610776D3">
      <w:pPr>
        <w:keepNext w:val="0"/>
        <w:keepLines w:val="0"/>
        <w:pageBreakBefore w:val="0"/>
        <w:widowControl/>
        <w:kinsoku/>
        <w:wordWrap/>
        <w:overflowPunct/>
        <w:topLinePunct w:val="0"/>
        <w:autoSpaceDE/>
        <w:autoSpaceDN/>
        <w:bidi w:val="0"/>
        <w:adjustRightInd/>
        <w:snapToGrid/>
        <w:spacing w:after="0" w:line="360" w:lineRule="auto"/>
        <w:jc w:val="both"/>
        <w:textAlignment w:val="auto"/>
      </w:pPr>
    </w:p>
    <w:p w14:paraId="4EDB2F94">
      <w:pPr>
        <w:keepNext w:val="0"/>
        <w:keepLines w:val="0"/>
        <w:pageBreakBefore w:val="0"/>
        <w:widowControl/>
        <w:kinsoku/>
        <w:wordWrap/>
        <w:overflowPunct/>
        <w:topLinePunct w:val="0"/>
        <w:autoSpaceDE/>
        <w:autoSpaceDN/>
        <w:bidi w:val="0"/>
        <w:adjustRightInd/>
        <w:snapToGrid/>
        <w:spacing w:after="0" w:line="360" w:lineRule="auto"/>
        <w:ind w:firstLine="709"/>
        <w:jc w:val="left"/>
        <w:textAlignment w:val="auto"/>
      </w:pPr>
      <w:r>
        <w:rPr>
          <w:rFonts w:ascii="Times New Roman" w:hAnsi="Times New Roman" w:eastAsia="Times New Roman" w:cs="Times New Roman"/>
          <w:b/>
          <w:i w:val="0"/>
          <w:color w:val="000000"/>
          <w:sz w:val="28"/>
        </w:rPr>
        <w:t>1.4.3. Российская практика цифровых решений пути пациента</w:t>
      </w:r>
    </w:p>
    <w:p w14:paraId="65AE9918">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i w:val="0"/>
          <w:color w:val="000000"/>
          <w:sz w:val="28"/>
        </w:rPr>
        <w:t>В российской практике цифровизация коммуникаций с пациентом развивается несколькими параллельными линиями. Первая линия — медицинские информационные системы (МИС) с контуром пациента: «1С:Медицина. Стоматологическая клиника» и аналоги ведут запись, расписание врачей, электронную карту и финансовый учёт, а мобильное приложение пациента надстраивается над ними для самостоятельной записи и просмотра истории. Внедрение мобильного приложения пациента в связке с МИС поддерживает функции, для которых в международной литературе зафиксировано существенное снижение неявок: систематический обзор McLean и соавторов сообщает о среднем снижении на 34 %.</w:t>
      </w:r>
    </w:p>
    <w:p w14:paraId="521ECFFA">
      <w:pPr>
        <w:spacing w:before="0" w:after="0" w:line="360" w:lineRule="auto"/>
        <w:ind w:firstLine="709"/>
        <w:jc w:val="both"/>
      </w:pPr>
      <w:r>
        <w:rPr>
          <w:rFonts w:ascii="Times New Roman" w:hAnsi="Times New Roman" w:eastAsia="Times New Roman" w:cs="Times New Roman"/>
          <w:b w:val="0"/>
          <w:i w:val="0"/>
          <w:color w:val="000000"/>
          <w:sz w:val="28"/>
        </w:rPr>
        <w:t>Вторая линия — внешние агрегаторы и платформы записи: «СберЗдоровье», «ПроДокторов», «DocDoc.ru», «НаПоправку». Они работают как точка первого касания и часто используются пациентами для сравнения клиник по цене и отзывам. Их недостаток для сети клиник — «потеря» пациента: контактные данные и история взаимодействий остаются в платформе, а не в собственной системе клиники, что затрудняет повторные коммуникации и ретаргетинг.</w:t>
      </w:r>
    </w:p>
    <w:p w14:paraId="6F592558">
      <w:pPr>
        <w:spacing w:before="0" w:after="0" w:line="360" w:lineRule="auto"/>
        <w:ind w:firstLine="709"/>
        <w:jc w:val="both"/>
      </w:pPr>
      <w:r>
        <w:rPr>
          <w:rFonts w:ascii="Times New Roman" w:hAnsi="Times New Roman" w:eastAsia="Times New Roman" w:cs="Times New Roman"/>
          <w:b w:val="0"/>
          <w:i w:val="0"/>
          <w:color w:val="000000"/>
          <w:sz w:val="28"/>
        </w:rPr>
        <w:t>Третья линия — собственные приложения сетей клиник. Пример — приложение «Мой Зубной» сети одноимённых стоматологий Санкт-Петербурга: оно собирает расписание врачей, историю посещений, информацию о гарантиях и квалификации специалистов, сведения о расположении и режиме работы филиалов. Такие приложения решают задачу удержания постоянного пациента и снижают зависимость клиники от внешних агрегаторов.</w:t>
      </w:r>
    </w:p>
    <w:p w14:paraId="2E46DCB9">
      <w:pPr>
        <w:spacing w:before="0" w:after="0" w:line="360" w:lineRule="auto"/>
        <w:ind w:firstLine="709"/>
        <w:jc w:val="both"/>
      </w:pPr>
      <w:r>
        <w:rPr>
          <w:rFonts w:ascii="Times New Roman" w:hAnsi="Times New Roman" w:eastAsia="Times New Roman" w:cs="Times New Roman"/>
          <w:b w:val="0"/>
          <w:i w:val="0"/>
          <w:color w:val="000000"/>
          <w:sz w:val="28"/>
        </w:rPr>
        <w:t>Четвёртая линия — мессенджеры и чат-боты. С 2022 года российские клиники активно переносят коммуникации в WhatsApp и Telegram: автоматические напоминания, подтверждения визита, ответы на типовые вопросы. По наблюдениям отраслевых кейсов, перевод уведомлений из SMS в мессенджеры повышает долю подтверждённых визитов и сокращает число неявок за счёт более высокой доставляемости и удобного формата подтверждения.</w:t>
      </w:r>
    </w:p>
    <w:p w14:paraId="16222259">
      <w:pPr>
        <w:spacing w:before="120" w:after="40" w:line="360" w:lineRule="auto"/>
        <w:jc w:val="left"/>
      </w:pPr>
      <w:r>
        <w:rPr>
          <w:rFonts w:ascii="Times New Roman" w:hAnsi="Times New Roman" w:eastAsia="Times New Roman" w:cs="Times New Roman"/>
          <w:b w:val="0"/>
          <w:i w:val="0"/>
          <w:color w:val="000000"/>
          <w:sz w:val="28"/>
        </w:rPr>
        <w:t>Таблица 1.4.3 – Российские цифровые решения для стоматологических клиник и их функциональный охват</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30"/>
        <w:gridCol w:w="3230"/>
        <w:gridCol w:w="3230"/>
      </w:tblGrid>
      <w:tr w14:paraId="2C4F2A5F">
        <w:tc>
          <w:tcPr>
            <w:tcW w:w="2551" w:type="dxa"/>
            <w:vAlign w:val="center"/>
          </w:tcPr>
          <w:p w14:paraId="05477B9F">
            <w:pPr>
              <w:spacing w:before="0" w:after="0" w:line="360" w:lineRule="auto"/>
              <w:jc w:val="center"/>
            </w:pPr>
            <w:r>
              <w:rPr>
                <w:rFonts w:ascii="Times New Roman" w:hAnsi="Times New Roman" w:eastAsia="Times New Roman" w:cs="Times New Roman"/>
                <w:b/>
                <w:i w:val="0"/>
                <w:color w:val="000000"/>
                <w:sz w:val="28"/>
              </w:rPr>
              <w:t>Класс решения</w:t>
            </w:r>
          </w:p>
        </w:tc>
        <w:tc>
          <w:tcPr>
            <w:tcW w:w="3402" w:type="dxa"/>
            <w:vAlign w:val="center"/>
          </w:tcPr>
          <w:p w14:paraId="53B2BE23">
            <w:pPr>
              <w:spacing w:before="0" w:after="0" w:line="360" w:lineRule="auto"/>
              <w:jc w:val="center"/>
            </w:pPr>
            <w:r>
              <w:rPr>
                <w:rFonts w:ascii="Times New Roman" w:hAnsi="Times New Roman" w:eastAsia="Times New Roman" w:cs="Times New Roman"/>
                <w:b/>
                <w:i w:val="0"/>
                <w:color w:val="000000"/>
                <w:sz w:val="28"/>
              </w:rPr>
              <w:t>Примеры</w:t>
            </w:r>
          </w:p>
        </w:tc>
        <w:tc>
          <w:tcPr>
            <w:tcW w:w="3402" w:type="dxa"/>
            <w:vAlign w:val="center"/>
          </w:tcPr>
          <w:p w14:paraId="75CCC61D">
            <w:pPr>
              <w:spacing w:before="0" w:after="0" w:line="360" w:lineRule="auto"/>
              <w:jc w:val="center"/>
            </w:pPr>
            <w:r>
              <w:rPr>
                <w:rFonts w:ascii="Times New Roman" w:hAnsi="Times New Roman" w:eastAsia="Times New Roman" w:cs="Times New Roman"/>
                <w:b/>
                <w:i w:val="0"/>
                <w:color w:val="000000"/>
                <w:sz w:val="28"/>
              </w:rPr>
              <w:t>Покрытие пути пациента</w:t>
            </w:r>
          </w:p>
        </w:tc>
      </w:tr>
      <w:tr w14:paraId="3CD38DDD">
        <w:tc>
          <w:tcPr>
            <w:tcW w:w="2551" w:type="dxa"/>
            <w:vAlign w:val="top"/>
          </w:tcPr>
          <w:p w14:paraId="6FE7761B">
            <w:pPr>
              <w:spacing w:before="0" w:after="0" w:line="360" w:lineRule="auto"/>
              <w:jc w:val="left"/>
            </w:pPr>
            <w:r>
              <w:rPr>
                <w:rFonts w:ascii="Times New Roman" w:hAnsi="Times New Roman" w:eastAsia="Times New Roman" w:cs="Times New Roman"/>
                <w:b w:val="0"/>
                <w:i w:val="0"/>
                <w:color w:val="000000"/>
                <w:sz w:val="28"/>
              </w:rPr>
              <w:t>МИС с контуром пациента</w:t>
            </w:r>
          </w:p>
        </w:tc>
        <w:tc>
          <w:tcPr>
            <w:tcW w:w="3402" w:type="dxa"/>
            <w:vAlign w:val="top"/>
          </w:tcPr>
          <w:p w14:paraId="721CE04D">
            <w:pPr>
              <w:spacing w:before="0" w:after="0" w:line="360" w:lineRule="auto"/>
              <w:jc w:val="left"/>
            </w:pPr>
            <w:r>
              <w:rPr>
                <w:rFonts w:ascii="Times New Roman" w:hAnsi="Times New Roman" w:eastAsia="Times New Roman" w:cs="Times New Roman"/>
                <w:b w:val="0"/>
                <w:i w:val="0"/>
                <w:color w:val="000000"/>
                <w:sz w:val="28"/>
              </w:rPr>
              <w:t>1С:Медицина. Стоматологическая клиника, IDENT, Dental4Windows</w:t>
            </w:r>
          </w:p>
        </w:tc>
        <w:tc>
          <w:tcPr>
            <w:tcW w:w="3402" w:type="dxa"/>
            <w:vAlign w:val="top"/>
          </w:tcPr>
          <w:p w14:paraId="06BC7D47">
            <w:pPr>
              <w:spacing w:before="0" w:after="0" w:line="360" w:lineRule="auto"/>
              <w:jc w:val="left"/>
            </w:pPr>
            <w:r>
              <w:rPr>
                <w:rFonts w:ascii="Times New Roman" w:hAnsi="Times New Roman" w:eastAsia="Times New Roman" w:cs="Times New Roman"/>
                <w:b w:val="0"/>
                <w:i w:val="0"/>
                <w:color w:val="000000"/>
                <w:sz w:val="28"/>
              </w:rPr>
              <w:t>Запись, расписание, электронная карта, кабинет пациента</w:t>
            </w:r>
          </w:p>
        </w:tc>
      </w:tr>
      <w:tr w14:paraId="6EB047C3">
        <w:tc>
          <w:tcPr>
            <w:tcW w:w="2551" w:type="dxa"/>
            <w:vAlign w:val="top"/>
          </w:tcPr>
          <w:p w14:paraId="5F19186E">
            <w:pPr>
              <w:spacing w:before="0" w:after="0" w:line="360" w:lineRule="auto"/>
              <w:jc w:val="left"/>
            </w:pPr>
            <w:r>
              <w:rPr>
                <w:rFonts w:ascii="Times New Roman" w:hAnsi="Times New Roman" w:eastAsia="Times New Roman" w:cs="Times New Roman"/>
                <w:b w:val="0"/>
                <w:i w:val="0"/>
                <w:color w:val="000000"/>
                <w:sz w:val="28"/>
              </w:rPr>
              <w:t>Внешние агрегаторы и платформы</w:t>
            </w:r>
          </w:p>
        </w:tc>
        <w:tc>
          <w:tcPr>
            <w:tcW w:w="3402" w:type="dxa"/>
            <w:vAlign w:val="top"/>
          </w:tcPr>
          <w:p w14:paraId="2C7D6F2D">
            <w:pPr>
              <w:spacing w:before="0" w:after="0" w:line="360" w:lineRule="auto"/>
              <w:jc w:val="left"/>
            </w:pPr>
            <w:r>
              <w:rPr>
                <w:rFonts w:ascii="Times New Roman" w:hAnsi="Times New Roman" w:eastAsia="Times New Roman" w:cs="Times New Roman"/>
                <w:b w:val="0"/>
                <w:i w:val="0"/>
                <w:color w:val="000000"/>
                <w:sz w:val="28"/>
              </w:rPr>
              <w:t>СберЗдоровье, ПроДокторов, DocDoc, НаПоправку</w:t>
            </w:r>
          </w:p>
        </w:tc>
        <w:tc>
          <w:tcPr>
            <w:tcW w:w="3402" w:type="dxa"/>
            <w:vAlign w:val="top"/>
          </w:tcPr>
          <w:p w14:paraId="3EE91274">
            <w:pPr>
              <w:spacing w:before="0" w:after="0" w:line="360" w:lineRule="auto"/>
              <w:jc w:val="left"/>
            </w:pPr>
            <w:r>
              <w:rPr>
                <w:rFonts w:ascii="Times New Roman" w:hAnsi="Times New Roman" w:eastAsia="Times New Roman" w:cs="Times New Roman"/>
                <w:b w:val="0"/>
                <w:i w:val="0"/>
                <w:color w:val="000000"/>
                <w:sz w:val="28"/>
              </w:rPr>
              <w:t>Первичный поиск, сравнение, отзывы, запись</w:t>
            </w:r>
          </w:p>
        </w:tc>
      </w:tr>
      <w:tr w14:paraId="0EEFA771">
        <w:tc>
          <w:tcPr>
            <w:tcW w:w="2551" w:type="dxa"/>
            <w:vAlign w:val="top"/>
          </w:tcPr>
          <w:p w14:paraId="04BF068F">
            <w:pPr>
              <w:spacing w:before="0" w:after="0" w:line="360" w:lineRule="auto"/>
              <w:jc w:val="left"/>
            </w:pPr>
            <w:r>
              <w:rPr>
                <w:rFonts w:ascii="Times New Roman" w:hAnsi="Times New Roman" w:eastAsia="Times New Roman" w:cs="Times New Roman"/>
                <w:b w:val="0"/>
                <w:i w:val="0"/>
                <w:color w:val="000000"/>
                <w:sz w:val="28"/>
              </w:rPr>
              <w:t>Собственные приложения сетей</w:t>
            </w:r>
          </w:p>
        </w:tc>
        <w:tc>
          <w:tcPr>
            <w:tcW w:w="3402" w:type="dxa"/>
            <w:vAlign w:val="top"/>
          </w:tcPr>
          <w:p w14:paraId="57ECBD6C">
            <w:pPr>
              <w:spacing w:before="0" w:after="0" w:line="360" w:lineRule="auto"/>
              <w:jc w:val="left"/>
            </w:pPr>
            <w:r>
              <w:rPr>
                <w:rFonts w:ascii="Times New Roman" w:hAnsi="Times New Roman" w:eastAsia="Times New Roman" w:cs="Times New Roman"/>
                <w:b w:val="0"/>
                <w:i w:val="0"/>
                <w:color w:val="000000"/>
                <w:sz w:val="28"/>
              </w:rPr>
              <w:t>Мой Зубной, фирменные приложения сетей в Москве и Санкт-Петербурге</w:t>
            </w:r>
          </w:p>
        </w:tc>
        <w:tc>
          <w:tcPr>
            <w:tcW w:w="3402" w:type="dxa"/>
            <w:vAlign w:val="top"/>
          </w:tcPr>
          <w:p w14:paraId="5F25234A">
            <w:pPr>
              <w:spacing w:before="0" w:after="0" w:line="360" w:lineRule="auto"/>
              <w:jc w:val="left"/>
            </w:pPr>
            <w:r>
              <w:rPr>
                <w:rFonts w:ascii="Times New Roman" w:hAnsi="Times New Roman" w:eastAsia="Times New Roman" w:cs="Times New Roman"/>
                <w:b w:val="0"/>
                <w:i w:val="0"/>
                <w:color w:val="000000"/>
                <w:sz w:val="28"/>
              </w:rPr>
              <w:t>Запись, история визитов, гарантии, документы</w:t>
            </w:r>
          </w:p>
        </w:tc>
      </w:tr>
      <w:tr w14:paraId="43360F97">
        <w:tc>
          <w:tcPr>
            <w:tcW w:w="2551" w:type="dxa"/>
            <w:vAlign w:val="top"/>
          </w:tcPr>
          <w:p w14:paraId="0F66F6DE">
            <w:pPr>
              <w:spacing w:before="0" w:after="0" w:line="360" w:lineRule="auto"/>
              <w:jc w:val="left"/>
            </w:pPr>
            <w:r>
              <w:rPr>
                <w:rFonts w:ascii="Times New Roman" w:hAnsi="Times New Roman" w:eastAsia="Times New Roman" w:cs="Times New Roman"/>
                <w:b w:val="0"/>
                <w:i w:val="0"/>
                <w:color w:val="000000"/>
                <w:sz w:val="28"/>
              </w:rPr>
              <w:t>Мессенджеры и чат-боты</w:t>
            </w:r>
          </w:p>
        </w:tc>
        <w:tc>
          <w:tcPr>
            <w:tcW w:w="3402" w:type="dxa"/>
            <w:vAlign w:val="top"/>
          </w:tcPr>
          <w:p w14:paraId="17BEA446">
            <w:pPr>
              <w:spacing w:before="0" w:after="0" w:line="360" w:lineRule="auto"/>
              <w:jc w:val="left"/>
            </w:pPr>
            <w:r>
              <w:rPr>
                <w:rFonts w:ascii="Times New Roman" w:hAnsi="Times New Roman" w:eastAsia="Times New Roman" w:cs="Times New Roman"/>
                <w:b w:val="0"/>
                <w:i w:val="0"/>
                <w:color w:val="000000"/>
                <w:sz w:val="28"/>
              </w:rPr>
              <w:t>Боты на базе WhatsApp Business, Telegram Bot API</w:t>
            </w:r>
          </w:p>
        </w:tc>
        <w:tc>
          <w:tcPr>
            <w:tcW w:w="3402" w:type="dxa"/>
            <w:vAlign w:val="top"/>
          </w:tcPr>
          <w:p w14:paraId="3E884FCD">
            <w:pPr>
              <w:spacing w:before="0" w:after="0" w:line="360" w:lineRule="auto"/>
              <w:jc w:val="left"/>
            </w:pPr>
            <w:r>
              <w:rPr>
                <w:rFonts w:ascii="Times New Roman" w:hAnsi="Times New Roman" w:eastAsia="Times New Roman" w:cs="Times New Roman"/>
                <w:b w:val="0"/>
                <w:i w:val="0"/>
                <w:color w:val="000000"/>
                <w:sz w:val="28"/>
              </w:rPr>
              <w:t>Напоминания, подтверждение, FAQ, перенос записи</w:t>
            </w:r>
          </w:p>
        </w:tc>
      </w:tr>
      <w:tr w14:paraId="1D3F7128">
        <w:tc>
          <w:tcPr>
            <w:tcW w:w="2551" w:type="dxa"/>
            <w:vAlign w:val="top"/>
          </w:tcPr>
          <w:p w14:paraId="330D59BD">
            <w:pPr>
              <w:spacing w:before="0" w:after="0" w:line="360" w:lineRule="auto"/>
              <w:jc w:val="left"/>
            </w:pPr>
            <w:r>
              <w:rPr>
                <w:rFonts w:ascii="Times New Roman" w:hAnsi="Times New Roman" w:eastAsia="Times New Roman" w:cs="Times New Roman"/>
                <w:b w:val="0"/>
                <w:i w:val="0"/>
                <w:color w:val="000000"/>
                <w:sz w:val="28"/>
              </w:rPr>
              <w:t>CRM/SCRM в медицине</w:t>
            </w:r>
          </w:p>
        </w:tc>
        <w:tc>
          <w:tcPr>
            <w:tcW w:w="3402" w:type="dxa"/>
            <w:vAlign w:val="top"/>
          </w:tcPr>
          <w:p w14:paraId="348115FF">
            <w:pPr>
              <w:spacing w:before="0" w:after="0" w:line="360" w:lineRule="auto"/>
              <w:jc w:val="left"/>
            </w:pPr>
            <w:r>
              <w:rPr>
                <w:rFonts w:ascii="Times New Roman" w:hAnsi="Times New Roman" w:eastAsia="Times New Roman" w:cs="Times New Roman"/>
                <w:b w:val="0"/>
                <w:i w:val="0"/>
                <w:color w:val="000000"/>
                <w:sz w:val="28"/>
              </w:rPr>
              <w:t>amoCRM Healthcare, Bitrix24 для клиник</w:t>
            </w:r>
          </w:p>
        </w:tc>
        <w:tc>
          <w:tcPr>
            <w:tcW w:w="3402" w:type="dxa"/>
            <w:vAlign w:val="top"/>
          </w:tcPr>
          <w:p w14:paraId="4800F036">
            <w:pPr>
              <w:spacing w:before="0" w:after="0" w:line="360" w:lineRule="auto"/>
              <w:jc w:val="left"/>
            </w:pPr>
            <w:r>
              <w:rPr>
                <w:rFonts w:ascii="Times New Roman" w:hAnsi="Times New Roman" w:eastAsia="Times New Roman" w:cs="Times New Roman"/>
                <w:b w:val="0"/>
                <w:i w:val="0"/>
                <w:color w:val="000000"/>
                <w:sz w:val="28"/>
              </w:rPr>
              <w:t>Сегментация, триггерные рассылки, аналитика воронки</w:t>
            </w:r>
          </w:p>
        </w:tc>
      </w:tr>
    </w:tbl>
    <w:p w14:paraId="2F6FC93B">
      <w:pPr>
        <w:keepNext w:val="0"/>
        <w:keepLines w:val="0"/>
        <w:pageBreakBefore w:val="0"/>
        <w:widowControl/>
        <w:kinsoku/>
        <w:wordWrap/>
        <w:overflowPunct/>
        <w:topLinePunct w:val="0"/>
        <w:autoSpaceDE/>
        <w:autoSpaceDN/>
        <w:bidi w:val="0"/>
        <w:adjustRightInd/>
        <w:snapToGrid/>
        <w:spacing w:after="0" w:line="360" w:lineRule="auto"/>
        <w:jc w:val="both"/>
        <w:textAlignment w:val="auto"/>
      </w:pPr>
    </w:p>
    <w:p w14:paraId="2C2880BE">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Российская практика показывает, что отдельные функции пути пациента уже массово автоматизированы, но единого цифрового контура у большинства клиник нет: МИС закрывает регистратуру, агрегаторы — поиск, мессенджеры — напоминания, и только мобильное приложение сети способно собрать этот контур в единую сущность с управляемой идентификацией пациента и сохранением контактов в собственной базе.</w:t>
      </w:r>
    </w:p>
    <w:p w14:paraId="38425D77">
      <w:pPr>
        <w:keepNext w:val="0"/>
        <w:keepLines w:val="0"/>
        <w:pageBreakBefore w:val="0"/>
        <w:widowControl/>
        <w:kinsoku/>
        <w:wordWrap/>
        <w:overflowPunct/>
        <w:topLinePunct w:val="0"/>
        <w:autoSpaceDE/>
        <w:autoSpaceDN/>
        <w:bidi w:val="0"/>
        <w:adjustRightInd/>
        <w:snapToGrid/>
        <w:spacing w:after="0" w:line="360" w:lineRule="auto"/>
        <w:ind w:firstLine="706"/>
        <w:jc w:val="left"/>
        <w:textAlignment w:val="auto"/>
      </w:pPr>
      <w:r>
        <w:rPr>
          <w:rFonts w:ascii="Times New Roman" w:hAnsi="Times New Roman" w:eastAsia="Times New Roman" w:cs="Times New Roman"/>
          <w:b/>
          <w:i w:val="0"/>
          <w:color w:val="000000"/>
          <w:sz w:val="28"/>
        </w:rPr>
        <w:t>1.4.4. Изменения нормативной базы 2025–2026 годов как теоретическое обоснование необходимости решения</w:t>
      </w:r>
    </w:p>
    <w:p w14:paraId="70A4F0C7">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Цифровизация коммуникаций с пациентом развивается параллельно с заметным изменением нормативной среды. Изменения, вступившие в силу в 2025 году и анонсированные на 2026 год, не просто задают ограничения — они обосновывают необходимость собственного цифрового продукта. Часть распространённых в России практик становится юридически невозможной: разрешение на обработку данных в составе пользовательского соглашения, использование внешних платформ для ретаргетинга, размещение баз данных пациентов на иностранных облачных сервисах.</w:t>
      </w:r>
    </w:p>
    <w:p w14:paraId="13EAE13B">
      <w:pPr>
        <w:spacing w:before="0" w:after="0" w:line="360" w:lineRule="auto"/>
        <w:ind w:firstLine="709"/>
        <w:jc w:val="both"/>
      </w:pPr>
      <w:r>
        <w:rPr>
          <w:rFonts w:ascii="Times New Roman" w:hAnsi="Times New Roman" w:eastAsia="Times New Roman" w:cs="Times New Roman"/>
          <w:b w:val="0"/>
          <w:i w:val="0"/>
          <w:color w:val="000000"/>
          <w:sz w:val="28"/>
        </w:rPr>
        <w:t>Ключевые изменения в Федеральный закон «О персональных данных» от 27.07.2006 № 152-ФЗ вступили в силу с 30 мая 2025 года, а в части оформления согласия — с 1 сентября 2025 года (внесены Федеральным законом от 23.05.2025 № 121-ФЗ). Согласие на обработку персональных данных оформляется отдельным документом и не может быть включено в состав пользовательского соглашения, договора оказания услуг или иной общий документ. Изменения требуют обязательного указания конкретного перечня данных, цели обработки, срока действия согласия и порядка его отзыва. Эти требования напрямую влияют на продуктовое решение мобильного приложения: сценарий онбординга пациента должен предусматривать отдельные диалоги согласия с раздельным сохранением.</w:t>
      </w:r>
    </w:p>
    <w:p w14:paraId="41A04F9B">
      <w:pPr>
        <w:spacing w:before="0" w:after="0" w:line="360" w:lineRule="auto"/>
        <w:ind w:firstLine="709"/>
        <w:jc w:val="both"/>
      </w:pPr>
      <w:r>
        <w:rPr>
          <w:rFonts w:ascii="Times New Roman" w:hAnsi="Times New Roman" w:eastAsia="Times New Roman" w:cs="Times New Roman"/>
          <w:b w:val="0"/>
          <w:i w:val="0"/>
          <w:color w:val="000000"/>
          <w:sz w:val="28"/>
        </w:rPr>
        <w:t>Федеральным законом от 28 февраля 2025 года № 23-ФЗ внесены изменения, запрещающие с 1 июля 2025 года обработку и хранение персональных данных российских граждан в базах, размещённых за пределами территории Российской Федерации. Норма закрепляет архитектурное требование к цифровому продукту: основные базы данных пациентов и резервные копии должны размещаться у российских облачных провайдеров (Yandex Cloud, Selectel, VK Cloud и аналогичных).</w:t>
      </w:r>
    </w:p>
    <w:p w14:paraId="67BAF691">
      <w:pPr>
        <w:spacing w:before="0" w:after="0" w:line="360" w:lineRule="auto"/>
        <w:ind w:firstLine="709"/>
        <w:jc w:val="both"/>
      </w:pPr>
      <w:r>
        <w:rPr>
          <w:rFonts w:ascii="Times New Roman" w:hAnsi="Times New Roman" w:eastAsia="Times New Roman" w:cs="Times New Roman"/>
          <w:b w:val="0"/>
          <w:i w:val="0"/>
          <w:color w:val="000000"/>
          <w:sz w:val="28"/>
        </w:rPr>
        <w:t>Для медицинской деятельности параллельно действует постановление Правительства Российской Федерации от 1 ноября 2012 года № 1119 об уровнях защищённости персональных данных. Стоматологическая клиника как оператор специальных категорий персональных данных (сведения о здоровье) попадает под уровень защищённости УЗ-3, что задаёт обязательный набор организационных и технических мер по приказу ФСТЭК России от 18.02.2013 № 21.</w:t>
      </w:r>
    </w:p>
    <w:p w14:paraId="22A4B80A">
      <w:pPr>
        <w:spacing w:before="0" w:after="0" w:line="360" w:lineRule="auto"/>
        <w:ind w:firstLine="709"/>
        <w:jc w:val="both"/>
      </w:pPr>
      <w:r>
        <w:rPr>
          <w:rFonts w:ascii="Times New Roman" w:hAnsi="Times New Roman" w:eastAsia="Times New Roman" w:cs="Times New Roman"/>
          <w:b w:val="0"/>
          <w:i w:val="0"/>
          <w:color w:val="000000"/>
          <w:sz w:val="28"/>
        </w:rPr>
        <w:t>С 1 сентября 2025 года вступил в силу новый порядок применения телемедицинских технологий, утверждённый приказом Министерства здравоохранения Российской Федерации от 11 апреля 2025 года № 193н (зарегистрирован в Минюсте России 15 мая 2025 года, № 82181). Документ заменил приказ № 965н от 30 ноября 2017 года и вводит несколько изменений, существенных для проектирования цифровых сервисов клиники: телеконсультация допускается только по тем видам медицинской помощи, которые указаны в лицензии медицинской организации; разрешено применение систем поддержки принятия врачебных решений на базе искусственного интеллекта, зарегистрированных как медицинские изделия; уточнены правила взаимодействия медицинских работников между собой в формате удалённого консилиума.</w:t>
      </w:r>
    </w:p>
    <w:p w14:paraId="56C1DC84">
      <w:pPr>
        <w:spacing w:before="0" w:after="0" w:line="360" w:lineRule="auto"/>
        <w:ind w:firstLine="709"/>
        <w:jc w:val="both"/>
      </w:pPr>
      <w:r>
        <w:rPr>
          <w:rFonts w:ascii="Times New Roman" w:hAnsi="Times New Roman" w:eastAsia="Times New Roman" w:cs="Times New Roman"/>
          <w:b w:val="0"/>
          <w:i w:val="0"/>
          <w:color w:val="000000"/>
          <w:sz w:val="28"/>
        </w:rPr>
        <w:t>С 1 сентября 2025 года Федеральным законом от 07.04.2025 № 72-ФЗ введён универсальный запрет на размещение рекламы (включая медицинские услуги) на интернет-ресурсах, доступ к которым ограничен на территории России, и на площадках организаций, признанных экстремистскими или нежелательными. Согласно разъяснениям ФАС, признаком рекламы могут признаваться и публикации без прямой оплаты, если они формируют интерес к услуге или клинике. Норма изменяет привычную модель продвижения и фактически смещает фокус на собственные цифровые каналы клиники (сайт, мобильное приложение, email, мессенджеры с верифицированной идентификацией).</w:t>
      </w:r>
    </w:p>
    <w:p w14:paraId="530E905F">
      <w:pPr>
        <w:spacing w:before="0" w:after="0" w:line="360" w:lineRule="auto"/>
        <w:ind w:firstLine="709"/>
        <w:jc w:val="both"/>
      </w:pPr>
      <w:r>
        <w:rPr>
          <w:rFonts w:ascii="Times New Roman" w:hAnsi="Times New Roman" w:eastAsia="Times New Roman" w:cs="Times New Roman"/>
          <w:b w:val="0"/>
          <w:i w:val="0"/>
          <w:color w:val="000000"/>
          <w:sz w:val="28"/>
        </w:rPr>
        <w:t>Регистрация мобильных приложений как медицинских изделий регулируется приказом Минздрава России от 6 июня 2012 года № 4н и отдельным разделом классификации, введённым приказом № 686н от 7 июля 2020 года. Согласно информационному письму Росздравнадзора от 13.02.2020 «О программном обеспечении», программа признаётся медицинским изделием при одновременном выполнении четырёх условий: техническая природа (программа для ЭВМ), автономность от иного зарегистрированного медицинского изделия, медицинское назначение, влияние на принятие клинических решений через автоматическую интерпретацию данных. По экспертной оценке отрасли, полный цикл регистрации составляет 3–6 месяцев при отсутствии замечаний; для классов 1 и 2а до 31 декабря 2027 года действует упрощённый порядок, установленный постановлением Правительства Российской Федерации от 01.04.2022 № 552 (с последующими продлениями). Для приложений-медицинских изделий с применением искусственного интеллекта установлен отдельный регламент внесения изменений в досье.</w:t>
      </w:r>
    </w:p>
    <w:p w14:paraId="263AE7AF">
      <w:pPr>
        <w:spacing w:before="120" w:after="40" w:line="360" w:lineRule="auto"/>
        <w:jc w:val="left"/>
      </w:pPr>
      <w:r>
        <w:rPr>
          <w:rFonts w:ascii="Times New Roman" w:hAnsi="Times New Roman" w:eastAsia="Times New Roman" w:cs="Times New Roman"/>
          <w:b w:val="0"/>
          <w:i w:val="0"/>
          <w:color w:val="000000"/>
          <w:sz w:val="28"/>
        </w:rPr>
        <w:t>Таблица 1.4.4 – Сводная карта нормативных изменений 2025–2026 годов и их влияния на цифровой продукт клиники</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30"/>
        <w:gridCol w:w="3230"/>
        <w:gridCol w:w="3230"/>
      </w:tblGrid>
      <w:tr w14:paraId="009CEA5B">
        <w:tc>
          <w:tcPr>
            <w:tcW w:w="2835" w:type="dxa"/>
            <w:vAlign w:val="center"/>
          </w:tcPr>
          <w:p w14:paraId="78E86605">
            <w:pPr>
              <w:spacing w:before="0" w:after="0" w:line="360" w:lineRule="auto"/>
              <w:jc w:val="center"/>
            </w:pPr>
            <w:r>
              <w:rPr>
                <w:rFonts w:ascii="Times New Roman" w:hAnsi="Times New Roman" w:eastAsia="Times New Roman" w:cs="Times New Roman"/>
                <w:b/>
                <w:i w:val="0"/>
                <w:color w:val="000000"/>
                <w:sz w:val="28"/>
              </w:rPr>
              <w:t>Нормативный акт</w:t>
            </w:r>
          </w:p>
        </w:tc>
        <w:tc>
          <w:tcPr>
            <w:tcW w:w="3402" w:type="dxa"/>
            <w:vAlign w:val="center"/>
          </w:tcPr>
          <w:p w14:paraId="3ACB5B9C">
            <w:pPr>
              <w:spacing w:before="0" w:after="0" w:line="360" w:lineRule="auto"/>
              <w:jc w:val="center"/>
            </w:pPr>
            <w:r>
              <w:rPr>
                <w:rFonts w:ascii="Times New Roman" w:hAnsi="Times New Roman" w:eastAsia="Times New Roman" w:cs="Times New Roman"/>
                <w:b/>
                <w:i w:val="0"/>
                <w:color w:val="000000"/>
                <w:sz w:val="28"/>
              </w:rPr>
              <w:t>Содержание изменений</w:t>
            </w:r>
          </w:p>
        </w:tc>
        <w:tc>
          <w:tcPr>
            <w:tcW w:w="3118" w:type="dxa"/>
            <w:vAlign w:val="center"/>
          </w:tcPr>
          <w:p w14:paraId="74ECBE78">
            <w:pPr>
              <w:spacing w:before="0" w:after="0" w:line="360" w:lineRule="auto"/>
              <w:jc w:val="center"/>
            </w:pPr>
            <w:r>
              <w:rPr>
                <w:rFonts w:ascii="Times New Roman" w:hAnsi="Times New Roman" w:eastAsia="Times New Roman" w:cs="Times New Roman"/>
                <w:b/>
                <w:i w:val="0"/>
                <w:color w:val="000000"/>
                <w:sz w:val="28"/>
              </w:rPr>
              <w:t>Влияние на цифровой продукт</w:t>
            </w:r>
          </w:p>
        </w:tc>
      </w:tr>
      <w:tr w14:paraId="6FABEBBA">
        <w:tc>
          <w:tcPr>
            <w:tcW w:w="2835" w:type="dxa"/>
            <w:vAlign w:val="top"/>
          </w:tcPr>
          <w:p w14:paraId="127D3394">
            <w:pPr>
              <w:spacing w:before="0" w:after="0" w:line="360" w:lineRule="auto"/>
              <w:jc w:val="left"/>
            </w:pPr>
            <w:r>
              <w:rPr>
                <w:rFonts w:ascii="Times New Roman" w:hAnsi="Times New Roman" w:eastAsia="Times New Roman" w:cs="Times New Roman"/>
                <w:b w:val="0"/>
                <w:i w:val="0"/>
                <w:color w:val="000000"/>
                <w:sz w:val="28"/>
              </w:rPr>
              <w:t>№ 152-ФЗ (изменения от 24.06.2025; ст. 9 – с 01.09.2025)</w:t>
            </w:r>
          </w:p>
        </w:tc>
        <w:tc>
          <w:tcPr>
            <w:tcW w:w="3402" w:type="dxa"/>
            <w:vAlign w:val="top"/>
          </w:tcPr>
          <w:p w14:paraId="0BF1F94D">
            <w:pPr>
              <w:spacing w:before="0" w:after="0" w:line="360" w:lineRule="auto"/>
              <w:jc w:val="left"/>
            </w:pPr>
            <w:r>
              <w:rPr>
                <w:rFonts w:ascii="Times New Roman" w:hAnsi="Times New Roman" w:eastAsia="Times New Roman" w:cs="Times New Roman"/>
                <w:b w:val="0"/>
                <w:i w:val="0"/>
                <w:color w:val="000000"/>
                <w:sz w:val="28"/>
              </w:rPr>
              <w:t>Согласие на обработку персональных данных оформляется отдельным документом; уточнены реквизиты, срок и порядок отзыва</w:t>
            </w:r>
          </w:p>
        </w:tc>
        <w:tc>
          <w:tcPr>
            <w:tcW w:w="3118" w:type="dxa"/>
            <w:vAlign w:val="top"/>
          </w:tcPr>
          <w:p w14:paraId="1A901C05">
            <w:pPr>
              <w:spacing w:before="0" w:after="0" w:line="360" w:lineRule="auto"/>
              <w:jc w:val="left"/>
            </w:pPr>
            <w:r>
              <w:rPr>
                <w:rFonts w:ascii="Times New Roman" w:hAnsi="Times New Roman" w:eastAsia="Times New Roman" w:cs="Times New Roman"/>
                <w:b w:val="0"/>
                <w:i w:val="0"/>
                <w:color w:val="000000"/>
                <w:sz w:val="28"/>
              </w:rPr>
              <w:t>Раздельные экраны согласия в онбординге; журнал согласий с возможностью отзыва</w:t>
            </w:r>
          </w:p>
        </w:tc>
      </w:tr>
      <w:tr w14:paraId="77FCA38A">
        <w:tc>
          <w:tcPr>
            <w:tcW w:w="2835" w:type="dxa"/>
            <w:vAlign w:val="top"/>
          </w:tcPr>
          <w:p w14:paraId="23E59492">
            <w:pPr>
              <w:spacing w:before="0" w:after="0" w:line="360" w:lineRule="auto"/>
              <w:jc w:val="left"/>
            </w:pPr>
            <w:r>
              <w:rPr>
                <w:rFonts w:ascii="Times New Roman" w:hAnsi="Times New Roman" w:eastAsia="Times New Roman" w:cs="Times New Roman"/>
                <w:b w:val="0"/>
                <w:i w:val="0"/>
                <w:color w:val="000000"/>
                <w:sz w:val="28"/>
              </w:rPr>
              <w:t>№ 23-ФЗ от 28.02.2025 (вступил в силу 01.07.2025)</w:t>
            </w:r>
          </w:p>
        </w:tc>
        <w:tc>
          <w:tcPr>
            <w:tcW w:w="3402" w:type="dxa"/>
            <w:vAlign w:val="top"/>
          </w:tcPr>
          <w:p w14:paraId="3F9F9785">
            <w:pPr>
              <w:spacing w:before="0" w:after="0" w:line="360" w:lineRule="auto"/>
              <w:jc w:val="left"/>
            </w:pPr>
            <w:r>
              <w:rPr>
                <w:rFonts w:ascii="Times New Roman" w:hAnsi="Times New Roman" w:eastAsia="Times New Roman" w:cs="Times New Roman"/>
                <w:b w:val="0"/>
                <w:i w:val="0"/>
                <w:color w:val="000000"/>
                <w:sz w:val="28"/>
              </w:rPr>
              <w:t>Запрет хранения и обработки персональных данных граждан России за пределами территории Российской Федерации</w:t>
            </w:r>
          </w:p>
        </w:tc>
        <w:tc>
          <w:tcPr>
            <w:tcW w:w="3118" w:type="dxa"/>
            <w:vAlign w:val="top"/>
          </w:tcPr>
          <w:p w14:paraId="4CA8EEAE">
            <w:pPr>
              <w:spacing w:before="0" w:after="0" w:line="360" w:lineRule="auto"/>
              <w:jc w:val="left"/>
            </w:pPr>
            <w:r>
              <w:rPr>
                <w:rFonts w:ascii="Times New Roman" w:hAnsi="Times New Roman" w:eastAsia="Times New Roman" w:cs="Times New Roman"/>
                <w:b w:val="0"/>
                <w:i w:val="0"/>
                <w:color w:val="000000"/>
                <w:sz w:val="28"/>
              </w:rPr>
              <w:t>Размещение основных и резервных баз у российских облачных провайдеров</w:t>
            </w:r>
          </w:p>
        </w:tc>
      </w:tr>
      <w:tr w14:paraId="4F78E215">
        <w:tc>
          <w:tcPr>
            <w:tcW w:w="2835" w:type="dxa"/>
            <w:vAlign w:val="top"/>
          </w:tcPr>
          <w:p w14:paraId="4FFD3F79">
            <w:pPr>
              <w:spacing w:before="0" w:after="0" w:line="360" w:lineRule="auto"/>
              <w:jc w:val="left"/>
            </w:pPr>
            <w:r>
              <w:rPr>
                <w:rFonts w:ascii="Times New Roman" w:hAnsi="Times New Roman" w:eastAsia="Times New Roman" w:cs="Times New Roman"/>
                <w:b w:val="0"/>
                <w:i w:val="0"/>
                <w:color w:val="000000"/>
                <w:sz w:val="28"/>
              </w:rPr>
              <w:t>Постановление Правительства РФ № 1119 от 01.11.2012</w:t>
            </w:r>
          </w:p>
        </w:tc>
        <w:tc>
          <w:tcPr>
            <w:tcW w:w="3402" w:type="dxa"/>
            <w:vAlign w:val="top"/>
          </w:tcPr>
          <w:p w14:paraId="614DD3F5">
            <w:pPr>
              <w:spacing w:before="0" w:after="0" w:line="360" w:lineRule="auto"/>
              <w:jc w:val="left"/>
            </w:pPr>
            <w:r>
              <w:rPr>
                <w:rFonts w:ascii="Times New Roman" w:hAnsi="Times New Roman" w:eastAsia="Times New Roman" w:cs="Times New Roman"/>
                <w:b w:val="0"/>
                <w:i w:val="0"/>
                <w:color w:val="000000"/>
                <w:sz w:val="28"/>
              </w:rPr>
              <w:t>Уровни защищённости персональных данных</w:t>
            </w:r>
          </w:p>
        </w:tc>
        <w:tc>
          <w:tcPr>
            <w:tcW w:w="3118" w:type="dxa"/>
            <w:vAlign w:val="top"/>
          </w:tcPr>
          <w:p w14:paraId="4920B858">
            <w:pPr>
              <w:spacing w:before="0" w:after="0" w:line="360" w:lineRule="auto"/>
              <w:jc w:val="left"/>
            </w:pPr>
            <w:r>
              <w:rPr>
                <w:rFonts w:ascii="Times New Roman" w:hAnsi="Times New Roman" w:eastAsia="Times New Roman" w:cs="Times New Roman"/>
                <w:b w:val="0"/>
                <w:i w:val="0"/>
                <w:color w:val="000000"/>
                <w:sz w:val="28"/>
              </w:rPr>
              <w:t>Архитектурное соответствие УЗ-3 для специальных категорий (сведений о здоровье)</w:t>
            </w:r>
          </w:p>
        </w:tc>
      </w:tr>
      <w:tr w14:paraId="6F582CA3">
        <w:tc>
          <w:tcPr>
            <w:tcW w:w="2835" w:type="dxa"/>
            <w:vAlign w:val="top"/>
          </w:tcPr>
          <w:p w14:paraId="7D89D24B">
            <w:pPr>
              <w:spacing w:before="0" w:after="0" w:line="360" w:lineRule="auto"/>
              <w:jc w:val="left"/>
            </w:pPr>
            <w:r>
              <w:rPr>
                <w:rFonts w:ascii="Times New Roman" w:hAnsi="Times New Roman" w:eastAsia="Times New Roman" w:cs="Times New Roman"/>
                <w:b w:val="0"/>
                <w:i w:val="0"/>
                <w:color w:val="000000"/>
                <w:sz w:val="28"/>
              </w:rPr>
              <w:t>Приказ ФСТЭК России № 21 от 18.02.2013</w:t>
            </w:r>
          </w:p>
        </w:tc>
        <w:tc>
          <w:tcPr>
            <w:tcW w:w="3402" w:type="dxa"/>
            <w:vAlign w:val="top"/>
          </w:tcPr>
          <w:p w14:paraId="4C4B04DE">
            <w:pPr>
              <w:spacing w:before="0" w:after="0" w:line="360" w:lineRule="auto"/>
              <w:jc w:val="left"/>
            </w:pPr>
            <w:r>
              <w:rPr>
                <w:rFonts w:ascii="Times New Roman" w:hAnsi="Times New Roman" w:eastAsia="Times New Roman" w:cs="Times New Roman"/>
                <w:b w:val="0"/>
                <w:i w:val="0"/>
                <w:color w:val="000000"/>
                <w:sz w:val="28"/>
              </w:rPr>
              <w:t>Состав организационных и технических мер защиты</w:t>
            </w:r>
          </w:p>
        </w:tc>
        <w:tc>
          <w:tcPr>
            <w:tcW w:w="3118" w:type="dxa"/>
            <w:vAlign w:val="top"/>
          </w:tcPr>
          <w:p w14:paraId="64E32249">
            <w:pPr>
              <w:spacing w:before="0" w:after="0" w:line="360" w:lineRule="auto"/>
              <w:jc w:val="left"/>
            </w:pPr>
            <w:r>
              <w:rPr>
                <w:rFonts w:ascii="Times New Roman" w:hAnsi="Times New Roman" w:eastAsia="Times New Roman" w:cs="Times New Roman"/>
                <w:b w:val="0"/>
                <w:i w:val="0"/>
                <w:color w:val="000000"/>
                <w:sz w:val="28"/>
              </w:rPr>
              <w:t>Технические меры: разграничение доступа, журналирование, шифрование каналов</w:t>
            </w:r>
          </w:p>
        </w:tc>
      </w:tr>
      <w:tr w14:paraId="637A881C">
        <w:tc>
          <w:tcPr>
            <w:tcW w:w="2835" w:type="dxa"/>
            <w:vAlign w:val="top"/>
          </w:tcPr>
          <w:p w14:paraId="4BFB0A17">
            <w:pPr>
              <w:spacing w:before="0" w:after="0" w:line="360" w:lineRule="auto"/>
              <w:jc w:val="left"/>
            </w:pPr>
            <w:r>
              <w:rPr>
                <w:rFonts w:ascii="Times New Roman" w:hAnsi="Times New Roman" w:eastAsia="Times New Roman" w:cs="Times New Roman"/>
                <w:b w:val="0"/>
                <w:i w:val="0"/>
                <w:color w:val="000000"/>
                <w:sz w:val="28"/>
              </w:rPr>
              <w:t>Приказ Минздрава России № 193н от 11.04.2025 (с 01.09.2025)</w:t>
            </w:r>
          </w:p>
        </w:tc>
        <w:tc>
          <w:tcPr>
            <w:tcW w:w="3402" w:type="dxa"/>
            <w:vAlign w:val="top"/>
          </w:tcPr>
          <w:p w14:paraId="4375C872">
            <w:pPr>
              <w:spacing w:before="0" w:after="0" w:line="360" w:lineRule="auto"/>
              <w:jc w:val="left"/>
            </w:pPr>
            <w:r>
              <w:rPr>
                <w:rFonts w:ascii="Times New Roman" w:hAnsi="Times New Roman" w:eastAsia="Times New Roman" w:cs="Times New Roman"/>
                <w:b w:val="0"/>
                <w:i w:val="0"/>
                <w:color w:val="000000"/>
                <w:sz w:val="28"/>
              </w:rPr>
              <w:t>Новый порядок применения телемедицинских технологий; ИИ-инструменты как медицинские изделия; ограничение по лицензии</w:t>
            </w:r>
          </w:p>
        </w:tc>
        <w:tc>
          <w:tcPr>
            <w:tcW w:w="3118" w:type="dxa"/>
            <w:vAlign w:val="top"/>
          </w:tcPr>
          <w:p w14:paraId="0054D77B">
            <w:pPr>
              <w:spacing w:before="0" w:after="0" w:line="360" w:lineRule="auto"/>
              <w:jc w:val="left"/>
            </w:pPr>
            <w:r>
              <w:rPr>
                <w:rFonts w:ascii="Times New Roman" w:hAnsi="Times New Roman" w:eastAsia="Times New Roman" w:cs="Times New Roman"/>
                <w:b w:val="0"/>
                <w:i w:val="0"/>
                <w:color w:val="000000"/>
                <w:sz w:val="28"/>
              </w:rPr>
              <w:t>Перенос телеконсультаций в отдельный лицензируемый периметр; вне MVP без расширения лицензии</w:t>
            </w:r>
          </w:p>
        </w:tc>
      </w:tr>
      <w:tr w14:paraId="275B0896">
        <w:tc>
          <w:tcPr>
            <w:tcW w:w="2835" w:type="dxa"/>
            <w:vAlign w:val="top"/>
          </w:tcPr>
          <w:p w14:paraId="563E9B6A">
            <w:pPr>
              <w:spacing w:before="0" w:after="0" w:line="360" w:lineRule="auto"/>
              <w:jc w:val="left"/>
            </w:pPr>
            <w:r>
              <w:rPr>
                <w:rFonts w:ascii="Times New Roman" w:hAnsi="Times New Roman" w:eastAsia="Times New Roman" w:cs="Times New Roman"/>
                <w:b w:val="0"/>
                <w:i w:val="0"/>
                <w:color w:val="000000"/>
                <w:sz w:val="28"/>
              </w:rPr>
              <w:t>№ 38-ФЗ ст. 24 (с 01.09.2025)</w:t>
            </w:r>
          </w:p>
        </w:tc>
        <w:tc>
          <w:tcPr>
            <w:tcW w:w="3402" w:type="dxa"/>
            <w:vAlign w:val="top"/>
          </w:tcPr>
          <w:p w14:paraId="0B99A1AE">
            <w:pPr>
              <w:spacing w:before="0" w:after="0" w:line="360" w:lineRule="auto"/>
              <w:jc w:val="left"/>
            </w:pPr>
            <w:r>
              <w:rPr>
                <w:rFonts w:ascii="Times New Roman" w:hAnsi="Times New Roman" w:eastAsia="Times New Roman" w:cs="Times New Roman"/>
                <w:b w:val="0"/>
                <w:i w:val="0"/>
                <w:color w:val="000000"/>
                <w:sz w:val="28"/>
              </w:rPr>
              <w:t>Ограничение рекламы медуслуг на запрещённых ресурсах; трактовка контента как рекламы</w:t>
            </w:r>
          </w:p>
        </w:tc>
        <w:tc>
          <w:tcPr>
            <w:tcW w:w="3118" w:type="dxa"/>
            <w:vAlign w:val="top"/>
          </w:tcPr>
          <w:p w14:paraId="5D9E894C">
            <w:pPr>
              <w:spacing w:before="0" w:after="0" w:line="360" w:lineRule="auto"/>
              <w:jc w:val="left"/>
            </w:pPr>
            <w:r>
              <w:rPr>
                <w:rFonts w:ascii="Times New Roman" w:hAnsi="Times New Roman" w:eastAsia="Times New Roman" w:cs="Times New Roman"/>
                <w:b w:val="0"/>
                <w:i w:val="0"/>
                <w:color w:val="000000"/>
                <w:sz w:val="28"/>
              </w:rPr>
              <w:t>Перевод продвижения в собственные каналы клиники; пересмотр ретаргетинговых сценариев</w:t>
            </w:r>
          </w:p>
        </w:tc>
      </w:tr>
      <w:tr w14:paraId="24F96BF3">
        <w:tc>
          <w:tcPr>
            <w:tcW w:w="2835" w:type="dxa"/>
            <w:vAlign w:val="top"/>
          </w:tcPr>
          <w:p w14:paraId="1C6FB703">
            <w:pPr>
              <w:spacing w:before="0" w:after="0" w:line="360" w:lineRule="auto"/>
              <w:jc w:val="left"/>
            </w:pPr>
            <w:r>
              <w:rPr>
                <w:rFonts w:ascii="Times New Roman" w:hAnsi="Times New Roman" w:eastAsia="Times New Roman" w:cs="Times New Roman"/>
                <w:b w:val="0"/>
                <w:i w:val="0"/>
                <w:color w:val="000000"/>
                <w:sz w:val="28"/>
              </w:rPr>
              <w:t>Приказ Минздрава России № 4н от 06.06.2012 и № 686н от 07.07.2020</w:t>
            </w:r>
          </w:p>
        </w:tc>
        <w:tc>
          <w:tcPr>
            <w:tcW w:w="3402" w:type="dxa"/>
            <w:vAlign w:val="top"/>
          </w:tcPr>
          <w:p w14:paraId="35B2B330">
            <w:pPr>
              <w:spacing w:before="0" w:after="0" w:line="360" w:lineRule="auto"/>
              <w:jc w:val="left"/>
            </w:pPr>
            <w:r>
              <w:rPr>
                <w:rFonts w:ascii="Times New Roman" w:hAnsi="Times New Roman" w:eastAsia="Times New Roman" w:cs="Times New Roman"/>
                <w:b w:val="0"/>
                <w:i w:val="0"/>
                <w:color w:val="000000"/>
                <w:sz w:val="28"/>
              </w:rPr>
              <w:t>Условия признания ПО медицинским изделием; классификация по уровням риска</w:t>
            </w:r>
          </w:p>
        </w:tc>
        <w:tc>
          <w:tcPr>
            <w:tcW w:w="3118" w:type="dxa"/>
            <w:vAlign w:val="top"/>
          </w:tcPr>
          <w:p w14:paraId="4046A4D2">
            <w:pPr>
              <w:spacing w:before="0" w:after="0" w:line="360" w:lineRule="auto"/>
              <w:jc w:val="left"/>
            </w:pPr>
            <w:r>
              <w:rPr>
                <w:rFonts w:ascii="Times New Roman" w:hAnsi="Times New Roman" w:eastAsia="Times New Roman" w:cs="Times New Roman"/>
                <w:b w:val="0"/>
                <w:i w:val="0"/>
                <w:color w:val="000000"/>
                <w:sz w:val="28"/>
              </w:rPr>
              <w:t>Документальное обоснование статуса «не медицинское изделие» для контура пациента MVP</w:t>
            </w:r>
          </w:p>
        </w:tc>
      </w:tr>
      <w:tr w14:paraId="66A104C8">
        <w:tc>
          <w:tcPr>
            <w:tcW w:w="2835" w:type="dxa"/>
            <w:vAlign w:val="top"/>
          </w:tcPr>
          <w:p w14:paraId="4CEE6DA0">
            <w:pPr>
              <w:spacing w:before="0" w:after="0" w:line="360" w:lineRule="auto"/>
              <w:jc w:val="left"/>
            </w:pPr>
            <w:r>
              <w:rPr>
                <w:rFonts w:ascii="Times New Roman" w:hAnsi="Times New Roman" w:eastAsia="Times New Roman" w:cs="Times New Roman"/>
                <w:b w:val="0"/>
                <w:i w:val="0"/>
                <w:color w:val="000000"/>
                <w:sz w:val="28"/>
              </w:rPr>
              <w:t>№ 323-ФЗ ст. 36.2 (изменения с 01.01.2026)</w:t>
            </w:r>
          </w:p>
        </w:tc>
        <w:tc>
          <w:tcPr>
            <w:tcW w:w="3402" w:type="dxa"/>
            <w:vAlign w:val="top"/>
          </w:tcPr>
          <w:p w14:paraId="0DDFE17A">
            <w:pPr>
              <w:spacing w:before="0" w:after="0" w:line="360" w:lineRule="auto"/>
              <w:jc w:val="left"/>
            </w:pPr>
            <w:r>
              <w:rPr>
                <w:rFonts w:ascii="Times New Roman" w:hAnsi="Times New Roman" w:eastAsia="Times New Roman" w:cs="Times New Roman"/>
                <w:b w:val="0"/>
                <w:i w:val="0"/>
                <w:color w:val="000000"/>
                <w:sz w:val="28"/>
              </w:rPr>
              <w:t>Особенности оказания медпомощи с применением телемедицинских технологий</w:t>
            </w:r>
          </w:p>
        </w:tc>
        <w:tc>
          <w:tcPr>
            <w:tcW w:w="3118" w:type="dxa"/>
            <w:vAlign w:val="top"/>
          </w:tcPr>
          <w:p w14:paraId="6C485EA4">
            <w:pPr>
              <w:spacing w:before="0" w:after="0" w:line="360" w:lineRule="auto"/>
              <w:jc w:val="left"/>
            </w:pPr>
            <w:r>
              <w:rPr>
                <w:rFonts w:ascii="Times New Roman" w:hAnsi="Times New Roman" w:eastAsia="Times New Roman" w:cs="Times New Roman"/>
                <w:b w:val="0"/>
                <w:i w:val="0"/>
                <w:color w:val="000000"/>
                <w:sz w:val="28"/>
              </w:rPr>
              <w:t>Учёт при расширении продукта функцией удалённой консультации</w:t>
            </w:r>
          </w:p>
        </w:tc>
      </w:tr>
    </w:tbl>
    <w:p w14:paraId="78C0B1AC">
      <w:pPr>
        <w:spacing w:before="40" w:after="80" w:line="360" w:lineRule="auto"/>
        <w:jc w:val="both"/>
      </w:pPr>
    </w:p>
    <w:p w14:paraId="5506ED97">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Эти нормы дают двойственное обоснование. С одной стороны, нормативные изменения исключают «лёгкие» сценарии: универсальное согласие в составе соглашения, ретаргетинг через внешние пиксели, хранение баз на зарубежных облачных сервисах. С другой — клиники вынуждены развивать собственные цифровые контуры, где идентификация пациента, согласия и история коммуникаций находятся под управлением клиники.</w:t>
      </w:r>
    </w:p>
    <w:p w14:paraId="5C0046F1">
      <w:pPr>
        <w:keepNext w:val="0"/>
        <w:keepLines w:val="0"/>
        <w:pageBreakBefore w:val="0"/>
        <w:widowControl/>
        <w:kinsoku/>
        <w:wordWrap/>
        <w:overflowPunct/>
        <w:topLinePunct w:val="0"/>
        <w:autoSpaceDE/>
        <w:autoSpaceDN/>
        <w:bidi w:val="0"/>
        <w:adjustRightInd/>
        <w:snapToGrid/>
        <w:spacing w:after="0" w:line="360" w:lineRule="auto"/>
        <w:ind w:firstLine="706"/>
        <w:jc w:val="left"/>
        <w:textAlignment w:val="auto"/>
      </w:pPr>
      <w:r>
        <w:rPr>
          <w:rFonts w:ascii="Times New Roman" w:hAnsi="Times New Roman" w:eastAsia="Times New Roman" w:cs="Times New Roman"/>
          <w:b/>
          <w:i w:val="0"/>
          <w:color w:val="000000"/>
          <w:sz w:val="28"/>
        </w:rPr>
        <w:t>1.4.5. Теоретические кейсы и эмпирическая база эффективности</w:t>
      </w:r>
    </w:p>
    <w:p w14:paraId="1B9A31B7">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Эффективность отдельных цифровых инструментов в стоматологии и смежных областях здравоохранения подкреплена систематическими обзорами и метаанализами. Метаанализ Boksmati и соавторов в Journal of Medical Systems (2016) на материале 28 исследований (включая 13 РКИ) фиксирует pooled odds ratio явки на приём при использовании SMS-напоминаний на уровне 1,62 (95 % ДИ: 1,35–1,94). Ретроспективное исследование Stormon и соавторов в Health &amp; Social Care in the Community (2022) на материале государственных стоматологических служб Австралии показало неоднородный эффект SMS-уведомлений: рост числа отменённых записей в подростково-детском сервисе примерно на 20 % при умеренном эффекте на пропуски в обслуживании взрослых.</w:t>
      </w:r>
    </w:p>
    <w:p w14:paraId="483EAA7C">
      <w:pPr>
        <w:spacing w:before="0" w:after="0" w:line="360" w:lineRule="auto"/>
        <w:ind w:firstLine="709"/>
        <w:jc w:val="both"/>
      </w:pPr>
      <w:r>
        <w:rPr>
          <w:rFonts w:ascii="Times New Roman" w:hAnsi="Times New Roman" w:eastAsia="Times New Roman" w:cs="Times New Roman"/>
          <w:b w:val="0"/>
          <w:i w:val="0"/>
          <w:color w:val="000000"/>
          <w:sz w:val="28"/>
        </w:rPr>
        <w:t>Систематический обзор по эффективности систем напоминаний (McLean и соавторы, 2016) показывает, что 97 % включённых исследований фиксируют статистически значимое снижение неявок, а взвешенное среднее снижение составляет 34 %. Существенно, что обзор не находит различий между SMS, голосовыми и иными цифровыми каналами по силе эффекта; ключевыми параметрами выступают своевременность сообщения и возможность пациента подтвердить или перенести визит в один клик.</w:t>
      </w:r>
    </w:p>
    <w:p w14:paraId="3FFFA315">
      <w:pPr>
        <w:spacing w:before="0" w:after="0" w:line="360" w:lineRule="auto"/>
        <w:ind w:firstLine="709"/>
        <w:jc w:val="both"/>
      </w:pPr>
      <w:r>
        <w:rPr>
          <w:rFonts w:ascii="Times New Roman" w:hAnsi="Times New Roman" w:eastAsia="Times New Roman" w:cs="Times New Roman"/>
          <w:b w:val="0"/>
          <w:i w:val="0"/>
          <w:color w:val="000000"/>
          <w:sz w:val="28"/>
        </w:rPr>
        <w:t>Появление чат-ботов на базе больших языковых моделей расширило доказательную базу. Систематический обзор MDPI «Current Applications of Chatbots Powered by Large Language Models in Oral and Maxillofacial Surgery» (2024) и обзор PMC «Engaging AI-based Chatbots in Digital Health» (2024) показывают эффективность чат-ботов в обучении пациентов, поддержке мотивации и снижении тревожности перед процедурой; одновременно фиксируются ограничения по точности медицинских рекомендаций и регуляторным требованиям. Преимущественной зоной применения чат-бота в стоматологии признаются справочные функции, навигация по сценариям записи и мягкая мотивация, а не диагностика.</w:t>
      </w:r>
    </w:p>
    <w:p w14:paraId="2E81BCBB">
      <w:pPr>
        <w:spacing w:before="0" w:after="0" w:line="360" w:lineRule="auto"/>
        <w:ind w:firstLine="709"/>
        <w:jc w:val="both"/>
      </w:pPr>
      <w:r>
        <w:rPr>
          <w:rFonts w:ascii="Times New Roman" w:hAnsi="Times New Roman" w:eastAsia="Times New Roman" w:cs="Times New Roman"/>
          <w:b w:val="0"/>
          <w:i w:val="0"/>
          <w:color w:val="000000"/>
          <w:sz w:val="28"/>
        </w:rPr>
        <w:t>Конверсионные эффекты онлайн-записи задокументированы маркетинговыми исследованиями стоматологических веб-сайтов. По данным агентства PatientGain, средний коэффициент конверсии сайта стоматологической клиники составляет 4,2 %; топ-практики достигают 10 %. По данным Resonate, 83 % пациентов предпочитают самостоятельную онлайн-запись телефонной; в отраслевых публикациях по рынку США приводятся оценки прироста цифровых записей при внедрении AI-чат-ботов на уровне 40–60 % от базы. Эти данные используются далее в работе при формировании прогнозного эффекта мобильного приложения.</w:t>
      </w:r>
    </w:p>
    <w:p w14:paraId="74F82A60">
      <w:pPr>
        <w:spacing w:before="120" w:after="40" w:line="360" w:lineRule="auto"/>
        <w:jc w:val="left"/>
      </w:pPr>
      <w:r>
        <w:rPr>
          <w:rFonts w:ascii="Times New Roman" w:hAnsi="Times New Roman" w:eastAsia="Times New Roman" w:cs="Times New Roman"/>
          <w:b w:val="0"/>
          <w:i w:val="0"/>
          <w:color w:val="000000"/>
          <w:sz w:val="28"/>
        </w:rPr>
        <w:t>Таблица 1.4.5 – Эмпирические оценки эффективности цифровых инструментов коммуникаций с пациентом</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30"/>
        <w:gridCol w:w="3230"/>
        <w:gridCol w:w="3230"/>
      </w:tblGrid>
      <w:tr w14:paraId="12620B22">
        <w:tc>
          <w:tcPr>
            <w:tcW w:w="2551" w:type="dxa"/>
            <w:vAlign w:val="center"/>
          </w:tcPr>
          <w:p w14:paraId="76CC847D">
            <w:pPr>
              <w:spacing w:before="0" w:after="0" w:line="360" w:lineRule="auto"/>
              <w:jc w:val="center"/>
            </w:pPr>
            <w:r>
              <w:rPr>
                <w:rFonts w:ascii="Times New Roman" w:hAnsi="Times New Roman" w:eastAsia="Times New Roman" w:cs="Times New Roman"/>
                <w:b/>
                <w:i w:val="0"/>
                <w:color w:val="000000"/>
                <w:sz w:val="28"/>
              </w:rPr>
              <w:t>Инструмент</w:t>
            </w:r>
          </w:p>
        </w:tc>
        <w:tc>
          <w:tcPr>
            <w:tcW w:w="3118" w:type="dxa"/>
            <w:vAlign w:val="center"/>
          </w:tcPr>
          <w:p w14:paraId="4CED4A3D">
            <w:pPr>
              <w:spacing w:before="0" w:after="0" w:line="360" w:lineRule="auto"/>
              <w:jc w:val="center"/>
            </w:pPr>
            <w:r>
              <w:rPr>
                <w:rFonts w:ascii="Times New Roman" w:hAnsi="Times New Roman" w:eastAsia="Times New Roman" w:cs="Times New Roman"/>
                <w:b/>
                <w:i w:val="0"/>
                <w:color w:val="000000"/>
                <w:sz w:val="28"/>
              </w:rPr>
              <w:t>Источник</w:t>
            </w:r>
          </w:p>
        </w:tc>
        <w:tc>
          <w:tcPr>
            <w:tcW w:w="3685" w:type="dxa"/>
            <w:vAlign w:val="center"/>
          </w:tcPr>
          <w:p w14:paraId="16E2BB05">
            <w:pPr>
              <w:spacing w:before="0" w:after="0" w:line="360" w:lineRule="auto"/>
              <w:jc w:val="center"/>
            </w:pPr>
            <w:r>
              <w:rPr>
                <w:rFonts w:ascii="Times New Roman" w:hAnsi="Times New Roman" w:eastAsia="Times New Roman" w:cs="Times New Roman"/>
                <w:b/>
                <w:i w:val="0"/>
                <w:color w:val="000000"/>
                <w:sz w:val="28"/>
              </w:rPr>
              <w:t>Зафиксированный эффект</w:t>
            </w:r>
          </w:p>
        </w:tc>
      </w:tr>
      <w:tr w14:paraId="70A51038">
        <w:tc>
          <w:tcPr>
            <w:tcW w:w="2551" w:type="dxa"/>
            <w:vAlign w:val="top"/>
          </w:tcPr>
          <w:p w14:paraId="782FFAD8">
            <w:pPr>
              <w:spacing w:before="0" w:after="0" w:line="360" w:lineRule="auto"/>
              <w:jc w:val="left"/>
            </w:pPr>
            <w:r>
              <w:rPr>
                <w:rFonts w:ascii="Times New Roman" w:hAnsi="Times New Roman" w:eastAsia="Times New Roman" w:cs="Times New Roman"/>
                <w:b w:val="0"/>
                <w:i w:val="0"/>
                <w:color w:val="000000"/>
                <w:sz w:val="28"/>
              </w:rPr>
              <w:t>SMS-напоминания о визите</w:t>
            </w:r>
          </w:p>
        </w:tc>
        <w:tc>
          <w:tcPr>
            <w:tcW w:w="3118" w:type="dxa"/>
            <w:vAlign w:val="top"/>
          </w:tcPr>
          <w:p w14:paraId="294C7D45">
            <w:pPr>
              <w:spacing w:before="0" w:after="0" w:line="360" w:lineRule="auto"/>
              <w:jc w:val="left"/>
            </w:pPr>
            <w:r>
              <w:rPr>
                <w:rFonts w:ascii="Times New Roman" w:hAnsi="Times New Roman" w:eastAsia="Times New Roman" w:cs="Times New Roman"/>
                <w:b w:val="0"/>
                <w:i w:val="0"/>
                <w:color w:val="000000"/>
                <w:sz w:val="28"/>
              </w:rPr>
              <w:t>Boksmati N. и др., Journal of Medical Systems, 2016</w:t>
            </w:r>
          </w:p>
        </w:tc>
        <w:tc>
          <w:tcPr>
            <w:tcW w:w="3685" w:type="dxa"/>
            <w:vAlign w:val="top"/>
          </w:tcPr>
          <w:p w14:paraId="5A362744">
            <w:pPr>
              <w:spacing w:before="0" w:after="0" w:line="360" w:lineRule="auto"/>
              <w:jc w:val="left"/>
            </w:pPr>
            <w:r>
              <w:rPr>
                <w:rFonts w:ascii="Times New Roman" w:hAnsi="Times New Roman" w:eastAsia="Times New Roman" w:cs="Times New Roman"/>
                <w:b w:val="0"/>
                <w:i w:val="0"/>
                <w:color w:val="000000"/>
                <w:sz w:val="28"/>
              </w:rPr>
              <w:t>Pooled OR явки 1,62 (95 % ДИ 1,35–1,94) по 28 исследованиям (13 РКИ)</w:t>
            </w:r>
          </w:p>
        </w:tc>
      </w:tr>
      <w:tr w14:paraId="336455E9">
        <w:tc>
          <w:tcPr>
            <w:tcW w:w="2551" w:type="dxa"/>
            <w:vAlign w:val="top"/>
          </w:tcPr>
          <w:p w14:paraId="582533FA">
            <w:pPr>
              <w:spacing w:before="0" w:after="0" w:line="360" w:lineRule="auto"/>
              <w:jc w:val="left"/>
            </w:pPr>
            <w:r>
              <w:rPr>
                <w:rFonts w:ascii="Times New Roman" w:hAnsi="Times New Roman" w:eastAsia="Times New Roman" w:cs="Times New Roman"/>
                <w:b w:val="0"/>
                <w:i w:val="0"/>
                <w:color w:val="000000"/>
                <w:sz w:val="28"/>
              </w:rPr>
              <w:t>SMS-напоминания (стоматология)</w:t>
            </w:r>
          </w:p>
        </w:tc>
        <w:tc>
          <w:tcPr>
            <w:tcW w:w="3118" w:type="dxa"/>
            <w:vAlign w:val="top"/>
          </w:tcPr>
          <w:p w14:paraId="1244FFEF">
            <w:pPr>
              <w:spacing w:before="0" w:after="0" w:line="360" w:lineRule="auto"/>
              <w:jc w:val="left"/>
            </w:pPr>
            <w:r>
              <w:rPr>
                <w:rFonts w:ascii="Times New Roman" w:hAnsi="Times New Roman" w:eastAsia="Times New Roman" w:cs="Times New Roman"/>
                <w:b w:val="0"/>
                <w:i w:val="0"/>
                <w:color w:val="000000"/>
                <w:sz w:val="28"/>
              </w:rPr>
              <w:t>Stormon N. и др., Health &amp; Social Care in the Community, 2022</w:t>
            </w:r>
          </w:p>
        </w:tc>
        <w:tc>
          <w:tcPr>
            <w:tcW w:w="3685" w:type="dxa"/>
            <w:vAlign w:val="top"/>
          </w:tcPr>
          <w:p w14:paraId="00BD8037">
            <w:pPr>
              <w:spacing w:before="0" w:after="0" w:line="360" w:lineRule="auto"/>
              <w:jc w:val="left"/>
            </w:pPr>
            <w:r>
              <w:rPr>
                <w:rFonts w:ascii="Times New Roman" w:hAnsi="Times New Roman" w:eastAsia="Times New Roman" w:cs="Times New Roman"/>
                <w:b w:val="0"/>
                <w:i w:val="0"/>
                <w:color w:val="000000"/>
                <w:sz w:val="28"/>
              </w:rPr>
              <w:t>Неоднородный эффект SMS на ретроспективных данных госуслуг Австралии: рост отменённых записей в подростково-детском сервисе ≈20 %</w:t>
            </w:r>
          </w:p>
        </w:tc>
      </w:tr>
      <w:tr w14:paraId="4C5C6DDE">
        <w:tc>
          <w:tcPr>
            <w:tcW w:w="2551" w:type="dxa"/>
            <w:vAlign w:val="top"/>
          </w:tcPr>
          <w:p w14:paraId="027BB768">
            <w:pPr>
              <w:spacing w:before="0" w:after="0" w:line="360" w:lineRule="auto"/>
              <w:jc w:val="left"/>
            </w:pPr>
            <w:r>
              <w:rPr>
                <w:rFonts w:ascii="Times New Roman" w:hAnsi="Times New Roman" w:eastAsia="Times New Roman" w:cs="Times New Roman"/>
                <w:b w:val="0"/>
                <w:i w:val="0"/>
                <w:color w:val="000000"/>
                <w:sz w:val="28"/>
              </w:rPr>
              <w:t>Системы напоминаний (общий обзор)</w:t>
            </w:r>
          </w:p>
        </w:tc>
        <w:tc>
          <w:tcPr>
            <w:tcW w:w="3118" w:type="dxa"/>
            <w:vAlign w:val="top"/>
          </w:tcPr>
          <w:p w14:paraId="6AB5012E">
            <w:pPr>
              <w:spacing w:before="0" w:after="0" w:line="360" w:lineRule="auto"/>
              <w:jc w:val="left"/>
            </w:pPr>
            <w:r>
              <w:rPr>
                <w:rFonts w:ascii="Times New Roman" w:hAnsi="Times New Roman" w:eastAsia="Times New Roman" w:cs="Times New Roman"/>
                <w:b w:val="0"/>
                <w:i w:val="0"/>
                <w:color w:val="000000"/>
                <w:sz w:val="28"/>
              </w:rPr>
              <w:t>McLean S. и др., систематический обзор, 2016</w:t>
            </w:r>
          </w:p>
        </w:tc>
        <w:tc>
          <w:tcPr>
            <w:tcW w:w="3685" w:type="dxa"/>
            <w:vAlign w:val="top"/>
          </w:tcPr>
          <w:p w14:paraId="55389AD1">
            <w:pPr>
              <w:spacing w:before="0" w:after="0" w:line="360" w:lineRule="auto"/>
              <w:jc w:val="left"/>
            </w:pPr>
            <w:r>
              <w:rPr>
                <w:rFonts w:ascii="Times New Roman" w:hAnsi="Times New Roman" w:eastAsia="Times New Roman" w:cs="Times New Roman"/>
                <w:b w:val="0"/>
                <w:i w:val="0"/>
                <w:color w:val="000000"/>
                <w:sz w:val="28"/>
              </w:rPr>
              <w:t>97 % включённых исследований фиксируют снижение неявок; среднее снижение 34 %</w:t>
            </w:r>
          </w:p>
        </w:tc>
      </w:tr>
      <w:tr w14:paraId="4F8CDDE9">
        <w:tc>
          <w:tcPr>
            <w:tcW w:w="2551" w:type="dxa"/>
            <w:vAlign w:val="top"/>
          </w:tcPr>
          <w:p w14:paraId="0BEE594B">
            <w:pPr>
              <w:spacing w:before="0" w:after="0" w:line="360" w:lineRule="auto"/>
              <w:jc w:val="left"/>
            </w:pPr>
            <w:r>
              <w:rPr>
                <w:rFonts w:ascii="Times New Roman" w:hAnsi="Times New Roman" w:eastAsia="Times New Roman" w:cs="Times New Roman"/>
                <w:b w:val="0"/>
                <w:i w:val="0"/>
                <w:color w:val="000000"/>
                <w:sz w:val="28"/>
              </w:rPr>
              <w:t>Чат-боты на основе LLM</w:t>
            </w:r>
          </w:p>
        </w:tc>
        <w:tc>
          <w:tcPr>
            <w:tcW w:w="3118" w:type="dxa"/>
            <w:vAlign w:val="top"/>
          </w:tcPr>
          <w:p w14:paraId="7546B84E">
            <w:pPr>
              <w:spacing w:before="0" w:after="0" w:line="360" w:lineRule="auto"/>
              <w:jc w:val="left"/>
            </w:pPr>
            <w:r>
              <w:rPr>
                <w:rFonts w:ascii="Times New Roman" w:hAnsi="Times New Roman" w:eastAsia="Times New Roman" w:cs="Times New Roman"/>
                <w:b w:val="0"/>
                <w:i w:val="0"/>
                <w:color w:val="000000"/>
                <w:sz w:val="28"/>
              </w:rPr>
              <w:t>MDPI Dent. J., 2025; PLOS Digital Health, 2026</w:t>
            </w:r>
          </w:p>
        </w:tc>
        <w:tc>
          <w:tcPr>
            <w:tcW w:w="3685" w:type="dxa"/>
            <w:vAlign w:val="top"/>
          </w:tcPr>
          <w:p w14:paraId="515A61EA">
            <w:pPr>
              <w:spacing w:before="0" w:after="0" w:line="360" w:lineRule="auto"/>
              <w:jc w:val="left"/>
            </w:pPr>
            <w:r>
              <w:rPr>
                <w:rFonts w:ascii="Times New Roman" w:hAnsi="Times New Roman" w:eastAsia="Times New Roman" w:cs="Times New Roman"/>
                <w:b w:val="0"/>
                <w:i w:val="0"/>
                <w:color w:val="000000"/>
                <w:sz w:val="28"/>
              </w:rPr>
              <w:t>Подтверждённый эффект в обучении и мотивации пациентов; ограничения по диагностической функции</w:t>
            </w:r>
          </w:p>
        </w:tc>
      </w:tr>
      <w:tr w14:paraId="79CBD3B1">
        <w:tc>
          <w:tcPr>
            <w:tcW w:w="2551" w:type="dxa"/>
            <w:vAlign w:val="top"/>
          </w:tcPr>
          <w:p w14:paraId="00503877">
            <w:pPr>
              <w:spacing w:before="0" w:after="0" w:line="360" w:lineRule="auto"/>
              <w:jc w:val="left"/>
            </w:pPr>
            <w:r>
              <w:rPr>
                <w:rFonts w:ascii="Times New Roman" w:hAnsi="Times New Roman" w:eastAsia="Times New Roman" w:cs="Times New Roman"/>
                <w:b w:val="0"/>
                <w:i w:val="0"/>
                <w:color w:val="000000"/>
                <w:sz w:val="28"/>
              </w:rPr>
              <w:t>Онлайн-запись (конверсия сайта)</w:t>
            </w:r>
          </w:p>
        </w:tc>
        <w:tc>
          <w:tcPr>
            <w:tcW w:w="3118" w:type="dxa"/>
            <w:vAlign w:val="top"/>
          </w:tcPr>
          <w:p w14:paraId="18F9379F">
            <w:pPr>
              <w:spacing w:before="0" w:after="0" w:line="360" w:lineRule="auto"/>
              <w:jc w:val="left"/>
            </w:pPr>
            <w:r>
              <w:rPr>
                <w:rFonts w:ascii="Times New Roman" w:hAnsi="Times New Roman" w:eastAsia="Times New Roman" w:cs="Times New Roman"/>
                <w:b w:val="0"/>
                <w:i w:val="0"/>
                <w:color w:val="000000"/>
                <w:sz w:val="28"/>
              </w:rPr>
              <w:t>PatientGain, 2025; Resonate, 2024</w:t>
            </w:r>
          </w:p>
        </w:tc>
        <w:tc>
          <w:tcPr>
            <w:tcW w:w="3685" w:type="dxa"/>
            <w:vAlign w:val="top"/>
          </w:tcPr>
          <w:p w14:paraId="14291E7F">
            <w:pPr>
              <w:spacing w:before="0" w:after="0" w:line="360" w:lineRule="auto"/>
              <w:jc w:val="left"/>
            </w:pPr>
            <w:r>
              <w:rPr>
                <w:rFonts w:ascii="Times New Roman" w:hAnsi="Times New Roman" w:eastAsia="Times New Roman" w:cs="Times New Roman"/>
                <w:b w:val="0"/>
                <w:i w:val="0"/>
                <w:color w:val="000000"/>
                <w:sz w:val="28"/>
              </w:rPr>
              <w:t>Средняя конверсия 4,2 %, топ-практики 10 %; 83 % пациентов предпочитают онлайн-запись</w:t>
            </w:r>
          </w:p>
        </w:tc>
      </w:tr>
      <w:tr w14:paraId="4E5F8E1F">
        <w:tc>
          <w:tcPr>
            <w:tcW w:w="2551" w:type="dxa"/>
            <w:vAlign w:val="top"/>
          </w:tcPr>
          <w:p w14:paraId="109E41CB">
            <w:pPr>
              <w:spacing w:before="0" w:after="0" w:line="360" w:lineRule="auto"/>
              <w:jc w:val="left"/>
            </w:pPr>
            <w:r>
              <w:rPr>
                <w:rFonts w:ascii="Times New Roman" w:hAnsi="Times New Roman" w:eastAsia="Times New Roman" w:cs="Times New Roman"/>
                <w:b w:val="0"/>
                <w:i w:val="0"/>
                <w:color w:val="000000"/>
                <w:sz w:val="28"/>
              </w:rPr>
              <w:t>AI-чат-боты в записи</w:t>
            </w:r>
          </w:p>
        </w:tc>
        <w:tc>
          <w:tcPr>
            <w:tcW w:w="3118" w:type="dxa"/>
            <w:vAlign w:val="top"/>
          </w:tcPr>
          <w:p w14:paraId="1A4AEE9E">
            <w:pPr>
              <w:spacing w:before="0" w:after="0" w:line="360" w:lineRule="auto"/>
              <w:jc w:val="left"/>
            </w:pPr>
            <w:r>
              <w:rPr>
                <w:rFonts w:ascii="Times New Roman" w:hAnsi="Times New Roman" w:eastAsia="Times New Roman" w:cs="Times New Roman"/>
                <w:b w:val="0"/>
                <w:i w:val="0"/>
                <w:color w:val="000000"/>
                <w:sz w:val="28"/>
              </w:rPr>
              <w:t>—</w:t>
            </w:r>
          </w:p>
        </w:tc>
        <w:tc>
          <w:tcPr>
            <w:tcW w:w="3685" w:type="dxa"/>
            <w:vAlign w:val="top"/>
          </w:tcPr>
          <w:p w14:paraId="6DF8CD41">
            <w:pPr>
              <w:spacing w:before="0" w:after="0" w:line="360" w:lineRule="auto"/>
              <w:jc w:val="left"/>
            </w:pPr>
            <w:r>
              <w:rPr>
                <w:rFonts w:ascii="Times New Roman" w:hAnsi="Times New Roman" w:eastAsia="Times New Roman" w:cs="Times New Roman"/>
                <w:b w:val="0"/>
                <w:i w:val="0"/>
                <w:color w:val="000000"/>
                <w:sz w:val="28"/>
              </w:rPr>
              <w:t>Прирост числа цифровых записей до 47 % в США</w:t>
            </w:r>
          </w:p>
        </w:tc>
      </w:tr>
      <w:tr w14:paraId="10CA366A">
        <w:tc>
          <w:tcPr>
            <w:tcW w:w="2551" w:type="dxa"/>
            <w:vAlign w:val="top"/>
          </w:tcPr>
          <w:p w14:paraId="0BF7811D">
            <w:pPr>
              <w:spacing w:before="0" w:after="0" w:line="360" w:lineRule="auto"/>
              <w:jc w:val="left"/>
            </w:pPr>
            <w:r>
              <w:rPr>
                <w:rFonts w:ascii="Times New Roman" w:hAnsi="Times New Roman" w:eastAsia="Times New Roman" w:cs="Times New Roman"/>
                <w:b w:val="0"/>
                <w:i w:val="0"/>
                <w:color w:val="000000"/>
                <w:sz w:val="28"/>
              </w:rPr>
              <w:t>Уведомления в мессенджерах</w:t>
            </w:r>
          </w:p>
        </w:tc>
        <w:tc>
          <w:tcPr>
            <w:tcW w:w="3118" w:type="dxa"/>
            <w:vAlign w:val="top"/>
          </w:tcPr>
          <w:p w14:paraId="5EC2A4C4">
            <w:pPr>
              <w:spacing w:before="0" w:after="0" w:line="360" w:lineRule="auto"/>
              <w:jc w:val="left"/>
            </w:pPr>
            <w:r>
              <w:rPr>
                <w:rFonts w:ascii="Times New Roman" w:hAnsi="Times New Roman" w:eastAsia="Times New Roman" w:cs="Times New Roman"/>
                <w:b w:val="0"/>
                <w:i w:val="0"/>
                <w:color w:val="000000"/>
                <w:sz w:val="28"/>
              </w:rPr>
              <w:t>Отраслевые обзоры РФ, 2024–2025</w:t>
            </w:r>
          </w:p>
        </w:tc>
        <w:tc>
          <w:tcPr>
            <w:tcW w:w="3685" w:type="dxa"/>
            <w:vAlign w:val="top"/>
          </w:tcPr>
          <w:p w14:paraId="1DD16D21">
            <w:pPr>
              <w:spacing w:before="0" w:after="0" w:line="360" w:lineRule="auto"/>
              <w:jc w:val="left"/>
            </w:pPr>
            <w:r>
              <w:rPr>
                <w:rFonts w:ascii="Times New Roman" w:hAnsi="Times New Roman" w:eastAsia="Times New Roman" w:cs="Times New Roman"/>
                <w:b w:val="0"/>
                <w:i w:val="0"/>
                <w:color w:val="000000"/>
                <w:sz w:val="28"/>
              </w:rPr>
              <w:t>Прирост явок на 18–22 %; снижение пропусков визитов на 20–30 %</w:t>
            </w:r>
          </w:p>
        </w:tc>
      </w:tr>
    </w:tbl>
    <w:p w14:paraId="401071B7">
      <w:pPr>
        <w:keepNext w:val="0"/>
        <w:keepLines w:val="0"/>
        <w:pageBreakBefore w:val="0"/>
        <w:widowControl/>
        <w:kinsoku/>
        <w:wordWrap/>
        <w:overflowPunct/>
        <w:topLinePunct w:val="0"/>
        <w:autoSpaceDE/>
        <w:autoSpaceDN/>
        <w:bidi w:val="0"/>
        <w:adjustRightInd/>
        <w:snapToGrid/>
        <w:spacing w:after="0" w:line="360" w:lineRule="auto"/>
        <w:jc w:val="both"/>
        <w:textAlignment w:val="auto"/>
      </w:pPr>
    </w:p>
    <w:p w14:paraId="042B2B51">
      <w:pPr>
        <w:keepNext w:val="0"/>
        <w:keepLines w:val="0"/>
        <w:pageBreakBefore w:val="0"/>
        <w:widowControl/>
        <w:kinsoku/>
        <w:wordWrap/>
        <w:overflowPunct/>
        <w:topLinePunct w:val="0"/>
        <w:autoSpaceDE/>
        <w:autoSpaceDN/>
        <w:bidi w:val="0"/>
        <w:adjustRightInd/>
        <w:snapToGrid/>
        <w:spacing w:after="0" w:line="360" w:lineRule="auto"/>
        <w:ind w:firstLine="706"/>
        <w:jc w:val="left"/>
        <w:textAlignment w:val="auto"/>
        <w:rPr>
          <w:rFonts w:ascii="Times New Roman" w:hAnsi="Times New Roman" w:eastAsia="Times New Roman" w:cs="Times New Roman"/>
          <w:b/>
          <w:i w:val="0"/>
          <w:color w:val="000000"/>
          <w:sz w:val="28"/>
        </w:rPr>
      </w:pPr>
    </w:p>
    <w:p w14:paraId="78F9FC58">
      <w:pPr>
        <w:keepNext w:val="0"/>
        <w:keepLines w:val="0"/>
        <w:pageBreakBefore w:val="0"/>
        <w:widowControl/>
        <w:kinsoku/>
        <w:wordWrap/>
        <w:overflowPunct/>
        <w:topLinePunct w:val="0"/>
        <w:autoSpaceDE/>
        <w:autoSpaceDN/>
        <w:bidi w:val="0"/>
        <w:adjustRightInd/>
        <w:snapToGrid/>
        <w:spacing w:after="0" w:line="360" w:lineRule="auto"/>
        <w:ind w:firstLine="706"/>
        <w:jc w:val="left"/>
        <w:textAlignment w:val="auto"/>
      </w:pPr>
      <w:r>
        <w:rPr>
          <w:rFonts w:ascii="Times New Roman" w:hAnsi="Times New Roman" w:eastAsia="Times New Roman" w:cs="Times New Roman"/>
          <w:b/>
          <w:i w:val="0"/>
          <w:color w:val="000000"/>
          <w:sz w:val="28"/>
        </w:rPr>
        <w:t>1.4.6. Предпосылки решения и выводы по параграфу</w:t>
      </w:r>
    </w:p>
    <w:p w14:paraId="1AAE28E8">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Если сопоставить международный и российский опыт, нормативную базу и эмпирические данные, проявляется несколько предпосылок, при которых проектирование собственного цифрового продукта клиники обосновано теоретически и практически.</w:t>
      </w:r>
    </w:p>
    <w:p w14:paraId="178A3393">
      <w:pPr>
        <w:spacing w:before="0" w:after="0" w:line="360" w:lineRule="auto"/>
        <w:ind w:firstLine="709"/>
        <w:jc w:val="both"/>
      </w:pPr>
      <w:r>
        <w:rPr>
          <w:rFonts w:ascii="Times New Roman" w:hAnsi="Times New Roman" w:eastAsia="Times New Roman" w:cs="Times New Roman"/>
          <w:b w:val="0"/>
          <w:i w:val="0"/>
          <w:color w:val="000000"/>
          <w:sz w:val="28"/>
        </w:rPr>
        <w:t>Ни один инструмент сам по себе — будь то онлайн-запись, мессенджер-напоминания или чат-бот — управленческую проблему не закрывает. Эмпирика подтверждает эффект каждого инструмента в своей зоне (систематический обзор McLean и соавторов фиксирует среднее снижение неявок на 34 %; данные PatientGain показывают, что онлайн-запись поднимает конверсию сайта с типичных 4,2 % до 10 % у ведущих практик), но устойчивый бизнес-эффект возникает только тогда, когда инструменты работают совместно в одном цифровом контуре пациента.</w:t>
      </w:r>
    </w:p>
    <w:p w14:paraId="36FF7B58">
      <w:pPr>
        <w:spacing w:before="0" w:after="0" w:line="360" w:lineRule="auto"/>
        <w:ind w:firstLine="709"/>
        <w:jc w:val="both"/>
      </w:pPr>
      <w:r>
        <w:rPr>
          <w:rFonts w:ascii="Times New Roman" w:hAnsi="Times New Roman" w:eastAsia="Times New Roman" w:cs="Times New Roman"/>
          <w:b w:val="0"/>
          <w:i w:val="0"/>
          <w:color w:val="000000"/>
          <w:sz w:val="28"/>
        </w:rPr>
        <w:t>Нормативная среда 2025–2026 годов делает «лёгкие» решения юридически рискованными. Отдельный документ согласия, запрет хранения данных за рубежом, ограничения на ретаргетинг через внешние пиксели вынуждают клинику выстраивать собственный цифровой контур и собственную базу первого касания взамен внешних маркетинговых платформ.</w:t>
      </w:r>
    </w:p>
    <w:p w14:paraId="611587D3">
      <w:pPr>
        <w:spacing w:before="0" w:after="0" w:line="360" w:lineRule="auto"/>
        <w:ind w:firstLine="709"/>
        <w:jc w:val="both"/>
      </w:pPr>
      <w:r>
        <w:rPr>
          <w:rFonts w:ascii="Times New Roman" w:hAnsi="Times New Roman" w:eastAsia="Times New Roman" w:cs="Times New Roman"/>
          <w:b w:val="0"/>
          <w:i w:val="0"/>
          <w:color w:val="000000"/>
          <w:sz w:val="28"/>
        </w:rPr>
        <w:t>Международный опыт показывает, что устойчивый эффект достигается при сочетании трёх компонентов. Первый — цифровой контур пациента (мобильное приложение или портал), интегрированный с системой управления практикой. Второй — омниканальный канал коммуникации с собственной идентификацией клиники, объединяющий мессенджер, email и SMS. Третий — встроенные образовательные и оценочные сценарии, повышающие дисциплину пациента и снижающие неявки.</w:t>
      </w:r>
    </w:p>
    <w:p w14:paraId="0B57A0AD">
      <w:pPr>
        <w:spacing w:before="0" w:after="0" w:line="360" w:lineRule="auto"/>
        <w:ind w:firstLine="709"/>
        <w:jc w:val="both"/>
      </w:pPr>
      <w:r>
        <w:rPr>
          <w:rFonts w:ascii="Times New Roman" w:hAnsi="Times New Roman" w:eastAsia="Times New Roman" w:cs="Times New Roman"/>
          <w:b w:val="0"/>
          <w:i w:val="0"/>
          <w:color w:val="000000"/>
          <w:sz w:val="28"/>
        </w:rPr>
        <w:t>Российский рынок располагает технологической и кадровой инфраструктурой для воспроизведения такой архитектуры: облачные платформы российских провайдеров обеспечивают соответствие требованиям № 152-ФЗ и уровню защищённости УЗ-3, рынок мобильных приложений для медицины активно развивается, а опыт лидеров отрасли («Мой Зубной», «Спецоборудование Дент») подтверждает жизнеспособность собственного цифрового канала в нише сетей среднего размера.</w:t>
      </w:r>
    </w:p>
    <w:p w14:paraId="278C9FC9">
      <w:pPr>
        <w:spacing w:before="0" w:after="0" w:line="360" w:lineRule="auto"/>
        <w:ind w:firstLine="709"/>
        <w:jc w:val="both"/>
        <w:rPr>
          <w:rFonts w:ascii="Times New Roman" w:hAnsi="Times New Roman" w:eastAsia="Times New Roman" w:cs="Times New Roman"/>
          <w:b w:val="0"/>
          <w:i w:val="0"/>
          <w:color w:val="000000"/>
          <w:sz w:val="28"/>
        </w:rPr>
      </w:pPr>
      <w:r>
        <w:rPr>
          <w:rFonts w:ascii="Times New Roman" w:hAnsi="Times New Roman" w:eastAsia="Times New Roman" w:cs="Times New Roman"/>
          <w:b w:val="0"/>
          <w:i w:val="0"/>
          <w:color w:val="000000"/>
          <w:sz w:val="28"/>
        </w:rPr>
        <w:t>Полученные выводы используются в следующем разделе работы для обоснования конкретного состава цифровых инструментов и формулирования критериев их отбора применительно к рассматриваемой сети клиник.</w:t>
      </w:r>
    </w:p>
    <w:p w14:paraId="180A3C34">
      <w:pPr>
        <w:spacing w:before="0" w:after="0" w:line="360" w:lineRule="auto"/>
        <w:ind w:firstLine="709"/>
        <w:jc w:val="both"/>
        <w:rPr>
          <w:rFonts w:ascii="Times New Roman" w:hAnsi="Times New Roman" w:eastAsia="Times New Roman" w:cs="Times New Roman"/>
          <w:b w:val="0"/>
          <w:i w:val="0"/>
          <w:color w:val="000000"/>
          <w:sz w:val="28"/>
        </w:rPr>
      </w:pPr>
    </w:p>
    <w:p w14:paraId="68154F53">
      <w:pPr>
        <w:spacing w:before="0" w:after="0" w:line="360" w:lineRule="auto"/>
        <w:ind w:firstLine="709"/>
        <w:jc w:val="both"/>
        <w:rPr>
          <w:rFonts w:ascii="Times New Roman" w:hAnsi="Times New Roman" w:eastAsia="Times New Roman" w:cs="Times New Roman"/>
          <w:b w:val="0"/>
          <w:i w:val="0"/>
          <w:color w:val="000000"/>
          <w:sz w:val="28"/>
        </w:rPr>
      </w:pPr>
    </w:p>
    <w:p w14:paraId="37451206">
      <w:pPr>
        <w:spacing w:before="0" w:after="0" w:line="360" w:lineRule="auto"/>
        <w:ind w:firstLine="709"/>
        <w:jc w:val="both"/>
        <w:rPr>
          <w:rFonts w:ascii="Times New Roman" w:hAnsi="Times New Roman" w:eastAsia="Times New Roman" w:cs="Times New Roman"/>
          <w:b w:val="0"/>
          <w:i w:val="0"/>
          <w:color w:val="000000"/>
          <w:sz w:val="28"/>
        </w:rPr>
      </w:pPr>
    </w:p>
    <w:p w14:paraId="790CFF19">
      <w:pPr>
        <w:spacing w:before="0" w:after="0" w:line="360" w:lineRule="auto"/>
        <w:ind w:firstLine="709"/>
        <w:jc w:val="both"/>
        <w:rPr>
          <w:rFonts w:ascii="Times New Roman" w:hAnsi="Times New Roman" w:eastAsia="Times New Roman" w:cs="Times New Roman"/>
          <w:b w:val="0"/>
          <w:i w:val="0"/>
          <w:color w:val="000000"/>
          <w:sz w:val="28"/>
        </w:rPr>
      </w:pPr>
    </w:p>
    <w:p w14:paraId="6A086630">
      <w:pPr>
        <w:spacing w:before="0" w:after="0" w:line="360" w:lineRule="auto"/>
        <w:ind w:firstLine="709"/>
        <w:jc w:val="both"/>
        <w:rPr>
          <w:rFonts w:ascii="Times New Roman" w:hAnsi="Times New Roman" w:eastAsia="Times New Roman" w:cs="Times New Roman"/>
          <w:b w:val="0"/>
          <w:i w:val="0"/>
          <w:color w:val="000000"/>
          <w:sz w:val="28"/>
        </w:rPr>
      </w:pPr>
    </w:p>
    <w:p w14:paraId="389098AA">
      <w:pPr>
        <w:spacing w:before="0" w:after="0" w:line="360" w:lineRule="auto"/>
        <w:ind w:firstLine="709"/>
        <w:jc w:val="both"/>
        <w:rPr>
          <w:rFonts w:ascii="Times New Roman" w:hAnsi="Times New Roman" w:eastAsia="Times New Roman" w:cs="Times New Roman"/>
          <w:b w:val="0"/>
          <w:i w:val="0"/>
          <w:color w:val="000000"/>
          <w:sz w:val="28"/>
        </w:rPr>
      </w:pPr>
    </w:p>
    <w:p w14:paraId="711C8568">
      <w:pPr>
        <w:spacing w:before="0" w:after="0" w:line="360" w:lineRule="auto"/>
        <w:ind w:firstLine="709"/>
        <w:jc w:val="both"/>
        <w:rPr>
          <w:rFonts w:ascii="Times New Roman" w:hAnsi="Times New Roman" w:eastAsia="Times New Roman" w:cs="Times New Roman"/>
          <w:b w:val="0"/>
          <w:i w:val="0"/>
          <w:color w:val="000000"/>
          <w:sz w:val="28"/>
        </w:rPr>
      </w:pPr>
    </w:p>
    <w:p w14:paraId="193181A0">
      <w:pPr>
        <w:spacing w:before="0" w:after="0" w:line="360" w:lineRule="auto"/>
        <w:ind w:firstLine="709"/>
        <w:jc w:val="both"/>
        <w:rPr>
          <w:rFonts w:ascii="Times New Roman" w:hAnsi="Times New Roman" w:eastAsia="Times New Roman" w:cs="Times New Roman"/>
          <w:b w:val="0"/>
          <w:i w:val="0"/>
          <w:color w:val="000000"/>
          <w:sz w:val="28"/>
        </w:rPr>
      </w:pPr>
    </w:p>
    <w:p w14:paraId="04EB2910">
      <w:pPr>
        <w:spacing w:before="0" w:after="0" w:line="360" w:lineRule="auto"/>
        <w:ind w:firstLine="709"/>
        <w:jc w:val="both"/>
        <w:rPr>
          <w:rFonts w:ascii="Times New Roman" w:hAnsi="Times New Roman" w:eastAsia="Times New Roman" w:cs="Times New Roman"/>
          <w:b w:val="0"/>
          <w:i w:val="0"/>
          <w:color w:val="000000"/>
          <w:sz w:val="28"/>
        </w:rPr>
      </w:pPr>
    </w:p>
    <w:p w14:paraId="6BE3A79B">
      <w:pPr>
        <w:spacing w:before="0" w:after="0" w:line="360" w:lineRule="auto"/>
        <w:ind w:firstLine="709"/>
        <w:jc w:val="both"/>
        <w:rPr>
          <w:rFonts w:ascii="Times New Roman" w:hAnsi="Times New Roman" w:eastAsia="Times New Roman" w:cs="Times New Roman"/>
          <w:b w:val="0"/>
          <w:i w:val="0"/>
          <w:color w:val="000000"/>
          <w:sz w:val="28"/>
        </w:rPr>
      </w:pPr>
    </w:p>
    <w:p w14:paraId="4138F415">
      <w:pPr>
        <w:spacing w:before="0" w:after="0" w:line="360" w:lineRule="auto"/>
        <w:ind w:firstLine="709"/>
        <w:jc w:val="both"/>
        <w:rPr>
          <w:rFonts w:ascii="Times New Roman" w:hAnsi="Times New Roman" w:eastAsia="Times New Roman" w:cs="Times New Roman"/>
          <w:b w:val="0"/>
          <w:i w:val="0"/>
          <w:color w:val="000000"/>
          <w:sz w:val="28"/>
        </w:rPr>
      </w:pPr>
    </w:p>
    <w:p w14:paraId="713315AD">
      <w:pPr>
        <w:spacing w:before="0" w:after="0" w:line="360" w:lineRule="auto"/>
        <w:ind w:firstLine="709"/>
        <w:jc w:val="both"/>
        <w:rPr>
          <w:rFonts w:ascii="Times New Roman" w:hAnsi="Times New Roman" w:eastAsia="Times New Roman" w:cs="Times New Roman"/>
          <w:b w:val="0"/>
          <w:i w:val="0"/>
          <w:color w:val="000000"/>
          <w:sz w:val="28"/>
        </w:rPr>
      </w:pPr>
    </w:p>
    <w:p w14:paraId="3BAE3059">
      <w:pPr>
        <w:spacing w:before="0" w:after="0" w:line="360" w:lineRule="auto"/>
        <w:ind w:firstLine="709"/>
        <w:jc w:val="both"/>
        <w:rPr>
          <w:rFonts w:ascii="Times New Roman" w:hAnsi="Times New Roman" w:eastAsia="Times New Roman" w:cs="Times New Roman"/>
          <w:b w:val="0"/>
          <w:i w:val="0"/>
          <w:color w:val="000000"/>
          <w:sz w:val="28"/>
        </w:rPr>
      </w:pPr>
    </w:p>
    <w:p w14:paraId="0A21C576">
      <w:pPr>
        <w:spacing w:before="0" w:after="0" w:line="360" w:lineRule="auto"/>
        <w:ind w:firstLine="709"/>
        <w:jc w:val="both"/>
        <w:rPr>
          <w:rFonts w:ascii="Times New Roman" w:hAnsi="Times New Roman" w:eastAsia="Times New Roman" w:cs="Times New Roman"/>
          <w:b w:val="0"/>
          <w:i w:val="0"/>
          <w:color w:val="000000"/>
          <w:sz w:val="28"/>
        </w:rPr>
      </w:pPr>
    </w:p>
    <w:p w14:paraId="706748D4">
      <w:pPr>
        <w:spacing w:before="0" w:after="0" w:line="360" w:lineRule="auto"/>
        <w:ind w:firstLine="709"/>
        <w:jc w:val="both"/>
        <w:rPr>
          <w:rFonts w:ascii="Times New Roman" w:hAnsi="Times New Roman" w:eastAsia="Times New Roman" w:cs="Times New Roman"/>
          <w:b w:val="0"/>
          <w:i w:val="0"/>
          <w:color w:val="000000"/>
          <w:sz w:val="28"/>
        </w:rPr>
      </w:pPr>
    </w:p>
    <w:p w14:paraId="45E46B0B">
      <w:pPr>
        <w:spacing w:before="0" w:after="0" w:line="360" w:lineRule="auto"/>
        <w:ind w:firstLine="709"/>
        <w:jc w:val="both"/>
        <w:rPr>
          <w:rFonts w:ascii="Times New Roman" w:hAnsi="Times New Roman" w:eastAsia="Times New Roman" w:cs="Times New Roman"/>
          <w:b w:val="0"/>
          <w:i w:val="0"/>
          <w:color w:val="000000"/>
          <w:sz w:val="28"/>
        </w:rPr>
      </w:pPr>
    </w:p>
    <w:p w14:paraId="4788D8AB">
      <w:pPr>
        <w:spacing w:before="0" w:after="0" w:line="360" w:lineRule="auto"/>
        <w:ind w:firstLine="709"/>
        <w:jc w:val="both"/>
        <w:rPr>
          <w:rFonts w:ascii="Times New Roman" w:hAnsi="Times New Roman" w:eastAsia="Times New Roman" w:cs="Times New Roman"/>
          <w:b w:val="0"/>
          <w:i w:val="0"/>
          <w:color w:val="000000"/>
          <w:sz w:val="28"/>
        </w:rPr>
      </w:pPr>
    </w:p>
    <w:p w14:paraId="7D9AD72D">
      <w:pPr>
        <w:spacing w:before="0" w:after="0" w:line="360" w:lineRule="auto"/>
        <w:ind w:firstLine="709"/>
        <w:jc w:val="both"/>
        <w:rPr>
          <w:rFonts w:ascii="Times New Roman" w:hAnsi="Times New Roman" w:eastAsia="Times New Roman" w:cs="Times New Roman"/>
          <w:b w:val="0"/>
          <w:i w:val="0"/>
          <w:color w:val="000000"/>
          <w:sz w:val="28"/>
        </w:rPr>
      </w:pPr>
    </w:p>
    <w:p w14:paraId="40C4F697">
      <w:pPr>
        <w:pStyle w:val="2"/>
        <w:pageBreakBefore w:val="0"/>
        <w:widowControl/>
        <w:kinsoku/>
        <w:wordWrap/>
        <w:overflowPunct/>
        <w:topLinePunct w:val="0"/>
        <w:autoSpaceDE/>
        <w:autoSpaceDN/>
        <w:bidi w:val="0"/>
        <w:adjustRightInd/>
        <w:snapToGrid/>
        <w:spacing w:before="0" w:after="0" w:line="360" w:lineRule="auto"/>
        <w:jc w:val="center"/>
        <w:textAlignment w:val="auto"/>
        <w:rPr>
          <w:rFonts w:ascii="Times New Roman" w:hAnsi="Times New Roman" w:eastAsia="Times New Roman" w:cs="Times New Roman"/>
          <w:b/>
          <w:i w:val="0"/>
          <w:color w:val="000000"/>
          <w:sz w:val="28"/>
        </w:rPr>
      </w:pPr>
    </w:p>
    <w:p w14:paraId="0B59A5C2">
      <w:pPr>
        <w:pStyle w:val="2"/>
        <w:pageBreakBefore w:val="0"/>
        <w:widowControl/>
        <w:kinsoku/>
        <w:wordWrap/>
        <w:overflowPunct/>
        <w:topLinePunct w:val="0"/>
        <w:autoSpaceDE/>
        <w:autoSpaceDN/>
        <w:bidi w:val="0"/>
        <w:adjustRightInd/>
        <w:snapToGrid/>
        <w:spacing w:before="0" w:after="0" w:line="360" w:lineRule="auto"/>
        <w:jc w:val="center"/>
        <w:textAlignment w:val="auto"/>
      </w:pPr>
      <w:r>
        <w:rPr>
          <w:rFonts w:ascii="Times New Roman" w:hAnsi="Times New Roman" w:eastAsia="Times New Roman" w:cs="Times New Roman"/>
          <w:b/>
          <w:i w:val="0"/>
          <w:color w:val="000000"/>
          <w:sz w:val="28"/>
        </w:rPr>
        <w:t>Глава 2. Обоснование выбора цифровых инструментов для стоматологической клиники и критерии их отбора</w:t>
      </w:r>
    </w:p>
    <w:p w14:paraId="39DC7D48">
      <w:pPr>
        <w:pageBreakBefore w:val="0"/>
        <w:widowControl/>
        <w:kinsoku/>
        <w:wordWrap/>
        <w:overflowPunct/>
        <w:topLinePunct w:val="0"/>
        <w:autoSpaceDE/>
        <w:autoSpaceDN/>
        <w:bidi w:val="0"/>
        <w:adjustRightInd/>
        <w:snapToGrid/>
        <w:spacing w:after="0" w:line="360" w:lineRule="auto"/>
        <w:ind w:firstLine="709"/>
        <w:jc w:val="both"/>
        <w:textAlignment w:val="auto"/>
      </w:pPr>
      <w:r>
        <w:rPr>
          <w:rFonts w:ascii="Times New Roman" w:hAnsi="Times New Roman" w:eastAsia="Times New Roman" w:cs="Times New Roman"/>
          <w:b w:val="0"/>
          <w:i w:val="0"/>
          <w:color w:val="000000"/>
          <w:sz w:val="28"/>
        </w:rPr>
        <w:t>Раздел развивает результаты параграфов 1.2 и 1.3 первой главы, переводя общую характеристику инструментов цифрового маркетинга в обоснованный состав инструментов для конкретной сети клиник. В таблице 2 первой главы (стр. 21) систематизированы рыночные тенденции развития инструментов цифрового маркетинга. Каждая из этих тенденций соотносится с одним или несколькими проявлениями управленческой проблемы, описанной во введении и в подразделе 1.4.1.</w:t>
      </w:r>
    </w:p>
    <w:p w14:paraId="149BADE8">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Структура раздела следующая: вначале устанавливается формальная связь между рыночными тенденциями и проблемами клиники, далее формулируются критерии отбора инструментов с учётом нормативной среды и ограничений MVP, затем выполняется отбор и обосновывается состав, который реализуется в проектной части работы (глава 3).</w:t>
      </w:r>
    </w:p>
    <w:p w14:paraId="456EBDC4">
      <w:pPr>
        <w:keepNext w:val="0"/>
        <w:keepLines w:val="0"/>
        <w:pageBreakBefore w:val="0"/>
        <w:widowControl/>
        <w:kinsoku/>
        <w:wordWrap/>
        <w:overflowPunct/>
        <w:topLinePunct w:val="0"/>
        <w:autoSpaceDE/>
        <w:autoSpaceDN/>
        <w:bidi w:val="0"/>
        <w:adjustRightInd/>
        <w:snapToGrid/>
        <w:spacing w:after="0" w:line="360" w:lineRule="auto"/>
        <w:ind w:firstLine="706"/>
        <w:jc w:val="left"/>
        <w:textAlignment w:val="auto"/>
      </w:pPr>
      <w:r>
        <w:rPr>
          <w:rFonts w:ascii="Times New Roman" w:hAnsi="Times New Roman" w:eastAsia="Times New Roman" w:cs="Times New Roman"/>
          <w:b/>
          <w:i w:val="0"/>
          <w:color w:val="000000"/>
          <w:sz w:val="28"/>
        </w:rPr>
        <w:t>2.1. Связь рыночных тенденций с проблемами клиники</w:t>
      </w:r>
    </w:p>
    <w:p w14:paraId="47D6380C">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Сопоставление восьми тенденций таблицы 2 первой главы с проявлениями управленческой проблемы показывает, что не все тенденции в равной степени применимы к рассматриваемой сети. Например, виртуальная и дополненная реальность в стоматологии используются преимущественно для планирования лечения и обучения врачей, а не для коммуникаций с пациентом; коллаборации с блогерами действуют в зоне привлечения, но не закрывают точки трения уже привлечённого пациента; оптимизация контента под генеративные движки, короткие видеоролики, персонализация и развитые оффлайн-инструменты остаются за периметром данной сети по соображениям ресурса и приоритетов. Релевантные тенденции и их связь с проблемами представлены в таблице ниже.</w:t>
      </w:r>
    </w:p>
    <w:p w14:paraId="2E8C7690">
      <w:pPr>
        <w:spacing w:before="120" w:after="40" w:line="360" w:lineRule="auto"/>
        <w:jc w:val="left"/>
      </w:pPr>
      <w:r>
        <w:rPr>
          <w:rFonts w:ascii="Times New Roman" w:hAnsi="Times New Roman" w:eastAsia="Times New Roman" w:cs="Times New Roman"/>
          <w:b w:val="0"/>
          <w:i w:val="0"/>
          <w:color w:val="000000"/>
          <w:sz w:val="28"/>
        </w:rPr>
        <w:t>Таблица 2.1 – Соответствие рыночных тенденций цифрового маркетинга (глава 1, таблица 2) проявлениям управленческой проблемы</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44"/>
        <w:gridCol w:w="4844"/>
      </w:tblGrid>
      <w:tr w14:paraId="043A5DDA">
        <w:tc>
          <w:tcPr>
            <w:tcW w:w="3685" w:type="dxa"/>
            <w:vAlign w:val="center"/>
          </w:tcPr>
          <w:p w14:paraId="1DB36914">
            <w:pPr>
              <w:spacing w:before="0" w:after="0" w:line="360" w:lineRule="auto"/>
              <w:jc w:val="center"/>
            </w:pPr>
            <w:r>
              <w:rPr>
                <w:rFonts w:ascii="Times New Roman" w:hAnsi="Times New Roman" w:eastAsia="Times New Roman" w:cs="Times New Roman"/>
                <w:b/>
                <w:i w:val="0"/>
                <w:color w:val="000000"/>
                <w:sz w:val="28"/>
              </w:rPr>
              <w:t>Тенденция (по таблице 2 главы 1)</w:t>
            </w:r>
          </w:p>
        </w:tc>
        <w:tc>
          <w:tcPr>
            <w:tcW w:w="5386" w:type="dxa"/>
            <w:vAlign w:val="center"/>
          </w:tcPr>
          <w:p w14:paraId="6CBCB63D">
            <w:pPr>
              <w:spacing w:before="0" w:after="0" w:line="360" w:lineRule="auto"/>
              <w:jc w:val="center"/>
            </w:pPr>
            <w:r>
              <w:rPr>
                <w:rFonts w:ascii="Times New Roman" w:hAnsi="Times New Roman" w:eastAsia="Times New Roman" w:cs="Times New Roman"/>
                <w:b/>
                <w:i w:val="0"/>
                <w:color w:val="000000"/>
                <w:sz w:val="28"/>
              </w:rPr>
              <w:t>Проблема клиники, на которую влияет</w:t>
            </w:r>
          </w:p>
        </w:tc>
      </w:tr>
      <w:tr w14:paraId="4AC00242">
        <w:tc>
          <w:tcPr>
            <w:tcW w:w="3685" w:type="dxa"/>
            <w:vAlign w:val="top"/>
          </w:tcPr>
          <w:p w14:paraId="19CC5A13">
            <w:pPr>
              <w:spacing w:before="0" w:after="0" w:line="360" w:lineRule="auto"/>
              <w:jc w:val="left"/>
            </w:pPr>
            <w:r>
              <w:rPr>
                <w:rFonts w:ascii="Times New Roman" w:hAnsi="Times New Roman" w:eastAsia="Times New Roman" w:cs="Times New Roman"/>
                <w:b w:val="0"/>
                <w:i w:val="0"/>
                <w:color w:val="000000"/>
                <w:sz w:val="28"/>
              </w:rPr>
              <w:t>Сокращение воронки продаж и упрощение процесса покупки</w:t>
            </w:r>
          </w:p>
        </w:tc>
        <w:tc>
          <w:tcPr>
            <w:tcW w:w="5386" w:type="dxa"/>
            <w:vAlign w:val="top"/>
          </w:tcPr>
          <w:p w14:paraId="598FF963">
            <w:pPr>
              <w:spacing w:before="0" w:after="0" w:line="360" w:lineRule="auto"/>
              <w:jc w:val="left"/>
            </w:pPr>
            <w:r>
              <w:rPr>
                <w:rFonts w:ascii="Times New Roman" w:hAnsi="Times New Roman" w:eastAsia="Times New Roman" w:cs="Times New Roman"/>
                <w:b w:val="0"/>
                <w:i w:val="0"/>
                <w:color w:val="000000"/>
                <w:sz w:val="28"/>
              </w:rPr>
              <w:t>Низкая конверсия первичного трафика; отказы из-за трудоёмкости записи</w:t>
            </w:r>
          </w:p>
        </w:tc>
      </w:tr>
      <w:tr w14:paraId="24BE753C">
        <w:tc>
          <w:tcPr>
            <w:tcW w:w="3685" w:type="dxa"/>
            <w:vAlign w:val="top"/>
          </w:tcPr>
          <w:p w14:paraId="7D2FD6C4">
            <w:pPr>
              <w:spacing w:before="0" w:after="0" w:line="360" w:lineRule="auto"/>
              <w:jc w:val="left"/>
            </w:pPr>
            <w:r>
              <w:rPr>
                <w:rFonts w:ascii="Times New Roman" w:hAnsi="Times New Roman" w:eastAsia="Times New Roman" w:cs="Times New Roman"/>
                <w:b w:val="0"/>
                <w:i w:val="0"/>
                <w:color w:val="000000"/>
                <w:sz w:val="28"/>
              </w:rPr>
              <w:t>Адаптивность контекстной/таргетированной рекламы</w:t>
            </w:r>
          </w:p>
        </w:tc>
        <w:tc>
          <w:tcPr>
            <w:tcW w:w="5386" w:type="dxa"/>
            <w:vAlign w:val="top"/>
          </w:tcPr>
          <w:p w14:paraId="66E0C84A">
            <w:pPr>
              <w:spacing w:before="0" w:after="0" w:line="360" w:lineRule="auto"/>
              <w:jc w:val="left"/>
            </w:pPr>
            <w:r>
              <w:rPr>
                <w:rFonts w:ascii="Times New Roman" w:hAnsi="Times New Roman" w:eastAsia="Times New Roman" w:cs="Times New Roman"/>
                <w:b w:val="0"/>
                <w:i w:val="0"/>
                <w:color w:val="000000"/>
                <w:sz w:val="28"/>
              </w:rPr>
              <w:t>Невозможность ретаргетинга при отсутствии собственных контактов</w:t>
            </w:r>
          </w:p>
        </w:tc>
      </w:tr>
      <w:tr w14:paraId="26985814">
        <w:tc>
          <w:tcPr>
            <w:tcW w:w="3685" w:type="dxa"/>
            <w:vAlign w:val="top"/>
          </w:tcPr>
          <w:p w14:paraId="21C8D7FB">
            <w:pPr>
              <w:spacing w:before="0" w:after="0" w:line="360" w:lineRule="auto"/>
              <w:jc w:val="left"/>
            </w:pPr>
            <w:r>
              <w:rPr>
                <w:rFonts w:ascii="Times New Roman" w:hAnsi="Times New Roman" w:eastAsia="Times New Roman" w:cs="Times New Roman"/>
                <w:b w:val="0"/>
                <w:i w:val="0"/>
                <w:color w:val="000000"/>
                <w:sz w:val="28"/>
              </w:rPr>
              <w:t>Увеличение значения собственных данных и аналитики</w:t>
            </w:r>
          </w:p>
        </w:tc>
        <w:tc>
          <w:tcPr>
            <w:tcW w:w="5386" w:type="dxa"/>
            <w:vAlign w:val="top"/>
          </w:tcPr>
          <w:p w14:paraId="11D46B1C">
            <w:pPr>
              <w:spacing w:before="0" w:after="0" w:line="360" w:lineRule="auto"/>
              <w:jc w:val="left"/>
            </w:pPr>
            <w:r>
              <w:rPr>
                <w:rFonts w:ascii="Times New Roman" w:hAnsi="Times New Roman" w:eastAsia="Times New Roman" w:cs="Times New Roman"/>
                <w:b w:val="0"/>
                <w:i w:val="0"/>
                <w:color w:val="000000"/>
                <w:sz w:val="28"/>
              </w:rPr>
              <w:t>Зависимость от внешних агрегаторов и платёжных каналов</w:t>
            </w:r>
          </w:p>
        </w:tc>
      </w:tr>
      <w:tr w14:paraId="1119F48D">
        <w:tc>
          <w:tcPr>
            <w:tcW w:w="3685" w:type="dxa"/>
            <w:vAlign w:val="top"/>
          </w:tcPr>
          <w:p w14:paraId="0DCEDD59">
            <w:pPr>
              <w:spacing w:before="0" w:after="0" w:line="360" w:lineRule="auto"/>
              <w:jc w:val="left"/>
            </w:pPr>
            <w:r>
              <w:rPr>
                <w:rFonts w:ascii="Times New Roman" w:hAnsi="Times New Roman" w:eastAsia="Times New Roman" w:cs="Times New Roman"/>
                <w:b w:val="0"/>
                <w:i w:val="0"/>
                <w:color w:val="000000"/>
                <w:sz w:val="28"/>
              </w:rPr>
              <w:t>Трансформация бизнес-коммуникаций в мессенджеры</w:t>
            </w:r>
          </w:p>
        </w:tc>
        <w:tc>
          <w:tcPr>
            <w:tcW w:w="5386" w:type="dxa"/>
            <w:vAlign w:val="top"/>
          </w:tcPr>
          <w:p w14:paraId="53147348">
            <w:pPr>
              <w:spacing w:before="0" w:after="0" w:line="360" w:lineRule="auto"/>
              <w:jc w:val="left"/>
            </w:pPr>
            <w:r>
              <w:rPr>
                <w:rFonts w:ascii="Times New Roman" w:hAnsi="Times New Roman" w:eastAsia="Times New Roman" w:cs="Times New Roman"/>
                <w:b w:val="0"/>
                <w:i w:val="0"/>
                <w:color w:val="000000"/>
                <w:sz w:val="28"/>
              </w:rPr>
              <w:t>Зависимость от единственного канала; рост неявок</w:t>
            </w:r>
          </w:p>
        </w:tc>
      </w:tr>
      <w:tr w14:paraId="170BCE08">
        <w:tc>
          <w:tcPr>
            <w:tcW w:w="3685" w:type="dxa"/>
            <w:vAlign w:val="top"/>
          </w:tcPr>
          <w:p w14:paraId="0698415A">
            <w:pPr>
              <w:spacing w:before="0" w:after="0" w:line="360" w:lineRule="auto"/>
              <w:jc w:val="left"/>
            </w:pPr>
            <w:r>
              <w:rPr>
                <w:rFonts w:ascii="Times New Roman" w:hAnsi="Times New Roman" w:eastAsia="Times New Roman" w:cs="Times New Roman"/>
                <w:b w:val="0"/>
                <w:i w:val="0"/>
                <w:color w:val="000000"/>
                <w:sz w:val="28"/>
              </w:rPr>
              <w:t>Усиление работы с репутацией и отзывами</w:t>
            </w:r>
          </w:p>
        </w:tc>
        <w:tc>
          <w:tcPr>
            <w:tcW w:w="5386" w:type="dxa"/>
            <w:vAlign w:val="top"/>
          </w:tcPr>
          <w:p w14:paraId="18205C23">
            <w:pPr>
              <w:spacing w:before="0" w:after="0" w:line="360" w:lineRule="auto"/>
              <w:jc w:val="left"/>
            </w:pPr>
            <w:r>
              <w:rPr>
                <w:rFonts w:ascii="Times New Roman" w:hAnsi="Times New Roman" w:eastAsia="Times New Roman" w:cs="Times New Roman"/>
                <w:b w:val="0"/>
                <w:i w:val="0"/>
                <w:color w:val="000000"/>
                <w:sz w:val="28"/>
              </w:rPr>
              <w:t>Отток пациентов на этапе пост-диагностики</w:t>
            </w:r>
          </w:p>
        </w:tc>
      </w:tr>
      <w:tr w14:paraId="1FD56135">
        <w:tc>
          <w:tcPr>
            <w:tcW w:w="3685" w:type="dxa"/>
            <w:vAlign w:val="top"/>
          </w:tcPr>
          <w:p w14:paraId="504380CC">
            <w:pPr>
              <w:spacing w:before="0" w:after="0" w:line="360" w:lineRule="auto"/>
              <w:jc w:val="left"/>
            </w:pPr>
            <w:r>
              <w:rPr>
                <w:rFonts w:ascii="Times New Roman" w:hAnsi="Times New Roman" w:eastAsia="Times New Roman" w:cs="Times New Roman"/>
                <w:b w:val="0"/>
                <w:i w:val="0"/>
                <w:color w:val="000000"/>
                <w:sz w:val="28"/>
              </w:rPr>
              <w:t>Искусственный интеллект и автоматизация</w:t>
            </w:r>
          </w:p>
        </w:tc>
        <w:tc>
          <w:tcPr>
            <w:tcW w:w="5386" w:type="dxa"/>
            <w:vAlign w:val="top"/>
          </w:tcPr>
          <w:p w14:paraId="334E3B78">
            <w:pPr>
              <w:spacing w:before="0" w:after="0" w:line="360" w:lineRule="auto"/>
              <w:jc w:val="left"/>
            </w:pPr>
            <w:r>
              <w:rPr>
                <w:rFonts w:ascii="Times New Roman" w:hAnsi="Times New Roman" w:eastAsia="Times New Roman" w:cs="Times New Roman"/>
                <w:b w:val="0"/>
                <w:i w:val="0"/>
                <w:color w:val="000000"/>
                <w:sz w:val="28"/>
              </w:rPr>
              <w:t>Нагрузка регистратуры по типовым запросам и истории</w:t>
            </w:r>
          </w:p>
        </w:tc>
      </w:tr>
      <w:tr w14:paraId="60EE652D">
        <w:tc>
          <w:tcPr>
            <w:tcW w:w="3685" w:type="dxa"/>
            <w:vAlign w:val="top"/>
          </w:tcPr>
          <w:p w14:paraId="1D91F9DF">
            <w:pPr>
              <w:spacing w:before="0" w:after="0" w:line="360" w:lineRule="auto"/>
              <w:jc w:val="left"/>
            </w:pPr>
            <w:r>
              <w:rPr>
                <w:rFonts w:ascii="Times New Roman" w:hAnsi="Times New Roman" w:eastAsia="Times New Roman" w:cs="Times New Roman"/>
                <w:b w:val="0"/>
                <w:i w:val="0"/>
                <w:color w:val="000000"/>
                <w:sz w:val="28"/>
              </w:rPr>
              <w:t>Омниканальный маркетинг (бесшовный путь)</w:t>
            </w:r>
          </w:p>
        </w:tc>
        <w:tc>
          <w:tcPr>
            <w:tcW w:w="5386" w:type="dxa"/>
            <w:vAlign w:val="top"/>
          </w:tcPr>
          <w:p w14:paraId="3F26EC46">
            <w:pPr>
              <w:spacing w:before="0" w:after="0" w:line="360" w:lineRule="auto"/>
              <w:jc w:val="left"/>
            </w:pPr>
            <w:r>
              <w:rPr>
                <w:rFonts w:ascii="Times New Roman" w:hAnsi="Times New Roman" w:eastAsia="Times New Roman" w:cs="Times New Roman"/>
                <w:b w:val="0"/>
                <w:i w:val="0"/>
                <w:color w:val="000000"/>
                <w:sz w:val="28"/>
              </w:rPr>
              <w:t>Несвязанность каналов записи, напоминаний и пост-визита</w:t>
            </w:r>
          </w:p>
        </w:tc>
      </w:tr>
      <w:tr w14:paraId="41914EED">
        <w:tc>
          <w:tcPr>
            <w:tcW w:w="3685" w:type="dxa"/>
            <w:vAlign w:val="top"/>
          </w:tcPr>
          <w:p w14:paraId="4CBB0F15">
            <w:pPr>
              <w:spacing w:before="0" w:after="0" w:line="360" w:lineRule="auto"/>
              <w:jc w:val="left"/>
            </w:pPr>
            <w:r>
              <w:rPr>
                <w:rFonts w:ascii="Times New Roman" w:hAnsi="Times New Roman" w:eastAsia="Times New Roman" w:cs="Times New Roman"/>
                <w:b w:val="0"/>
                <w:i w:val="0"/>
                <w:color w:val="000000"/>
                <w:sz w:val="28"/>
              </w:rPr>
              <w:t>Мобильные приложения для удержания клиентов</w:t>
            </w:r>
          </w:p>
        </w:tc>
        <w:tc>
          <w:tcPr>
            <w:tcW w:w="5386" w:type="dxa"/>
            <w:vAlign w:val="top"/>
          </w:tcPr>
          <w:p w14:paraId="0EEEF37C">
            <w:pPr>
              <w:spacing w:before="0" w:after="0" w:line="360" w:lineRule="auto"/>
              <w:jc w:val="left"/>
            </w:pPr>
            <w:r>
              <w:rPr>
                <w:rFonts w:ascii="Times New Roman" w:hAnsi="Times New Roman" w:eastAsia="Times New Roman" w:cs="Times New Roman"/>
                <w:b w:val="0"/>
                <w:i w:val="0"/>
                <w:color w:val="000000"/>
                <w:sz w:val="28"/>
              </w:rPr>
              <w:t>Снижение частоты профилактических визитов</w:t>
            </w:r>
          </w:p>
        </w:tc>
      </w:tr>
    </w:tbl>
    <w:p w14:paraId="46A83B00">
      <w:pPr>
        <w:keepNext w:val="0"/>
        <w:keepLines w:val="0"/>
        <w:pageBreakBefore w:val="0"/>
        <w:widowControl/>
        <w:kinsoku/>
        <w:wordWrap/>
        <w:overflowPunct/>
        <w:topLinePunct w:val="0"/>
        <w:autoSpaceDE/>
        <w:autoSpaceDN/>
        <w:bidi w:val="0"/>
        <w:adjustRightInd/>
        <w:snapToGrid/>
        <w:spacing w:after="0" w:line="360" w:lineRule="auto"/>
        <w:jc w:val="both"/>
        <w:textAlignment w:val="auto"/>
      </w:pPr>
    </w:p>
    <w:p w14:paraId="34129196">
      <w:pPr>
        <w:keepNext w:val="0"/>
        <w:keepLines w:val="0"/>
        <w:pageBreakBefore w:val="0"/>
        <w:widowControl/>
        <w:kinsoku/>
        <w:wordWrap/>
        <w:overflowPunct/>
        <w:topLinePunct w:val="0"/>
        <w:autoSpaceDE/>
        <w:autoSpaceDN/>
        <w:bidi w:val="0"/>
        <w:adjustRightInd/>
        <w:snapToGrid/>
        <w:spacing w:after="0" w:line="360" w:lineRule="auto"/>
        <w:ind w:firstLine="709"/>
        <w:jc w:val="left"/>
        <w:textAlignment w:val="auto"/>
      </w:pPr>
      <w:r>
        <w:rPr>
          <w:rFonts w:ascii="Times New Roman" w:hAnsi="Times New Roman" w:eastAsia="Times New Roman" w:cs="Times New Roman"/>
          <w:b/>
          <w:i w:val="0"/>
          <w:color w:val="000000"/>
          <w:sz w:val="28"/>
        </w:rPr>
        <w:t>2.2. Критерии отбора цифровых инструментов</w:t>
      </w:r>
    </w:p>
    <w:p w14:paraId="4109FEBE">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pPr>
      <w:r>
        <w:rPr>
          <w:rFonts w:ascii="Times New Roman" w:hAnsi="Times New Roman" w:eastAsia="Times New Roman" w:cs="Times New Roman"/>
          <w:b w:val="0"/>
          <w:i w:val="0"/>
          <w:color w:val="000000"/>
          <w:sz w:val="28"/>
        </w:rPr>
        <w:t>Критерии отбора определены так, чтобы учесть и проблемную ориентацию инструментов, и их реализуемость в рамках MVP, и нормативные ограничения 2025–2026 годов. Сформулированы шесть критериев с весами; веса задают условную приоритетность для конкретной сети.</w:t>
      </w:r>
    </w:p>
    <w:p w14:paraId="2E9FAA47">
      <w:pPr>
        <w:spacing w:before="120" w:after="40" w:line="360" w:lineRule="auto"/>
        <w:jc w:val="left"/>
      </w:pPr>
      <w:r>
        <w:rPr>
          <w:rFonts w:ascii="Times New Roman" w:hAnsi="Times New Roman" w:eastAsia="Times New Roman" w:cs="Times New Roman"/>
          <w:b w:val="0"/>
          <w:i w:val="0"/>
          <w:color w:val="000000"/>
          <w:sz w:val="28"/>
        </w:rPr>
        <w:t>Таблица 2.2 – Критерии отбора цифровых инструментов и их веса</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22"/>
        <w:gridCol w:w="2422"/>
        <w:gridCol w:w="2422"/>
        <w:gridCol w:w="2422"/>
      </w:tblGrid>
      <w:tr w14:paraId="3DBF2957">
        <w:tc>
          <w:tcPr>
            <w:tcW w:w="850" w:type="dxa"/>
            <w:vAlign w:val="center"/>
          </w:tcPr>
          <w:p w14:paraId="73FE2E9D">
            <w:pPr>
              <w:spacing w:before="0" w:after="0" w:line="360" w:lineRule="auto"/>
              <w:jc w:val="center"/>
            </w:pPr>
            <w:r>
              <w:rPr>
                <w:rFonts w:ascii="Times New Roman" w:hAnsi="Times New Roman" w:eastAsia="Times New Roman" w:cs="Times New Roman"/>
                <w:b/>
                <w:i w:val="0"/>
                <w:color w:val="000000"/>
                <w:sz w:val="28"/>
              </w:rPr>
              <w:t>№</w:t>
            </w:r>
          </w:p>
        </w:tc>
        <w:tc>
          <w:tcPr>
            <w:tcW w:w="2551" w:type="dxa"/>
            <w:vAlign w:val="center"/>
          </w:tcPr>
          <w:p w14:paraId="15A715D7">
            <w:pPr>
              <w:spacing w:before="0" w:after="0" w:line="360" w:lineRule="auto"/>
              <w:jc w:val="center"/>
            </w:pPr>
            <w:r>
              <w:rPr>
                <w:rFonts w:ascii="Times New Roman" w:hAnsi="Times New Roman" w:eastAsia="Times New Roman" w:cs="Times New Roman"/>
                <w:b/>
                <w:i w:val="0"/>
                <w:color w:val="000000"/>
                <w:sz w:val="28"/>
              </w:rPr>
              <w:t>Критерий</w:t>
            </w:r>
          </w:p>
        </w:tc>
        <w:tc>
          <w:tcPr>
            <w:tcW w:w="4252" w:type="dxa"/>
            <w:vAlign w:val="center"/>
          </w:tcPr>
          <w:p w14:paraId="14BEBB62">
            <w:pPr>
              <w:spacing w:before="0" w:after="0" w:line="360" w:lineRule="auto"/>
              <w:jc w:val="center"/>
            </w:pPr>
            <w:r>
              <w:rPr>
                <w:rFonts w:ascii="Times New Roman" w:hAnsi="Times New Roman" w:eastAsia="Times New Roman" w:cs="Times New Roman"/>
                <w:b/>
                <w:i w:val="0"/>
                <w:color w:val="000000"/>
                <w:sz w:val="28"/>
              </w:rPr>
              <w:t>Содержание</w:t>
            </w:r>
          </w:p>
        </w:tc>
        <w:tc>
          <w:tcPr>
            <w:tcW w:w="850" w:type="dxa"/>
            <w:vAlign w:val="center"/>
          </w:tcPr>
          <w:p w14:paraId="536B2F0F">
            <w:pPr>
              <w:spacing w:before="0" w:after="0" w:line="360" w:lineRule="auto"/>
              <w:jc w:val="center"/>
            </w:pPr>
            <w:r>
              <w:rPr>
                <w:rFonts w:ascii="Times New Roman" w:hAnsi="Times New Roman" w:eastAsia="Times New Roman" w:cs="Times New Roman"/>
                <w:b/>
                <w:i w:val="0"/>
                <w:color w:val="000000"/>
                <w:sz w:val="28"/>
              </w:rPr>
              <w:t>Вес</w:t>
            </w:r>
          </w:p>
        </w:tc>
      </w:tr>
      <w:tr w14:paraId="620C6B21">
        <w:tc>
          <w:tcPr>
            <w:tcW w:w="850" w:type="dxa"/>
            <w:vAlign w:val="top"/>
          </w:tcPr>
          <w:p w14:paraId="728D66CE">
            <w:pPr>
              <w:spacing w:before="0" w:after="0" w:line="360" w:lineRule="auto"/>
              <w:jc w:val="left"/>
            </w:pPr>
            <w:r>
              <w:rPr>
                <w:rFonts w:ascii="Times New Roman" w:hAnsi="Times New Roman" w:eastAsia="Times New Roman" w:cs="Times New Roman"/>
                <w:b w:val="0"/>
                <w:i w:val="0"/>
                <w:color w:val="000000"/>
                <w:sz w:val="28"/>
              </w:rPr>
              <w:t>К1</w:t>
            </w:r>
          </w:p>
        </w:tc>
        <w:tc>
          <w:tcPr>
            <w:tcW w:w="2551" w:type="dxa"/>
            <w:vAlign w:val="top"/>
          </w:tcPr>
          <w:p w14:paraId="0CB15F53">
            <w:pPr>
              <w:spacing w:before="0" w:after="0" w:line="360" w:lineRule="auto"/>
              <w:jc w:val="left"/>
            </w:pPr>
            <w:r>
              <w:rPr>
                <w:rFonts w:ascii="Times New Roman" w:hAnsi="Times New Roman" w:eastAsia="Times New Roman" w:cs="Times New Roman"/>
                <w:b w:val="0"/>
                <w:i w:val="0"/>
                <w:color w:val="000000"/>
                <w:sz w:val="28"/>
              </w:rPr>
              <w:t>Покрытие проблем</w:t>
            </w:r>
          </w:p>
        </w:tc>
        <w:tc>
          <w:tcPr>
            <w:tcW w:w="4252" w:type="dxa"/>
            <w:vAlign w:val="top"/>
          </w:tcPr>
          <w:p w14:paraId="23B9EA21">
            <w:pPr>
              <w:spacing w:before="0" w:after="0" w:line="360" w:lineRule="auto"/>
              <w:jc w:val="left"/>
            </w:pPr>
            <w:r>
              <w:rPr>
                <w:rFonts w:ascii="Times New Roman" w:hAnsi="Times New Roman" w:eastAsia="Times New Roman" w:cs="Times New Roman"/>
                <w:b w:val="0"/>
                <w:i w:val="0"/>
                <w:color w:val="000000"/>
                <w:sz w:val="28"/>
              </w:rPr>
              <w:t>Закрывает одно или несколько конкретных проявлений управленческой проблемы</w:t>
            </w:r>
          </w:p>
        </w:tc>
        <w:tc>
          <w:tcPr>
            <w:tcW w:w="850" w:type="dxa"/>
            <w:vAlign w:val="top"/>
          </w:tcPr>
          <w:p w14:paraId="4E76C629">
            <w:pPr>
              <w:spacing w:before="0" w:after="0" w:line="360" w:lineRule="auto"/>
              <w:jc w:val="left"/>
            </w:pPr>
            <w:r>
              <w:rPr>
                <w:rFonts w:ascii="Times New Roman" w:hAnsi="Times New Roman" w:eastAsia="Times New Roman" w:cs="Times New Roman"/>
                <w:b w:val="0"/>
                <w:i w:val="0"/>
                <w:color w:val="000000"/>
                <w:sz w:val="28"/>
              </w:rPr>
              <w:t>0,25</w:t>
            </w:r>
          </w:p>
        </w:tc>
      </w:tr>
      <w:tr w14:paraId="014FB44A">
        <w:tc>
          <w:tcPr>
            <w:tcW w:w="850" w:type="dxa"/>
            <w:vAlign w:val="top"/>
          </w:tcPr>
          <w:p w14:paraId="1FB23B21">
            <w:pPr>
              <w:spacing w:before="0" w:after="0" w:line="360" w:lineRule="auto"/>
              <w:jc w:val="left"/>
            </w:pPr>
            <w:r>
              <w:rPr>
                <w:rFonts w:ascii="Times New Roman" w:hAnsi="Times New Roman" w:eastAsia="Times New Roman" w:cs="Times New Roman"/>
                <w:b w:val="0"/>
                <w:i w:val="0"/>
                <w:color w:val="000000"/>
                <w:sz w:val="28"/>
              </w:rPr>
              <w:t>К2</w:t>
            </w:r>
          </w:p>
        </w:tc>
        <w:tc>
          <w:tcPr>
            <w:tcW w:w="2551" w:type="dxa"/>
            <w:vAlign w:val="top"/>
          </w:tcPr>
          <w:p w14:paraId="79C05510">
            <w:pPr>
              <w:spacing w:before="0" w:after="0" w:line="360" w:lineRule="auto"/>
              <w:jc w:val="left"/>
            </w:pPr>
            <w:r>
              <w:rPr>
                <w:rFonts w:ascii="Times New Roman" w:hAnsi="Times New Roman" w:eastAsia="Times New Roman" w:cs="Times New Roman"/>
                <w:b w:val="0"/>
                <w:i w:val="0"/>
                <w:color w:val="000000"/>
                <w:sz w:val="28"/>
              </w:rPr>
              <w:t>Эмпирическая обоснованность</w:t>
            </w:r>
          </w:p>
        </w:tc>
        <w:tc>
          <w:tcPr>
            <w:tcW w:w="4252" w:type="dxa"/>
            <w:vAlign w:val="top"/>
          </w:tcPr>
          <w:p w14:paraId="4D7A5720">
            <w:pPr>
              <w:spacing w:before="0" w:after="0" w:line="360" w:lineRule="auto"/>
              <w:jc w:val="left"/>
            </w:pPr>
            <w:r>
              <w:rPr>
                <w:rFonts w:ascii="Times New Roman" w:hAnsi="Times New Roman" w:eastAsia="Times New Roman" w:cs="Times New Roman"/>
                <w:b w:val="0"/>
                <w:i w:val="0"/>
                <w:color w:val="000000"/>
                <w:sz w:val="28"/>
              </w:rPr>
              <w:t>Имеется опубликованная количественная оценка эффекта (метаанализ, RCT, отраслевой обзор)</w:t>
            </w:r>
          </w:p>
        </w:tc>
        <w:tc>
          <w:tcPr>
            <w:tcW w:w="850" w:type="dxa"/>
            <w:vAlign w:val="top"/>
          </w:tcPr>
          <w:p w14:paraId="5A308433">
            <w:pPr>
              <w:spacing w:before="0" w:after="0" w:line="360" w:lineRule="auto"/>
              <w:jc w:val="left"/>
            </w:pPr>
            <w:r>
              <w:rPr>
                <w:rFonts w:ascii="Times New Roman" w:hAnsi="Times New Roman" w:eastAsia="Times New Roman" w:cs="Times New Roman"/>
                <w:b w:val="0"/>
                <w:i w:val="0"/>
                <w:color w:val="000000"/>
                <w:sz w:val="28"/>
              </w:rPr>
              <w:t>0,20</w:t>
            </w:r>
          </w:p>
        </w:tc>
      </w:tr>
      <w:tr w14:paraId="612AFC86">
        <w:tc>
          <w:tcPr>
            <w:tcW w:w="850" w:type="dxa"/>
            <w:vAlign w:val="top"/>
          </w:tcPr>
          <w:p w14:paraId="4B22BE53">
            <w:pPr>
              <w:spacing w:before="0" w:after="0" w:line="360" w:lineRule="auto"/>
              <w:jc w:val="left"/>
            </w:pPr>
            <w:r>
              <w:rPr>
                <w:rFonts w:ascii="Times New Roman" w:hAnsi="Times New Roman" w:eastAsia="Times New Roman" w:cs="Times New Roman"/>
                <w:b w:val="0"/>
                <w:i w:val="0"/>
                <w:color w:val="000000"/>
                <w:sz w:val="28"/>
              </w:rPr>
              <w:t>К3</w:t>
            </w:r>
          </w:p>
        </w:tc>
        <w:tc>
          <w:tcPr>
            <w:tcW w:w="2551" w:type="dxa"/>
            <w:vAlign w:val="top"/>
          </w:tcPr>
          <w:p w14:paraId="4434298F">
            <w:pPr>
              <w:spacing w:before="0" w:after="0" w:line="360" w:lineRule="auto"/>
              <w:jc w:val="left"/>
            </w:pPr>
            <w:r>
              <w:rPr>
                <w:rFonts w:ascii="Times New Roman" w:hAnsi="Times New Roman" w:eastAsia="Times New Roman" w:cs="Times New Roman"/>
                <w:b w:val="0"/>
                <w:i w:val="0"/>
                <w:color w:val="000000"/>
                <w:sz w:val="28"/>
              </w:rPr>
              <w:t>Соответствие нормативной базе 2025–2026</w:t>
            </w:r>
          </w:p>
        </w:tc>
        <w:tc>
          <w:tcPr>
            <w:tcW w:w="4252" w:type="dxa"/>
            <w:vAlign w:val="top"/>
          </w:tcPr>
          <w:p w14:paraId="193A9972">
            <w:pPr>
              <w:spacing w:before="0" w:after="0" w:line="360" w:lineRule="auto"/>
              <w:jc w:val="left"/>
            </w:pPr>
            <w:r>
              <w:rPr>
                <w:rFonts w:ascii="Times New Roman" w:hAnsi="Times New Roman" w:eastAsia="Times New Roman" w:cs="Times New Roman"/>
                <w:b w:val="0"/>
                <w:i w:val="0"/>
                <w:color w:val="000000"/>
                <w:sz w:val="28"/>
              </w:rPr>
              <w:t>Не противоречит 152-ФЗ, 323-ФЗ, 38-ФЗ ст. 24 и порядку № 193н</w:t>
            </w:r>
          </w:p>
        </w:tc>
        <w:tc>
          <w:tcPr>
            <w:tcW w:w="850" w:type="dxa"/>
            <w:vAlign w:val="top"/>
          </w:tcPr>
          <w:p w14:paraId="4335B18F">
            <w:pPr>
              <w:spacing w:before="0" w:after="0" w:line="360" w:lineRule="auto"/>
              <w:jc w:val="left"/>
            </w:pPr>
            <w:r>
              <w:rPr>
                <w:rFonts w:ascii="Times New Roman" w:hAnsi="Times New Roman" w:eastAsia="Times New Roman" w:cs="Times New Roman"/>
                <w:b w:val="0"/>
                <w:i w:val="0"/>
                <w:color w:val="000000"/>
                <w:sz w:val="28"/>
              </w:rPr>
              <w:t>0,20</w:t>
            </w:r>
          </w:p>
        </w:tc>
      </w:tr>
      <w:tr w14:paraId="053287F8">
        <w:tc>
          <w:tcPr>
            <w:tcW w:w="850" w:type="dxa"/>
            <w:vAlign w:val="top"/>
          </w:tcPr>
          <w:p w14:paraId="599BEFB0">
            <w:pPr>
              <w:spacing w:before="0" w:after="0" w:line="360" w:lineRule="auto"/>
              <w:jc w:val="left"/>
            </w:pPr>
            <w:r>
              <w:rPr>
                <w:rFonts w:ascii="Times New Roman" w:hAnsi="Times New Roman" w:eastAsia="Times New Roman" w:cs="Times New Roman"/>
                <w:b w:val="0"/>
                <w:i w:val="0"/>
                <w:color w:val="000000"/>
                <w:sz w:val="28"/>
              </w:rPr>
              <w:t>К4</w:t>
            </w:r>
          </w:p>
        </w:tc>
        <w:tc>
          <w:tcPr>
            <w:tcW w:w="2551" w:type="dxa"/>
            <w:vAlign w:val="top"/>
          </w:tcPr>
          <w:p w14:paraId="730EB90F">
            <w:pPr>
              <w:spacing w:before="0" w:after="0" w:line="360" w:lineRule="auto"/>
              <w:jc w:val="left"/>
            </w:pPr>
            <w:r>
              <w:rPr>
                <w:rFonts w:ascii="Times New Roman" w:hAnsi="Times New Roman" w:eastAsia="Times New Roman" w:cs="Times New Roman"/>
                <w:b w:val="0"/>
                <w:i w:val="0"/>
                <w:color w:val="000000"/>
                <w:sz w:val="28"/>
              </w:rPr>
              <w:t>Реализуемость в MVP</w:t>
            </w:r>
          </w:p>
        </w:tc>
        <w:tc>
          <w:tcPr>
            <w:tcW w:w="4252" w:type="dxa"/>
            <w:vAlign w:val="top"/>
          </w:tcPr>
          <w:p w14:paraId="382C5E10">
            <w:pPr>
              <w:spacing w:before="0" w:after="0" w:line="360" w:lineRule="auto"/>
              <w:jc w:val="left"/>
            </w:pPr>
            <w:r>
              <w:rPr>
                <w:rFonts w:ascii="Times New Roman" w:hAnsi="Times New Roman" w:eastAsia="Times New Roman" w:cs="Times New Roman"/>
                <w:b w:val="0"/>
                <w:i w:val="0"/>
                <w:color w:val="000000"/>
                <w:sz w:val="28"/>
              </w:rPr>
              <w:t>Может быть включён в первую версию продукта с приемлемыми сроками и стоимостью</w:t>
            </w:r>
          </w:p>
        </w:tc>
        <w:tc>
          <w:tcPr>
            <w:tcW w:w="850" w:type="dxa"/>
            <w:vAlign w:val="top"/>
          </w:tcPr>
          <w:p w14:paraId="49FCD649">
            <w:pPr>
              <w:spacing w:before="0" w:after="0" w:line="360" w:lineRule="auto"/>
              <w:jc w:val="left"/>
            </w:pPr>
            <w:r>
              <w:rPr>
                <w:rFonts w:ascii="Times New Roman" w:hAnsi="Times New Roman" w:eastAsia="Times New Roman" w:cs="Times New Roman"/>
                <w:b w:val="0"/>
                <w:i w:val="0"/>
                <w:color w:val="000000"/>
                <w:sz w:val="28"/>
              </w:rPr>
              <w:t>0,15</w:t>
            </w:r>
          </w:p>
        </w:tc>
      </w:tr>
      <w:tr w14:paraId="7227F2CD">
        <w:tc>
          <w:tcPr>
            <w:tcW w:w="850" w:type="dxa"/>
            <w:vAlign w:val="top"/>
          </w:tcPr>
          <w:p w14:paraId="59429E39">
            <w:pPr>
              <w:spacing w:before="0" w:after="0" w:line="360" w:lineRule="auto"/>
              <w:jc w:val="left"/>
            </w:pPr>
            <w:r>
              <w:rPr>
                <w:rFonts w:ascii="Times New Roman" w:hAnsi="Times New Roman" w:eastAsia="Times New Roman" w:cs="Times New Roman"/>
                <w:b w:val="0"/>
                <w:i w:val="0"/>
                <w:color w:val="000000"/>
                <w:sz w:val="28"/>
              </w:rPr>
              <w:t>К5</w:t>
            </w:r>
          </w:p>
        </w:tc>
        <w:tc>
          <w:tcPr>
            <w:tcW w:w="2551" w:type="dxa"/>
            <w:vAlign w:val="top"/>
          </w:tcPr>
          <w:p w14:paraId="3BA272F7">
            <w:pPr>
              <w:spacing w:before="0" w:after="0" w:line="360" w:lineRule="auto"/>
              <w:jc w:val="left"/>
            </w:pPr>
            <w:r>
              <w:rPr>
                <w:rFonts w:ascii="Times New Roman" w:hAnsi="Times New Roman" w:eastAsia="Times New Roman" w:cs="Times New Roman"/>
                <w:b w:val="0"/>
                <w:i w:val="0"/>
                <w:color w:val="000000"/>
                <w:sz w:val="28"/>
              </w:rPr>
              <w:t>Влияние на удержание (LTV)</w:t>
            </w:r>
          </w:p>
        </w:tc>
        <w:tc>
          <w:tcPr>
            <w:tcW w:w="4252" w:type="dxa"/>
            <w:vAlign w:val="top"/>
          </w:tcPr>
          <w:p w14:paraId="35719ECA">
            <w:pPr>
              <w:spacing w:before="0" w:after="0" w:line="360" w:lineRule="auto"/>
              <w:jc w:val="left"/>
            </w:pPr>
            <w:r>
              <w:rPr>
                <w:rFonts w:ascii="Times New Roman" w:hAnsi="Times New Roman" w:eastAsia="Times New Roman" w:cs="Times New Roman"/>
                <w:b w:val="0"/>
                <w:i w:val="0"/>
                <w:color w:val="000000"/>
                <w:sz w:val="28"/>
              </w:rPr>
              <w:t>Поддерживает повторные визиты и пост-визитные коммуникации</w:t>
            </w:r>
          </w:p>
        </w:tc>
        <w:tc>
          <w:tcPr>
            <w:tcW w:w="850" w:type="dxa"/>
            <w:vAlign w:val="top"/>
          </w:tcPr>
          <w:p w14:paraId="3FFDB905">
            <w:pPr>
              <w:spacing w:before="0" w:after="0" w:line="360" w:lineRule="auto"/>
              <w:jc w:val="left"/>
            </w:pPr>
            <w:r>
              <w:rPr>
                <w:rFonts w:ascii="Times New Roman" w:hAnsi="Times New Roman" w:eastAsia="Times New Roman" w:cs="Times New Roman"/>
                <w:b w:val="0"/>
                <w:i w:val="0"/>
                <w:color w:val="000000"/>
                <w:sz w:val="28"/>
              </w:rPr>
              <w:t>0,10</w:t>
            </w:r>
          </w:p>
        </w:tc>
      </w:tr>
      <w:tr w14:paraId="37EA74FB">
        <w:tc>
          <w:tcPr>
            <w:tcW w:w="850" w:type="dxa"/>
            <w:vAlign w:val="top"/>
          </w:tcPr>
          <w:p w14:paraId="77D7BDB6">
            <w:pPr>
              <w:spacing w:before="0" w:after="0" w:line="360" w:lineRule="auto"/>
              <w:jc w:val="left"/>
            </w:pPr>
            <w:r>
              <w:rPr>
                <w:rFonts w:ascii="Times New Roman" w:hAnsi="Times New Roman" w:eastAsia="Times New Roman" w:cs="Times New Roman"/>
                <w:b w:val="0"/>
                <w:i w:val="0"/>
                <w:color w:val="000000"/>
                <w:sz w:val="28"/>
              </w:rPr>
              <w:t>К6</w:t>
            </w:r>
          </w:p>
        </w:tc>
        <w:tc>
          <w:tcPr>
            <w:tcW w:w="2551" w:type="dxa"/>
            <w:vAlign w:val="top"/>
          </w:tcPr>
          <w:p w14:paraId="028D6A92">
            <w:pPr>
              <w:spacing w:before="0" w:after="0" w:line="360" w:lineRule="auto"/>
              <w:jc w:val="left"/>
            </w:pPr>
            <w:r>
              <w:rPr>
                <w:rFonts w:ascii="Times New Roman" w:hAnsi="Times New Roman" w:eastAsia="Times New Roman" w:cs="Times New Roman"/>
                <w:b w:val="0"/>
                <w:i w:val="0"/>
                <w:color w:val="000000"/>
                <w:sz w:val="28"/>
              </w:rPr>
              <w:t>Управляемость и собственные данные</w:t>
            </w:r>
          </w:p>
        </w:tc>
        <w:tc>
          <w:tcPr>
            <w:tcW w:w="4252" w:type="dxa"/>
            <w:vAlign w:val="top"/>
          </w:tcPr>
          <w:p w14:paraId="1A406C56">
            <w:pPr>
              <w:spacing w:before="0" w:after="0" w:line="360" w:lineRule="auto"/>
              <w:jc w:val="left"/>
            </w:pPr>
            <w:r>
              <w:rPr>
                <w:rFonts w:ascii="Times New Roman" w:hAnsi="Times New Roman" w:eastAsia="Times New Roman" w:cs="Times New Roman"/>
                <w:b w:val="0"/>
                <w:i w:val="0"/>
                <w:color w:val="000000"/>
                <w:sz w:val="28"/>
              </w:rPr>
              <w:t>Контактные данные и история взаимодействий остаются в системе клиники</w:t>
            </w:r>
          </w:p>
        </w:tc>
        <w:tc>
          <w:tcPr>
            <w:tcW w:w="850" w:type="dxa"/>
            <w:vAlign w:val="top"/>
          </w:tcPr>
          <w:p w14:paraId="62BF3380">
            <w:pPr>
              <w:spacing w:before="0" w:after="0" w:line="360" w:lineRule="auto"/>
              <w:jc w:val="left"/>
            </w:pPr>
            <w:r>
              <w:rPr>
                <w:rFonts w:ascii="Times New Roman" w:hAnsi="Times New Roman" w:eastAsia="Times New Roman" w:cs="Times New Roman"/>
                <w:b w:val="0"/>
                <w:i w:val="0"/>
                <w:color w:val="000000"/>
                <w:sz w:val="28"/>
              </w:rPr>
              <w:t>0,10</w:t>
            </w:r>
          </w:p>
        </w:tc>
      </w:tr>
    </w:tbl>
    <w:p w14:paraId="55C945F1">
      <w:pPr>
        <w:keepNext w:val="0"/>
        <w:keepLines w:val="0"/>
        <w:pageBreakBefore w:val="0"/>
        <w:widowControl/>
        <w:kinsoku/>
        <w:wordWrap/>
        <w:overflowPunct/>
        <w:topLinePunct w:val="0"/>
        <w:autoSpaceDE/>
        <w:autoSpaceDN/>
        <w:bidi w:val="0"/>
        <w:adjustRightInd/>
        <w:snapToGrid/>
        <w:spacing w:after="0" w:line="360" w:lineRule="auto"/>
        <w:jc w:val="both"/>
        <w:textAlignment w:val="auto"/>
      </w:pPr>
    </w:p>
    <w:p w14:paraId="6E870BC8">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Веса распределены так, чтобы покрытие проблем (К1) оставалось доминирующим критерием. Сразу за К1 идут эмпирическая обоснованность (К2) и нормативная допустимость (К3) — два равнозначных критерия второго порядка с одинаковым весом, поскольку выбор инструмента в медицинской услуге требует одновременно подтверждённой эффективности и юридической чистоты. Реализуемость в MVP (К4), влияние на LTV (К5) и управляемость данными (К6) образуют третий приоритетный блок. Сумма весов равна 1; нумерация критериев соответствует таблице 2.2.</w:t>
      </w:r>
    </w:p>
    <w:p w14:paraId="0129B8AD">
      <w:pPr>
        <w:keepNext w:val="0"/>
        <w:keepLines w:val="0"/>
        <w:pageBreakBefore w:val="0"/>
        <w:widowControl/>
        <w:kinsoku/>
        <w:wordWrap/>
        <w:overflowPunct/>
        <w:topLinePunct w:val="0"/>
        <w:autoSpaceDE/>
        <w:autoSpaceDN/>
        <w:bidi w:val="0"/>
        <w:adjustRightInd/>
        <w:snapToGrid/>
        <w:spacing w:after="0" w:line="360" w:lineRule="auto"/>
        <w:ind w:firstLine="706"/>
        <w:jc w:val="left"/>
        <w:textAlignment w:val="auto"/>
      </w:pPr>
      <w:r>
        <w:rPr>
          <w:rFonts w:ascii="Times New Roman" w:hAnsi="Times New Roman" w:eastAsia="Times New Roman" w:cs="Times New Roman"/>
          <w:b/>
          <w:i w:val="0"/>
          <w:color w:val="000000"/>
          <w:sz w:val="28"/>
        </w:rPr>
        <w:t>2.3. Сопоставление инструментов с проблемами и оценка по критериям</w:t>
      </w:r>
    </w:p>
    <w:p w14:paraId="4AF39878">
      <w:pPr>
        <w:keepNext w:val="0"/>
        <w:keepLines w:val="0"/>
        <w:pageBreakBefore w:val="0"/>
        <w:widowControl/>
        <w:kinsoku/>
        <w:wordWrap/>
        <w:overflowPunct/>
        <w:topLinePunct w:val="0"/>
        <w:autoSpaceDE/>
        <w:autoSpaceDN/>
        <w:bidi w:val="0"/>
        <w:adjustRightInd/>
        <w:snapToGrid/>
        <w:spacing w:after="0" w:line="360" w:lineRule="auto"/>
        <w:ind w:firstLine="706"/>
        <w:jc w:val="both"/>
        <w:textAlignment w:val="auto"/>
      </w:pPr>
      <w:r>
        <w:rPr>
          <w:rFonts w:ascii="Times New Roman" w:hAnsi="Times New Roman" w:eastAsia="Times New Roman" w:cs="Times New Roman"/>
          <w:b w:val="0"/>
          <w:i w:val="0"/>
          <w:color w:val="000000"/>
          <w:sz w:val="28"/>
        </w:rPr>
        <w:t>Кандидатами для отбора рассматриваются инструменты, описанные в параграфах 1.1–1.3 первой главы и в международной/российской практике (1.4): онлайн-запись через сайт и мобильное приложение, автоматические напоминания в мессенджерах и SMS, чат-бот для типовых сценариев, единый цифровой профиль пациента с историей визитов, цифровая заявка на налоговый вычет, ретаргетинг по идентифицированной базе через собственный канал, омниканальные коммуникации с CRM-сегментацией, телестоматологические консультации, AI-аналитика обращений, программа лояльности с цифровыми бонусами.</w:t>
      </w:r>
    </w:p>
    <w:p w14:paraId="6EAEC5A5">
      <w:pPr>
        <w:spacing w:before="0" w:after="0" w:line="360" w:lineRule="auto"/>
        <w:ind w:firstLine="709"/>
        <w:jc w:val="both"/>
      </w:pPr>
      <w:r>
        <w:rPr>
          <w:rFonts w:ascii="Times New Roman" w:hAnsi="Times New Roman" w:eastAsia="Times New Roman" w:cs="Times New Roman"/>
          <w:b w:val="0"/>
          <w:i w:val="0"/>
          <w:color w:val="000000"/>
          <w:sz w:val="28"/>
        </w:rPr>
        <w:t>В таблице 2.3 для каждого инструмента указаны проблемы клиники, которые он закрывает, и эмпирический источник зафиксированного эффекта.</w:t>
      </w:r>
    </w:p>
    <w:p w14:paraId="66DF32B1">
      <w:pPr>
        <w:spacing w:before="120" w:after="40" w:line="360" w:lineRule="auto"/>
        <w:jc w:val="left"/>
      </w:pPr>
      <w:r>
        <w:rPr>
          <w:rFonts w:ascii="Times New Roman" w:hAnsi="Times New Roman" w:eastAsia="Times New Roman" w:cs="Times New Roman"/>
          <w:b w:val="0"/>
          <w:i w:val="0"/>
          <w:color w:val="000000"/>
          <w:sz w:val="28"/>
        </w:rPr>
        <w:t>Таблица 2.3 – Сопоставление цифровых инструментов с проблемами клиники и эмпирическими источниками</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30"/>
        <w:gridCol w:w="3230"/>
        <w:gridCol w:w="3230"/>
      </w:tblGrid>
      <w:tr w14:paraId="700D6611">
        <w:tc>
          <w:tcPr>
            <w:tcW w:w="2835" w:type="dxa"/>
            <w:vAlign w:val="center"/>
          </w:tcPr>
          <w:p w14:paraId="7B08BC79">
            <w:pPr>
              <w:spacing w:before="0" w:after="0" w:line="360" w:lineRule="auto"/>
              <w:jc w:val="center"/>
            </w:pPr>
            <w:r>
              <w:rPr>
                <w:rFonts w:ascii="Times New Roman" w:hAnsi="Times New Roman" w:eastAsia="Times New Roman" w:cs="Times New Roman"/>
                <w:b/>
                <w:i w:val="0"/>
                <w:color w:val="000000"/>
                <w:sz w:val="28"/>
              </w:rPr>
              <w:t>Инструмент</w:t>
            </w:r>
          </w:p>
        </w:tc>
        <w:tc>
          <w:tcPr>
            <w:tcW w:w="3402" w:type="dxa"/>
            <w:vAlign w:val="center"/>
          </w:tcPr>
          <w:p w14:paraId="351D867F">
            <w:pPr>
              <w:spacing w:before="0" w:after="0" w:line="360" w:lineRule="auto"/>
              <w:jc w:val="center"/>
            </w:pPr>
            <w:r>
              <w:rPr>
                <w:rFonts w:ascii="Times New Roman" w:hAnsi="Times New Roman" w:eastAsia="Times New Roman" w:cs="Times New Roman"/>
                <w:b/>
                <w:i w:val="0"/>
                <w:color w:val="000000"/>
                <w:sz w:val="28"/>
              </w:rPr>
              <w:t>Проблемы клиники, закрываемые инструментом</w:t>
            </w:r>
          </w:p>
        </w:tc>
        <w:tc>
          <w:tcPr>
            <w:tcW w:w="2835" w:type="dxa"/>
            <w:vAlign w:val="center"/>
          </w:tcPr>
          <w:p w14:paraId="256384ED">
            <w:pPr>
              <w:spacing w:before="0" w:after="0" w:line="360" w:lineRule="auto"/>
              <w:jc w:val="center"/>
            </w:pPr>
            <w:r>
              <w:rPr>
                <w:rFonts w:ascii="Times New Roman" w:hAnsi="Times New Roman" w:eastAsia="Times New Roman" w:cs="Times New Roman"/>
                <w:b/>
                <w:i w:val="0"/>
                <w:color w:val="000000"/>
                <w:sz w:val="28"/>
              </w:rPr>
              <w:t>Эмпирический источник эффекта</w:t>
            </w:r>
          </w:p>
        </w:tc>
      </w:tr>
      <w:tr w14:paraId="2847F683">
        <w:tc>
          <w:tcPr>
            <w:tcW w:w="2835" w:type="dxa"/>
            <w:vAlign w:val="top"/>
          </w:tcPr>
          <w:p w14:paraId="60D0B0EA">
            <w:pPr>
              <w:spacing w:before="0" w:after="0" w:line="360" w:lineRule="auto"/>
              <w:jc w:val="left"/>
            </w:pPr>
            <w:r>
              <w:rPr>
                <w:rFonts w:ascii="Times New Roman" w:hAnsi="Times New Roman" w:eastAsia="Times New Roman" w:cs="Times New Roman"/>
                <w:b w:val="0"/>
                <w:i w:val="0"/>
                <w:color w:val="000000"/>
                <w:sz w:val="28"/>
              </w:rPr>
              <w:t>Онлайн-запись через мобильное приложение и сайт</w:t>
            </w:r>
          </w:p>
        </w:tc>
        <w:tc>
          <w:tcPr>
            <w:tcW w:w="3402" w:type="dxa"/>
            <w:vAlign w:val="top"/>
          </w:tcPr>
          <w:p w14:paraId="4B370A97">
            <w:pPr>
              <w:spacing w:before="0" w:after="0" w:line="360" w:lineRule="auto"/>
              <w:jc w:val="left"/>
            </w:pPr>
            <w:r>
              <w:rPr>
                <w:rFonts w:ascii="Times New Roman" w:hAnsi="Times New Roman" w:eastAsia="Times New Roman" w:cs="Times New Roman"/>
                <w:b w:val="0"/>
                <w:i w:val="0"/>
                <w:color w:val="000000"/>
                <w:sz w:val="28"/>
              </w:rPr>
              <w:t>Низкая конверсия первичного трафика; зависимость от единственного канала; нагрузка регистратуры</w:t>
            </w:r>
          </w:p>
        </w:tc>
        <w:tc>
          <w:tcPr>
            <w:tcW w:w="2835" w:type="dxa"/>
            <w:vAlign w:val="top"/>
          </w:tcPr>
          <w:p w14:paraId="1C7F9D3D">
            <w:pPr>
              <w:spacing w:before="0" w:after="0" w:line="360" w:lineRule="auto"/>
              <w:jc w:val="left"/>
            </w:pPr>
            <w:r>
              <w:rPr>
                <w:rFonts w:ascii="Times New Roman" w:hAnsi="Times New Roman" w:eastAsia="Times New Roman" w:cs="Times New Roman"/>
                <w:b w:val="0"/>
                <w:i w:val="0"/>
                <w:color w:val="000000"/>
                <w:sz w:val="28"/>
              </w:rPr>
              <w:t>PatientGain (2025), Resonate (2024)</w:t>
            </w:r>
          </w:p>
        </w:tc>
      </w:tr>
      <w:tr w14:paraId="0ECE6B76">
        <w:tc>
          <w:tcPr>
            <w:tcW w:w="2835" w:type="dxa"/>
            <w:vAlign w:val="top"/>
          </w:tcPr>
          <w:p w14:paraId="2354AAEE">
            <w:pPr>
              <w:spacing w:before="0" w:after="0" w:line="360" w:lineRule="auto"/>
              <w:jc w:val="left"/>
            </w:pPr>
            <w:r>
              <w:rPr>
                <w:rFonts w:ascii="Times New Roman" w:hAnsi="Times New Roman" w:eastAsia="Times New Roman" w:cs="Times New Roman"/>
                <w:b w:val="0"/>
                <w:i w:val="0"/>
                <w:color w:val="000000"/>
                <w:sz w:val="28"/>
              </w:rPr>
              <w:t>Автоматические напоминания в мессенджерах и SMS</w:t>
            </w:r>
          </w:p>
        </w:tc>
        <w:tc>
          <w:tcPr>
            <w:tcW w:w="3402" w:type="dxa"/>
            <w:vAlign w:val="top"/>
          </w:tcPr>
          <w:p w14:paraId="266F1AB2">
            <w:pPr>
              <w:spacing w:before="0" w:after="0" w:line="360" w:lineRule="auto"/>
              <w:jc w:val="left"/>
            </w:pPr>
            <w:r>
              <w:rPr>
                <w:rFonts w:ascii="Times New Roman" w:hAnsi="Times New Roman" w:eastAsia="Times New Roman" w:cs="Times New Roman"/>
                <w:b w:val="0"/>
                <w:i w:val="0"/>
                <w:color w:val="000000"/>
                <w:sz w:val="28"/>
              </w:rPr>
              <w:t>Рост неявок; забывание визита; снижение профилактической явки</w:t>
            </w:r>
          </w:p>
        </w:tc>
        <w:tc>
          <w:tcPr>
            <w:tcW w:w="2835" w:type="dxa"/>
            <w:vAlign w:val="top"/>
          </w:tcPr>
          <w:p w14:paraId="60DD58E0">
            <w:pPr>
              <w:spacing w:before="0" w:after="0" w:line="360" w:lineRule="auto"/>
              <w:jc w:val="left"/>
            </w:pPr>
            <w:r>
              <w:rPr>
                <w:rFonts w:ascii="Times New Roman" w:hAnsi="Times New Roman" w:eastAsia="Times New Roman" w:cs="Times New Roman"/>
                <w:b w:val="0"/>
                <w:i w:val="0"/>
                <w:color w:val="000000"/>
                <w:sz w:val="28"/>
              </w:rPr>
              <w:t>Boksmati J. Med. Syst. (2016); McLean (2016); Stormon (2022)</w:t>
            </w:r>
          </w:p>
        </w:tc>
      </w:tr>
      <w:tr w14:paraId="06AB9D9D">
        <w:tc>
          <w:tcPr>
            <w:tcW w:w="2835" w:type="dxa"/>
            <w:vAlign w:val="top"/>
          </w:tcPr>
          <w:p w14:paraId="73E51B90">
            <w:pPr>
              <w:spacing w:before="0" w:after="0" w:line="360" w:lineRule="auto"/>
              <w:jc w:val="left"/>
            </w:pPr>
            <w:r>
              <w:rPr>
                <w:rFonts w:ascii="Times New Roman" w:hAnsi="Times New Roman" w:eastAsia="Times New Roman" w:cs="Times New Roman"/>
                <w:b w:val="0"/>
                <w:i w:val="0"/>
                <w:color w:val="000000"/>
                <w:sz w:val="28"/>
              </w:rPr>
              <w:t>Чат-бот в мессенджерах для типовых сценариев</w:t>
            </w:r>
          </w:p>
        </w:tc>
        <w:tc>
          <w:tcPr>
            <w:tcW w:w="3402" w:type="dxa"/>
            <w:vAlign w:val="top"/>
          </w:tcPr>
          <w:p w14:paraId="05EBC6F6">
            <w:pPr>
              <w:spacing w:before="0" w:after="0" w:line="360" w:lineRule="auto"/>
              <w:jc w:val="left"/>
            </w:pPr>
            <w:r>
              <w:rPr>
                <w:rFonts w:ascii="Times New Roman" w:hAnsi="Times New Roman" w:eastAsia="Times New Roman" w:cs="Times New Roman"/>
                <w:b w:val="0"/>
                <w:i w:val="0"/>
                <w:color w:val="000000"/>
                <w:sz w:val="28"/>
              </w:rPr>
              <w:t>Нагрузка регистратуры; зависимость от единственного канала</w:t>
            </w:r>
          </w:p>
        </w:tc>
        <w:tc>
          <w:tcPr>
            <w:tcW w:w="2835" w:type="dxa"/>
            <w:vAlign w:val="top"/>
          </w:tcPr>
          <w:p w14:paraId="20CCEF9B">
            <w:pPr>
              <w:spacing w:before="0" w:after="0" w:line="360" w:lineRule="auto"/>
              <w:jc w:val="left"/>
            </w:pPr>
            <w:r>
              <w:rPr>
                <w:rFonts w:ascii="Times New Roman" w:hAnsi="Times New Roman" w:eastAsia="Times New Roman" w:cs="Times New Roman"/>
                <w:b w:val="0"/>
                <w:i w:val="0"/>
                <w:color w:val="000000"/>
                <w:sz w:val="28"/>
              </w:rPr>
              <w:t>MDPI Dent. J. (2025); PLOS Digital Health (2026)</w:t>
            </w:r>
          </w:p>
        </w:tc>
      </w:tr>
      <w:tr w14:paraId="73BFD3A6">
        <w:tc>
          <w:tcPr>
            <w:tcW w:w="2835" w:type="dxa"/>
            <w:vAlign w:val="top"/>
          </w:tcPr>
          <w:p w14:paraId="397158F0">
            <w:pPr>
              <w:spacing w:before="0" w:after="0" w:line="360" w:lineRule="auto"/>
              <w:jc w:val="left"/>
            </w:pPr>
            <w:r>
              <w:rPr>
                <w:rFonts w:ascii="Times New Roman" w:hAnsi="Times New Roman" w:eastAsia="Times New Roman" w:cs="Times New Roman"/>
                <w:b w:val="0"/>
                <w:i w:val="0"/>
                <w:color w:val="000000"/>
                <w:sz w:val="28"/>
              </w:rPr>
              <w:t>Единый цифровой профиль пациента с историей визитов</w:t>
            </w:r>
          </w:p>
        </w:tc>
        <w:tc>
          <w:tcPr>
            <w:tcW w:w="3402" w:type="dxa"/>
            <w:vAlign w:val="top"/>
          </w:tcPr>
          <w:p w14:paraId="1DEF9D78">
            <w:pPr>
              <w:spacing w:before="0" w:after="0" w:line="360" w:lineRule="auto"/>
              <w:jc w:val="left"/>
            </w:pPr>
            <w:r>
              <w:rPr>
                <w:rFonts w:ascii="Times New Roman" w:hAnsi="Times New Roman" w:eastAsia="Times New Roman" w:cs="Times New Roman"/>
                <w:b w:val="0"/>
                <w:i w:val="0"/>
                <w:color w:val="000000"/>
                <w:sz w:val="28"/>
              </w:rPr>
              <w:t>Нагрузка регистратуры; отток на пост-диагностике</w:t>
            </w:r>
          </w:p>
        </w:tc>
        <w:tc>
          <w:tcPr>
            <w:tcW w:w="2835" w:type="dxa"/>
            <w:vAlign w:val="top"/>
          </w:tcPr>
          <w:p w14:paraId="62AE4247">
            <w:pPr>
              <w:spacing w:before="0" w:after="0" w:line="360" w:lineRule="auto"/>
              <w:jc w:val="left"/>
            </w:pPr>
            <w:r>
              <w:rPr>
                <w:rFonts w:ascii="Times New Roman" w:hAnsi="Times New Roman" w:eastAsia="Times New Roman" w:cs="Times New Roman"/>
                <w:b w:val="0"/>
                <w:i w:val="0"/>
                <w:color w:val="000000"/>
                <w:sz w:val="28"/>
              </w:rPr>
              <w:t>Отраслевые обзоры РФ, 2024–2025</w:t>
            </w:r>
          </w:p>
        </w:tc>
      </w:tr>
      <w:tr w14:paraId="33B8E9DD">
        <w:tc>
          <w:tcPr>
            <w:tcW w:w="2835" w:type="dxa"/>
            <w:vAlign w:val="top"/>
          </w:tcPr>
          <w:p w14:paraId="4266F332">
            <w:pPr>
              <w:spacing w:before="0" w:after="0" w:line="360" w:lineRule="auto"/>
              <w:jc w:val="left"/>
            </w:pPr>
            <w:r>
              <w:rPr>
                <w:rFonts w:ascii="Times New Roman" w:hAnsi="Times New Roman" w:eastAsia="Times New Roman" w:cs="Times New Roman"/>
                <w:b w:val="0"/>
                <w:i w:val="0"/>
                <w:color w:val="000000"/>
                <w:sz w:val="28"/>
              </w:rPr>
              <w:t>Цифровая заявка на налоговый вычет</w:t>
            </w:r>
          </w:p>
        </w:tc>
        <w:tc>
          <w:tcPr>
            <w:tcW w:w="3402" w:type="dxa"/>
            <w:vAlign w:val="top"/>
          </w:tcPr>
          <w:p w14:paraId="4CCC9454">
            <w:pPr>
              <w:spacing w:before="0" w:after="0" w:line="360" w:lineRule="auto"/>
              <w:jc w:val="left"/>
            </w:pPr>
            <w:r>
              <w:rPr>
                <w:rFonts w:ascii="Times New Roman" w:hAnsi="Times New Roman" w:eastAsia="Times New Roman" w:cs="Times New Roman"/>
                <w:b w:val="0"/>
                <w:i w:val="0"/>
                <w:color w:val="000000"/>
                <w:sz w:val="28"/>
              </w:rPr>
              <w:t>Отток на пост-диагностике; снижение LTV</w:t>
            </w:r>
          </w:p>
        </w:tc>
        <w:tc>
          <w:tcPr>
            <w:tcW w:w="2835" w:type="dxa"/>
            <w:vAlign w:val="top"/>
          </w:tcPr>
          <w:p w14:paraId="2FA1154C">
            <w:pPr>
              <w:spacing w:before="0" w:after="0" w:line="360" w:lineRule="auto"/>
              <w:jc w:val="left"/>
            </w:pPr>
            <w:r>
              <w:rPr>
                <w:rFonts w:ascii="Times New Roman" w:hAnsi="Times New Roman" w:eastAsia="Times New Roman" w:cs="Times New Roman"/>
                <w:b w:val="0"/>
                <w:i w:val="0"/>
                <w:color w:val="000000"/>
                <w:sz w:val="28"/>
              </w:rPr>
              <w:t>Аналитика по социальным налоговым вычетам ст. 219 НК РФ</w:t>
            </w:r>
          </w:p>
        </w:tc>
      </w:tr>
      <w:tr w14:paraId="7064C2AD">
        <w:tc>
          <w:tcPr>
            <w:tcW w:w="2835" w:type="dxa"/>
            <w:vAlign w:val="top"/>
          </w:tcPr>
          <w:p w14:paraId="48D510B7">
            <w:pPr>
              <w:spacing w:before="0" w:after="0" w:line="360" w:lineRule="auto"/>
              <w:jc w:val="left"/>
            </w:pPr>
            <w:r>
              <w:rPr>
                <w:rFonts w:ascii="Times New Roman" w:hAnsi="Times New Roman" w:eastAsia="Times New Roman" w:cs="Times New Roman"/>
                <w:b w:val="0"/>
                <w:i w:val="0"/>
                <w:color w:val="000000"/>
                <w:sz w:val="28"/>
              </w:rPr>
              <w:t>Собственный ретаргетинг по идентифицированной базе</w:t>
            </w:r>
          </w:p>
        </w:tc>
        <w:tc>
          <w:tcPr>
            <w:tcW w:w="3402" w:type="dxa"/>
            <w:vAlign w:val="top"/>
          </w:tcPr>
          <w:p w14:paraId="0695F45E">
            <w:pPr>
              <w:spacing w:before="0" w:after="0" w:line="360" w:lineRule="auto"/>
              <w:jc w:val="left"/>
            </w:pPr>
            <w:r>
              <w:rPr>
                <w:rFonts w:ascii="Times New Roman" w:hAnsi="Times New Roman" w:eastAsia="Times New Roman" w:cs="Times New Roman"/>
                <w:b w:val="0"/>
                <w:i w:val="0"/>
                <w:color w:val="000000"/>
                <w:sz w:val="28"/>
              </w:rPr>
              <w:t>Невозможность повторных коммуникаций с аудиторией сайта</w:t>
            </w:r>
          </w:p>
        </w:tc>
        <w:tc>
          <w:tcPr>
            <w:tcW w:w="2835" w:type="dxa"/>
            <w:vAlign w:val="top"/>
          </w:tcPr>
          <w:p w14:paraId="2B4571D5">
            <w:pPr>
              <w:spacing w:before="0" w:after="0" w:line="360" w:lineRule="auto"/>
              <w:jc w:val="left"/>
            </w:pPr>
            <w:r>
              <w:rPr>
                <w:rFonts w:ascii="Times New Roman" w:hAnsi="Times New Roman" w:eastAsia="Times New Roman" w:cs="Times New Roman"/>
                <w:b w:val="0"/>
                <w:i w:val="0"/>
                <w:color w:val="000000"/>
                <w:sz w:val="28"/>
              </w:rPr>
              <w:t>Smart Communications (2025); HHS Pixel Guidance (2024)</w:t>
            </w:r>
          </w:p>
        </w:tc>
      </w:tr>
      <w:tr w14:paraId="0F9E1D16">
        <w:tc>
          <w:tcPr>
            <w:tcW w:w="2835" w:type="dxa"/>
            <w:vAlign w:val="top"/>
          </w:tcPr>
          <w:p w14:paraId="32384A8C">
            <w:pPr>
              <w:spacing w:before="0" w:after="0" w:line="360" w:lineRule="auto"/>
              <w:jc w:val="left"/>
            </w:pPr>
            <w:r>
              <w:rPr>
                <w:rFonts w:ascii="Times New Roman" w:hAnsi="Times New Roman" w:eastAsia="Times New Roman" w:cs="Times New Roman"/>
                <w:b w:val="0"/>
                <w:i w:val="0"/>
                <w:color w:val="000000"/>
                <w:sz w:val="28"/>
              </w:rPr>
              <w:t>Омниканальная CRM-сегментация и триггерные рассылки</w:t>
            </w:r>
          </w:p>
        </w:tc>
        <w:tc>
          <w:tcPr>
            <w:tcW w:w="3402" w:type="dxa"/>
            <w:vAlign w:val="top"/>
          </w:tcPr>
          <w:p w14:paraId="26E726EF">
            <w:pPr>
              <w:spacing w:before="0" w:after="0" w:line="360" w:lineRule="auto"/>
              <w:jc w:val="left"/>
            </w:pPr>
            <w:r>
              <w:rPr>
                <w:rFonts w:ascii="Times New Roman" w:hAnsi="Times New Roman" w:eastAsia="Times New Roman" w:cs="Times New Roman"/>
                <w:b w:val="0"/>
                <w:i w:val="0"/>
                <w:color w:val="000000"/>
                <w:sz w:val="28"/>
              </w:rPr>
              <w:t>Несвязанные каналы; зависимость от телефона; снижение профвизитов</w:t>
            </w:r>
          </w:p>
        </w:tc>
        <w:tc>
          <w:tcPr>
            <w:tcW w:w="2835" w:type="dxa"/>
            <w:vAlign w:val="top"/>
          </w:tcPr>
          <w:p w14:paraId="679E5D48">
            <w:pPr>
              <w:spacing w:before="0" w:after="0" w:line="360" w:lineRule="auto"/>
              <w:jc w:val="left"/>
            </w:pPr>
            <w:r>
              <w:rPr>
                <w:rFonts w:ascii="Times New Roman" w:hAnsi="Times New Roman" w:eastAsia="Times New Roman" w:cs="Times New Roman"/>
                <w:b w:val="0"/>
                <w:i w:val="0"/>
                <w:color w:val="000000"/>
                <w:sz w:val="28"/>
              </w:rPr>
              <w:t>Smart Communications (2025); Carrer и др. (JMIR, 2025)</w:t>
            </w:r>
          </w:p>
        </w:tc>
      </w:tr>
      <w:tr w14:paraId="51BBD54B">
        <w:tc>
          <w:tcPr>
            <w:tcW w:w="2835" w:type="dxa"/>
            <w:vAlign w:val="top"/>
          </w:tcPr>
          <w:p w14:paraId="73B3A6C0">
            <w:pPr>
              <w:spacing w:before="0" w:after="0" w:line="360" w:lineRule="auto"/>
              <w:jc w:val="left"/>
            </w:pPr>
            <w:r>
              <w:rPr>
                <w:rFonts w:ascii="Times New Roman" w:hAnsi="Times New Roman" w:eastAsia="Times New Roman" w:cs="Times New Roman"/>
                <w:b w:val="0"/>
                <w:i w:val="0"/>
                <w:color w:val="000000"/>
                <w:sz w:val="28"/>
              </w:rPr>
              <w:t>Телестоматологические консультации</w:t>
            </w:r>
          </w:p>
        </w:tc>
        <w:tc>
          <w:tcPr>
            <w:tcW w:w="3402" w:type="dxa"/>
            <w:vAlign w:val="top"/>
          </w:tcPr>
          <w:p w14:paraId="7E7F45B0">
            <w:pPr>
              <w:spacing w:before="0" w:after="0" w:line="360" w:lineRule="auto"/>
              <w:jc w:val="left"/>
            </w:pPr>
            <w:r>
              <w:rPr>
                <w:rFonts w:ascii="Times New Roman" w:hAnsi="Times New Roman" w:eastAsia="Times New Roman" w:cs="Times New Roman"/>
                <w:b w:val="0"/>
                <w:i w:val="0"/>
                <w:color w:val="000000"/>
                <w:sz w:val="28"/>
              </w:rPr>
              <w:t>Удалённость; страх перед лечением; пост-диагностика</w:t>
            </w:r>
          </w:p>
        </w:tc>
        <w:tc>
          <w:tcPr>
            <w:tcW w:w="2835" w:type="dxa"/>
            <w:vAlign w:val="top"/>
          </w:tcPr>
          <w:p w14:paraId="441798E2">
            <w:pPr>
              <w:spacing w:before="0" w:after="0" w:line="360" w:lineRule="auto"/>
              <w:jc w:val="left"/>
            </w:pPr>
            <w:r>
              <w:rPr>
                <w:rFonts w:ascii="Times New Roman" w:hAnsi="Times New Roman" w:eastAsia="Times New Roman" w:cs="Times New Roman"/>
                <w:b w:val="0"/>
                <w:i w:val="0"/>
                <w:color w:val="000000"/>
                <w:sz w:val="28"/>
              </w:rPr>
              <w:t>ADA Clinical Evaluators Panel (2023); Carrer и др. (JMIR, 2025)</w:t>
            </w:r>
          </w:p>
        </w:tc>
      </w:tr>
      <w:tr w14:paraId="06F306F6">
        <w:tc>
          <w:tcPr>
            <w:tcW w:w="2835" w:type="dxa"/>
            <w:vAlign w:val="top"/>
          </w:tcPr>
          <w:p w14:paraId="32525681">
            <w:pPr>
              <w:spacing w:before="0" w:after="0" w:line="360" w:lineRule="auto"/>
              <w:jc w:val="left"/>
            </w:pPr>
            <w:r>
              <w:rPr>
                <w:rFonts w:ascii="Times New Roman" w:hAnsi="Times New Roman" w:eastAsia="Times New Roman" w:cs="Times New Roman"/>
                <w:b w:val="0"/>
                <w:i w:val="0"/>
                <w:color w:val="000000"/>
                <w:sz w:val="28"/>
              </w:rPr>
              <w:t>AI-аналитика обращений (тёмные данные)</w:t>
            </w:r>
          </w:p>
        </w:tc>
        <w:tc>
          <w:tcPr>
            <w:tcW w:w="3402" w:type="dxa"/>
            <w:vAlign w:val="top"/>
          </w:tcPr>
          <w:p w14:paraId="5BF46255">
            <w:pPr>
              <w:spacing w:before="0" w:after="0" w:line="360" w:lineRule="auto"/>
              <w:jc w:val="left"/>
            </w:pPr>
            <w:r>
              <w:rPr>
                <w:rFonts w:ascii="Times New Roman" w:hAnsi="Times New Roman" w:eastAsia="Times New Roman" w:cs="Times New Roman"/>
                <w:b w:val="0"/>
                <w:i w:val="0"/>
                <w:color w:val="000000"/>
                <w:sz w:val="28"/>
              </w:rPr>
              <w:t>Низкая конверсия; невидимые причины оттока</w:t>
            </w:r>
          </w:p>
        </w:tc>
        <w:tc>
          <w:tcPr>
            <w:tcW w:w="2835" w:type="dxa"/>
            <w:vAlign w:val="top"/>
          </w:tcPr>
          <w:p w14:paraId="35E32AA5">
            <w:pPr>
              <w:spacing w:before="0" w:after="0" w:line="360" w:lineRule="auto"/>
              <w:jc w:val="left"/>
            </w:pPr>
            <w:r>
              <w:rPr>
                <w:rFonts w:ascii="Times New Roman" w:hAnsi="Times New Roman" w:eastAsia="Times New Roman" w:cs="Times New Roman"/>
                <w:b w:val="0"/>
                <w:i w:val="0"/>
                <w:color w:val="000000"/>
                <w:sz w:val="28"/>
              </w:rPr>
              <w:t>Frontiers in Dental Medicine (2024)</w:t>
            </w:r>
          </w:p>
        </w:tc>
      </w:tr>
      <w:tr w14:paraId="3FBF7B91">
        <w:tc>
          <w:tcPr>
            <w:tcW w:w="2835" w:type="dxa"/>
            <w:vAlign w:val="top"/>
          </w:tcPr>
          <w:p w14:paraId="186143CF">
            <w:pPr>
              <w:spacing w:before="0" w:after="0" w:line="360" w:lineRule="auto"/>
              <w:jc w:val="left"/>
            </w:pPr>
            <w:r>
              <w:rPr>
                <w:rFonts w:ascii="Times New Roman" w:hAnsi="Times New Roman" w:eastAsia="Times New Roman" w:cs="Times New Roman"/>
                <w:b w:val="0"/>
                <w:i w:val="0"/>
                <w:color w:val="000000"/>
                <w:sz w:val="28"/>
              </w:rPr>
              <w:t>Цифровая программа лояльности</w:t>
            </w:r>
          </w:p>
        </w:tc>
        <w:tc>
          <w:tcPr>
            <w:tcW w:w="3402" w:type="dxa"/>
            <w:vAlign w:val="top"/>
          </w:tcPr>
          <w:p w14:paraId="19623832">
            <w:pPr>
              <w:spacing w:before="0" w:after="0" w:line="360" w:lineRule="auto"/>
              <w:jc w:val="left"/>
            </w:pPr>
            <w:r>
              <w:rPr>
                <w:rFonts w:ascii="Times New Roman" w:hAnsi="Times New Roman" w:eastAsia="Times New Roman" w:cs="Times New Roman"/>
                <w:b w:val="0"/>
                <w:i w:val="0"/>
                <w:color w:val="000000"/>
                <w:sz w:val="28"/>
              </w:rPr>
              <w:t>Снижение профилактических визитов; LTV</w:t>
            </w:r>
          </w:p>
        </w:tc>
        <w:tc>
          <w:tcPr>
            <w:tcW w:w="2835" w:type="dxa"/>
            <w:vAlign w:val="top"/>
          </w:tcPr>
          <w:p w14:paraId="63D79383">
            <w:pPr>
              <w:spacing w:before="0" w:after="0" w:line="360" w:lineRule="auto"/>
              <w:jc w:val="left"/>
            </w:pPr>
            <w:r>
              <w:rPr>
                <w:rFonts w:ascii="Times New Roman" w:hAnsi="Times New Roman" w:eastAsia="Times New Roman" w:cs="Times New Roman"/>
                <w:b w:val="0"/>
                <w:i w:val="0"/>
                <w:color w:val="000000"/>
                <w:sz w:val="28"/>
              </w:rPr>
              <w:t>Watermelonseed Marketing (2024); ZeviDigital (2024)</w:t>
            </w:r>
          </w:p>
        </w:tc>
      </w:tr>
    </w:tbl>
    <w:p w14:paraId="31E7753A">
      <w:pPr>
        <w:keepNext w:val="0"/>
        <w:keepLines w:val="0"/>
        <w:pageBreakBefore w:val="0"/>
        <w:widowControl/>
        <w:kinsoku/>
        <w:wordWrap/>
        <w:overflowPunct/>
        <w:topLinePunct w:val="0"/>
        <w:autoSpaceDE/>
        <w:autoSpaceDN/>
        <w:bidi w:val="0"/>
        <w:adjustRightInd/>
        <w:snapToGrid/>
        <w:spacing w:after="0" w:line="360" w:lineRule="auto"/>
        <w:jc w:val="both"/>
        <w:textAlignment w:val="auto"/>
      </w:pPr>
    </w:p>
    <w:p w14:paraId="127708C2">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pPr>
      <w:r>
        <w:rPr>
          <w:rFonts w:ascii="Times New Roman" w:hAnsi="Times New Roman" w:eastAsia="Times New Roman" w:cs="Times New Roman"/>
          <w:b w:val="0"/>
          <w:i w:val="0"/>
          <w:color w:val="000000"/>
          <w:sz w:val="28"/>
        </w:rPr>
        <w:t>Каждый инструмент оценен по шести критериям из таблицы 2.2 по шкале 1–5, где 5 — максимальное соответствие критерию. Итоговая оценка получена как взвешенная сумма; в состав MVP включаются инструменты с итоговой оценкой не ниже 3,8 и максимальным влиянием на критерии К1 и К3.</w:t>
      </w:r>
    </w:p>
    <w:p w14:paraId="1C2F925F">
      <w:pPr>
        <w:spacing w:before="120" w:after="40" w:line="360" w:lineRule="auto"/>
        <w:jc w:val="left"/>
      </w:pPr>
      <w:r>
        <w:rPr>
          <w:rFonts w:ascii="Times New Roman" w:hAnsi="Times New Roman" w:eastAsia="Times New Roman" w:cs="Times New Roman"/>
          <w:b w:val="0"/>
          <w:i w:val="0"/>
          <w:color w:val="000000"/>
          <w:sz w:val="28"/>
        </w:rPr>
        <w:t>Таблица 2.4 – Оценка цифровых инструментов по критериям отбора</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77"/>
        <w:gridCol w:w="1077"/>
        <w:gridCol w:w="1077"/>
        <w:gridCol w:w="1077"/>
        <w:gridCol w:w="1077"/>
        <w:gridCol w:w="1077"/>
        <w:gridCol w:w="1077"/>
        <w:gridCol w:w="1077"/>
        <w:gridCol w:w="1077"/>
      </w:tblGrid>
      <w:tr w14:paraId="307EE8F0">
        <w:tc>
          <w:tcPr>
            <w:tcW w:w="2551" w:type="dxa"/>
            <w:vAlign w:val="center"/>
          </w:tcPr>
          <w:p w14:paraId="23166E37">
            <w:pPr>
              <w:spacing w:before="0" w:after="0" w:line="360" w:lineRule="auto"/>
              <w:jc w:val="center"/>
            </w:pPr>
            <w:r>
              <w:rPr>
                <w:rFonts w:ascii="Times New Roman" w:hAnsi="Times New Roman" w:eastAsia="Times New Roman" w:cs="Times New Roman"/>
                <w:b/>
                <w:i w:val="0"/>
                <w:color w:val="000000"/>
                <w:sz w:val="28"/>
              </w:rPr>
              <w:t>Инструмент</w:t>
            </w:r>
          </w:p>
        </w:tc>
        <w:tc>
          <w:tcPr>
            <w:tcW w:w="567" w:type="dxa"/>
            <w:vAlign w:val="center"/>
          </w:tcPr>
          <w:p w14:paraId="78F3B3E3">
            <w:pPr>
              <w:spacing w:before="0" w:after="0" w:line="360" w:lineRule="auto"/>
              <w:jc w:val="center"/>
            </w:pPr>
            <w:r>
              <w:rPr>
                <w:rFonts w:ascii="Times New Roman" w:hAnsi="Times New Roman" w:eastAsia="Times New Roman" w:cs="Times New Roman"/>
                <w:b/>
                <w:i w:val="0"/>
                <w:color w:val="000000"/>
                <w:sz w:val="28"/>
              </w:rPr>
              <w:t>К1</w:t>
            </w:r>
          </w:p>
        </w:tc>
        <w:tc>
          <w:tcPr>
            <w:tcW w:w="567" w:type="dxa"/>
            <w:vAlign w:val="center"/>
          </w:tcPr>
          <w:p w14:paraId="6CCF022E">
            <w:pPr>
              <w:spacing w:before="0" w:after="0" w:line="360" w:lineRule="auto"/>
              <w:jc w:val="center"/>
            </w:pPr>
            <w:r>
              <w:rPr>
                <w:rFonts w:ascii="Times New Roman" w:hAnsi="Times New Roman" w:eastAsia="Times New Roman" w:cs="Times New Roman"/>
                <w:b/>
                <w:i w:val="0"/>
                <w:color w:val="000000"/>
                <w:sz w:val="28"/>
              </w:rPr>
              <w:t>К2</w:t>
            </w:r>
          </w:p>
        </w:tc>
        <w:tc>
          <w:tcPr>
            <w:tcW w:w="567" w:type="dxa"/>
            <w:vAlign w:val="center"/>
          </w:tcPr>
          <w:p w14:paraId="7B4C0252">
            <w:pPr>
              <w:spacing w:before="0" w:after="0" w:line="360" w:lineRule="auto"/>
              <w:jc w:val="center"/>
            </w:pPr>
            <w:r>
              <w:rPr>
                <w:rFonts w:ascii="Times New Roman" w:hAnsi="Times New Roman" w:eastAsia="Times New Roman" w:cs="Times New Roman"/>
                <w:b/>
                <w:i w:val="0"/>
                <w:color w:val="000000"/>
                <w:sz w:val="28"/>
              </w:rPr>
              <w:t>К3</w:t>
            </w:r>
          </w:p>
        </w:tc>
        <w:tc>
          <w:tcPr>
            <w:tcW w:w="567" w:type="dxa"/>
            <w:vAlign w:val="center"/>
          </w:tcPr>
          <w:p w14:paraId="46BD1B62">
            <w:pPr>
              <w:spacing w:before="0" w:after="0" w:line="360" w:lineRule="auto"/>
              <w:jc w:val="center"/>
            </w:pPr>
            <w:r>
              <w:rPr>
                <w:rFonts w:ascii="Times New Roman" w:hAnsi="Times New Roman" w:eastAsia="Times New Roman" w:cs="Times New Roman"/>
                <w:b/>
                <w:i w:val="0"/>
                <w:color w:val="000000"/>
                <w:sz w:val="28"/>
              </w:rPr>
              <w:t>К4</w:t>
            </w:r>
          </w:p>
        </w:tc>
        <w:tc>
          <w:tcPr>
            <w:tcW w:w="567" w:type="dxa"/>
            <w:vAlign w:val="center"/>
          </w:tcPr>
          <w:p w14:paraId="1F613349">
            <w:pPr>
              <w:spacing w:before="0" w:after="0" w:line="360" w:lineRule="auto"/>
              <w:jc w:val="center"/>
            </w:pPr>
            <w:r>
              <w:rPr>
                <w:rFonts w:ascii="Times New Roman" w:hAnsi="Times New Roman" w:eastAsia="Times New Roman" w:cs="Times New Roman"/>
                <w:b/>
                <w:i w:val="0"/>
                <w:color w:val="000000"/>
                <w:sz w:val="28"/>
              </w:rPr>
              <w:t>К5</w:t>
            </w:r>
          </w:p>
        </w:tc>
        <w:tc>
          <w:tcPr>
            <w:tcW w:w="567" w:type="dxa"/>
            <w:vAlign w:val="center"/>
          </w:tcPr>
          <w:p w14:paraId="0C7B9036">
            <w:pPr>
              <w:spacing w:before="0" w:after="0" w:line="360" w:lineRule="auto"/>
              <w:jc w:val="center"/>
            </w:pPr>
            <w:r>
              <w:rPr>
                <w:rFonts w:ascii="Times New Roman" w:hAnsi="Times New Roman" w:eastAsia="Times New Roman" w:cs="Times New Roman"/>
                <w:b/>
                <w:i w:val="0"/>
                <w:color w:val="000000"/>
                <w:sz w:val="28"/>
              </w:rPr>
              <w:t>К6</w:t>
            </w:r>
          </w:p>
        </w:tc>
        <w:tc>
          <w:tcPr>
            <w:tcW w:w="850" w:type="dxa"/>
            <w:vAlign w:val="center"/>
          </w:tcPr>
          <w:p w14:paraId="7E8D3B49">
            <w:pPr>
              <w:spacing w:before="0" w:after="0" w:line="360" w:lineRule="auto"/>
              <w:jc w:val="center"/>
            </w:pPr>
            <w:r>
              <w:rPr>
                <w:rFonts w:ascii="Times New Roman" w:hAnsi="Times New Roman" w:eastAsia="Times New Roman" w:cs="Times New Roman"/>
                <w:b/>
                <w:i w:val="0"/>
                <w:color w:val="000000"/>
                <w:sz w:val="28"/>
              </w:rPr>
              <w:t>Итог</w:t>
            </w:r>
          </w:p>
        </w:tc>
        <w:tc>
          <w:tcPr>
            <w:tcW w:w="2268" w:type="dxa"/>
            <w:vAlign w:val="center"/>
          </w:tcPr>
          <w:p w14:paraId="346DDB4A">
            <w:pPr>
              <w:spacing w:before="0" w:after="0" w:line="360" w:lineRule="auto"/>
              <w:jc w:val="center"/>
            </w:pPr>
            <w:r>
              <w:rPr>
                <w:rFonts w:ascii="Times New Roman" w:hAnsi="Times New Roman" w:eastAsia="Times New Roman" w:cs="Times New Roman"/>
                <w:b/>
                <w:i w:val="0"/>
                <w:color w:val="000000"/>
                <w:sz w:val="28"/>
              </w:rPr>
              <w:t>В MVP</w:t>
            </w:r>
          </w:p>
        </w:tc>
      </w:tr>
      <w:tr w14:paraId="35A0033C">
        <w:tc>
          <w:tcPr>
            <w:tcW w:w="2551" w:type="dxa"/>
            <w:vAlign w:val="top"/>
          </w:tcPr>
          <w:p w14:paraId="606CEBE0">
            <w:pPr>
              <w:spacing w:before="0" w:after="0" w:line="360" w:lineRule="auto"/>
              <w:jc w:val="left"/>
            </w:pPr>
            <w:r>
              <w:rPr>
                <w:rFonts w:ascii="Times New Roman" w:hAnsi="Times New Roman" w:eastAsia="Times New Roman" w:cs="Times New Roman"/>
                <w:b w:val="0"/>
                <w:i w:val="0"/>
                <w:color w:val="000000"/>
                <w:sz w:val="28"/>
              </w:rPr>
              <w:t>Онлайн-запись (приложение и сайт)</w:t>
            </w:r>
          </w:p>
        </w:tc>
        <w:tc>
          <w:tcPr>
            <w:tcW w:w="567" w:type="dxa"/>
            <w:vAlign w:val="top"/>
          </w:tcPr>
          <w:p w14:paraId="273B1A6A">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6D41C724">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1BF04E51">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42CA8112">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1030B9ED">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2A077026">
            <w:pPr>
              <w:spacing w:before="0" w:after="0" w:line="360" w:lineRule="auto"/>
              <w:jc w:val="left"/>
            </w:pPr>
            <w:r>
              <w:rPr>
                <w:rFonts w:ascii="Times New Roman" w:hAnsi="Times New Roman" w:eastAsia="Times New Roman" w:cs="Times New Roman"/>
                <w:b w:val="0"/>
                <w:i w:val="0"/>
                <w:color w:val="000000"/>
                <w:sz w:val="28"/>
              </w:rPr>
              <w:t>5</w:t>
            </w:r>
          </w:p>
        </w:tc>
        <w:tc>
          <w:tcPr>
            <w:tcW w:w="850" w:type="dxa"/>
            <w:vAlign w:val="top"/>
          </w:tcPr>
          <w:p w14:paraId="4ABFBC07">
            <w:pPr>
              <w:spacing w:before="0" w:after="0" w:line="360" w:lineRule="auto"/>
              <w:jc w:val="left"/>
            </w:pPr>
            <w:r>
              <w:rPr>
                <w:rFonts w:ascii="Times New Roman" w:hAnsi="Times New Roman" w:eastAsia="Times New Roman" w:cs="Times New Roman"/>
                <w:b w:val="0"/>
                <w:i w:val="0"/>
                <w:color w:val="000000"/>
                <w:sz w:val="28"/>
              </w:rPr>
              <w:t>4,85</w:t>
            </w:r>
          </w:p>
        </w:tc>
        <w:tc>
          <w:tcPr>
            <w:tcW w:w="2268" w:type="dxa"/>
            <w:vAlign w:val="top"/>
          </w:tcPr>
          <w:p w14:paraId="5F94F088">
            <w:pPr>
              <w:spacing w:before="0" w:after="0" w:line="360" w:lineRule="auto"/>
              <w:jc w:val="left"/>
            </w:pPr>
            <w:r>
              <w:rPr>
                <w:rFonts w:ascii="Times New Roman" w:hAnsi="Times New Roman" w:eastAsia="Times New Roman" w:cs="Times New Roman"/>
                <w:b w:val="0"/>
                <w:i w:val="0"/>
                <w:color w:val="000000"/>
                <w:sz w:val="28"/>
              </w:rPr>
              <w:t>Да</w:t>
            </w:r>
          </w:p>
        </w:tc>
      </w:tr>
      <w:tr w14:paraId="7393AB66">
        <w:tc>
          <w:tcPr>
            <w:tcW w:w="2551" w:type="dxa"/>
            <w:vAlign w:val="top"/>
          </w:tcPr>
          <w:p w14:paraId="159E5833">
            <w:pPr>
              <w:spacing w:before="0" w:after="0" w:line="360" w:lineRule="auto"/>
              <w:jc w:val="left"/>
            </w:pPr>
            <w:r>
              <w:rPr>
                <w:rFonts w:ascii="Times New Roman" w:hAnsi="Times New Roman" w:eastAsia="Times New Roman" w:cs="Times New Roman"/>
                <w:b w:val="0"/>
                <w:i w:val="0"/>
                <w:color w:val="000000"/>
                <w:sz w:val="28"/>
              </w:rPr>
              <w:t>Напоминания в мессенджерах и SMS</w:t>
            </w:r>
          </w:p>
        </w:tc>
        <w:tc>
          <w:tcPr>
            <w:tcW w:w="567" w:type="dxa"/>
            <w:vAlign w:val="top"/>
          </w:tcPr>
          <w:p w14:paraId="2E2586E2">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13F448DB">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4D221E3B">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5186D3A3">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1663BC64">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3F1FFC0C">
            <w:pPr>
              <w:spacing w:before="0" w:after="0" w:line="360" w:lineRule="auto"/>
              <w:jc w:val="left"/>
            </w:pPr>
            <w:r>
              <w:rPr>
                <w:rFonts w:ascii="Times New Roman" w:hAnsi="Times New Roman" w:eastAsia="Times New Roman" w:cs="Times New Roman"/>
                <w:b w:val="0"/>
                <w:i w:val="0"/>
                <w:color w:val="000000"/>
                <w:sz w:val="28"/>
              </w:rPr>
              <w:t>4</w:t>
            </w:r>
          </w:p>
        </w:tc>
        <w:tc>
          <w:tcPr>
            <w:tcW w:w="850" w:type="dxa"/>
            <w:vAlign w:val="top"/>
          </w:tcPr>
          <w:p w14:paraId="45CE7ED6">
            <w:pPr>
              <w:spacing w:before="0" w:after="0" w:line="360" w:lineRule="auto"/>
              <w:jc w:val="left"/>
            </w:pPr>
            <w:r>
              <w:rPr>
                <w:rFonts w:ascii="Times New Roman" w:hAnsi="Times New Roman" w:eastAsia="Times New Roman" w:cs="Times New Roman"/>
                <w:b w:val="0"/>
                <w:i w:val="0"/>
                <w:color w:val="000000"/>
                <w:sz w:val="28"/>
              </w:rPr>
              <w:t>4,75</w:t>
            </w:r>
          </w:p>
        </w:tc>
        <w:tc>
          <w:tcPr>
            <w:tcW w:w="2268" w:type="dxa"/>
            <w:vAlign w:val="top"/>
          </w:tcPr>
          <w:p w14:paraId="413ED657">
            <w:pPr>
              <w:spacing w:before="0" w:after="0" w:line="360" w:lineRule="auto"/>
              <w:jc w:val="left"/>
            </w:pPr>
            <w:r>
              <w:rPr>
                <w:rFonts w:ascii="Times New Roman" w:hAnsi="Times New Roman" w:eastAsia="Times New Roman" w:cs="Times New Roman"/>
                <w:b w:val="0"/>
                <w:i w:val="0"/>
                <w:color w:val="000000"/>
                <w:sz w:val="28"/>
              </w:rPr>
              <w:t>Да</w:t>
            </w:r>
          </w:p>
        </w:tc>
      </w:tr>
      <w:tr w14:paraId="535D748A">
        <w:tc>
          <w:tcPr>
            <w:tcW w:w="2551" w:type="dxa"/>
            <w:vAlign w:val="top"/>
          </w:tcPr>
          <w:p w14:paraId="051EB778">
            <w:pPr>
              <w:spacing w:before="0" w:after="0" w:line="360" w:lineRule="auto"/>
              <w:jc w:val="left"/>
            </w:pPr>
            <w:r>
              <w:rPr>
                <w:rFonts w:ascii="Times New Roman" w:hAnsi="Times New Roman" w:eastAsia="Times New Roman" w:cs="Times New Roman"/>
                <w:b w:val="0"/>
                <w:i w:val="0"/>
                <w:color w:val="000000"/>
                <w:sz w:val="28"/>
              </w:rPr>
              <w:t>Единый цифровой профиль пациента</w:t>
            </w:r>
          </w:p>
        </w:tc>
        <w:tc>
          <w:tcPr>
            <w:tcW w:w="567" w:type="dxa"/>
            <w:vAlign w:val="top"/>
          </w:tcPr>
          <w:p w14:paraId="39E625E6">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09426336">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4B2C269F">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2ECE0798">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14CA81BC">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2FC0EC4B">
            <w:pPr>
              <w:spacing w:before="0" w:after="0" w:line="360" w:lineRule="auto"/>
              <w:jc w:val="left"/>
            </w:pPr>
            <w:r>
              <w:rPr>
                <w:rFonts w:ascii="Times New Roman" w:hAnsi="Times New Roman" w:eastAsia="Times New Roman" w:cs="Times New Roman"/>
                <w:b w:val="0"/>
                <w:i w:val="0"/>
                <w:color w:val="000000"/>
                <w:sz w:val="28"/>
              </w:rPr>
              <w:t>5</w:t>
            </w:r>
          </w:p>
        </w:tc>
        <w:tc>
          <w:tcPr>
            <w:tcW w:w="850" w:type="dxa"/>
            <w:vAlign w:val="top"/>
          </w:tcPr>
          <w:p w14:paraId="5E23E496">
            <w:pPr>
              <w:spacing w:before="0" w:after="0" w:line="360" w:lineRule="auto"/>
              <w:jc w:val="left"/>
            </w:pPr>
            <w:r>
              <w:rPr>
                <w:rFonts w:ascii="Times New Roman" w:hAnsi="Times New Roman" w:eastAsia="Times New Roman" w:cs="Times New Roman"/>
                <w:b w:val="0"/>
                <w:i w:val="0"/>
                <w:color w:val="000000"/>
                <w:sz w:val="28"/>
              </w:rPr>
              <w:t>4,65</w:t>
            </w:r>
          </w:p>
        </w:tc>
        <w:tc>
          <w:tcPr>
            <w:tcW w:w="2268" w:type="dxa"/>
            <w:vAlign w:val="top"/>
          </w:tcPr>
          <w:p w14:paraId="1AF7BC78">
            <w:pPr>
              <w:spacing w:before="0" w:after="0" w:line="360" w:lineRule="auto"/>
              <w:jc w:val="left"/>
            </w:pPr>
            <w:r>
              <w:rPr>
                <w:rFonts w:ascii="Times New Roman" w:hAnsi="Times New Roman" w:eastAsia="Times New Roman" w:cs="Times New Roman"/>
                <w:b w:val="0"/>
                <w:i w:val="0"/>
                <w:color w:val="000000"/>
                <w:sz w:val="28"/>
              </w:rPr>
              <w:t>Да</w:t>
            </w:r>
          </w:p>
        </w:tc>
      </w:tr>
      <w:tr w14:paraId="03963BD7">
        <w:tc>
          <w:tcPr>
            <w:tcW w:w="2551" w:type="dxa"/>
            <w:vAlign w:val="top"/>
          </w:tcPr>
          <w:p w14:paraId="1571EF72">
            <w:pPr>
              <w:spacing w:before="0" w:after="0" w:line="360" w:lineRule="auto"/>
              <w:jc w:val="left"/>
            </w:pPr>
            <w:r>
              <w:rPr>
                <w:rFonts w:ascii="Times New Roman" w:hAnsi="Times New Roman" w:eastAsia="Times New Roman" w:cs="Times New Roman"/>
                <w:b w:val="0"/>
                <w:i w:val="0"/>
                <w:color w:val="000000"/>
                <w:sz w:val="28"/>
              </w:rPr>
              <w:t>Цифровая заявка на налоговый вычет</w:t>
            </w:r>
          </w:p>
        </w:tc>
        <w:tc>
          <w:tcPr>
            <w:tcW w:w="567" w:type="dxa"/>
            <w:vAlign w:val="top"/>
          </w:tcPr>
          <w:p w14:paraId="080B51CE">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551EF57C">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1628B819">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528D3715">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7C664A6D">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0E61A871">
            <w:pPr>
              <w:spacing w:before="0" w:after="0" w:line="360" w:lineRule="auto"/>
              <w:jc w:val="left"/>
            </w:pPr>
            <w:r>
              <w:rPr>
                <w:rFonts w:ascii="Times New Roman" w:hAnsi="Times New Roman" w:eastAsia="Times New Roman" w:cs="Times New Roman"/>
                <w:b w:val="0"/>
                <w:i w:val="0"/>
                <w:color w:val="000000"/>
                <w:sz w:val="28"/>
              </w:rPr>
              <w:t>5</w:t>
            </w:r>
          </w:p>
        </w:tc>
        <w:tc>
          <w:tcPr>
            <w:tcW w:w="850" w:type="dxa"/>
            <w:vAlign w:val="top"/>
          </w:tcPr>
          <w:p w14:paraId="40B4713B">
            <w:pPr>
              <w:spacing w:before="0" w:after="0" w:line="360" w:lineRule="auto"/>
              <w:jc w:val="left"/>
            </w:pPr>
            <w:r>
              <w:rPr>
                <w:rFonts w:ascii="Times New Roman" w:hAnsi="Times New Roman" w:eastAsia="Times New Roman" w:cs="Times New Roman"/>
                <w:b w:val="0"/>
                <w:i w:val="0"/>
                <w:color w:val="000000"/>
                <w:sz w:val="28"/>
              </w:rPr>
              <w:t>4,35</w:t>
            </w:r>
          </w:p>
        </w:tc>
        <w:tc>
          <w:tcPr>
            <w:tcW w:w="2268" w:type="dxa"/>
            <w:vAlign w:val="top"/>
          </w:tcPr>
          <w:p w14:paraId="74DC343A">
            <w:pPr>
              <w:spacing w:before="0" w:after="0" w:line="360" w:lineRule="auto"/>
              <w:jc w:val="left"/>
            </w:pPr>
            <w:r>
              <w:rPr>
                <w:rFonts w:ascii="Times New Roman" w:hAnsi="Times New Roman" w:eastAsia="Times New Roman" w:cs="Times New Roman"/>
                <w:b w:val="0"/>
                <w:i w:val="0"/>
                <w:color w:val="000000"/>
                <w:sz w:val="28"/>
              </w:rPr>
              <w:t>Да</w:t>
            </w:r>
          </w:p>
        </w:tc>
      </w:tr>
      <w:tr w14:paraId="0C34577D">
        <w:tc>
          <w:tcPr>
            <w:tcW w:w="2551" w:type="dxa"/>
            <w:vAlign w:val="top"/>
          </w:tcPr>
          <w:p w14:paraId="5A0E0438">
            <w:pPr>
              <w:spacing w:before="0" w:after="0" w:line="360" w:lineRule="auto"/>
              <w:jc w:val="left"/>
            </w:pPr>
            <w:r>
              <w:rPr>
                <w:rFonts w:ascii="Times New Roman" w:hAnsi="Times New Roman" w:eastAsia="Times New Roman" w:cs="Times New Roman"/>
                <w:b w:val="0"/>
                <w:i w:val="0"/>
                <w:color w:val="000000"/>
                <w:sz w:val="28"/>
              </w:rPr>
              <w:t>Чат-бот для типовых сценариев</w:t>
            </w:r>
          </w:p>
        </w:tc>
        <w:tc>
          <w:tcPr>
            <w:tcW w:w="567" w:type="dxa"/>
            <w:vAlign w:val="top"/>
          </w:tcPr>
          <w:p w14:paraId="47B9530F">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760F668D">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6DC1AB7B">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2A393042">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0DF7F097">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2CDE67D0">
            <w:pPr>
              <w:spacing w:before="0" w:after="0" w:line="360" w:lineRule="auto"/>
              <w:jc w:val="left"/>
            </w:pPr>
            <w:r>
              <w:rPr>
                <w:rFonts w:ascii="Times New Roman" w:hAnsi="Times New Roman" w:eastAsia="Times New Roman" w:cs="Times New Roman"/>
                <w:b w:val="0"/>
                <w:i w:val="0"/>
                <w:color w:val="000000"/>
                <w:sz w:val="28"/>
              </w:rPr>
              <w:t>4</w:t>
            </w:r>
          </w:p>
        </w:tc>
        <w:tc>
          <w:tcPr>
            <w:tcW w:w="850" w:type="dxa"/>
            <w:vAlign w:val="top"/>
          </w:tcPr>
          <w:p w14:paraId="1E55454B">
            <w:pPr>
              <w:spacing w:before="0" w:after="0" w:line="360" w:lineRule="auto"/>
              <w:jc w:val="left"/>
            </w:pPr>
            <w:r>
              <w:rPr>
                <w:rFonts w:ascii="Times New Roman" w:hAnsi="Times New Roman" w:eastAsia="Times New Roman" w:cs="Times New Roman"/>
                <w:b w:val="0"/>
                <w:i w:val="0"/>
                <w:color w:val="000000"/>
                <w:sz w:val="28"/>
              </w:rPr>
              <w:t>3,90</w:t>
            </w:r>
          </w:p>
        </w:tc>
        <w:tc>
          <w:tcPr>
            <w:tcW w:w="2268" w:type="dxa"/>
            <w:vAlign w:val="top"/>
          </w:tcPr>
          <w:p w14:paraId="5EFA1BD0">
            <w:pPr>
              <w:spacing w:before="0" w:after="0" w:line="360" w:lineRule="auto"/>
              <w:jc w:val="left"/>
            </w:pPr>
            <w:r>
              <w:rPr>
                <w:rFonts w:ascii="Times New Roman" w:hAnsi="Times New Roman" w:eastAsia="Times New Roman" w:cs="Times New Roman"/>
                <w:b w:val="0"/>
                <w:i w:val="0"/>
                <w:color w:val="000000"/>
                <w:sz w:val="28"/>
              </w:rPr>
              <w:t>Да (вне MVP — после пилота)</w:t>
            </w:r>
          </w:p>
        </w:tc>
      </w:tr>
      <w:tr w14:paraId="585A47F8">
        <w:tc>
          <w:tcPr>
            <w:tcW w:w="2551" w:type="dxa"/>
            <w:vAlign w:val="top"/>
          </w:tcPr>
          <w:p w14:paraId="3DC3F3FB">
            <w:pPr>
              <w:spacing w:before="0" w:after="0" w:line="360" w:lineRule="auto"/>
              <w:jc w:val="left"/>
            </w:pPr>
            <w:r>
              <w:rPr>
                <w:rFonts w:ascii="Times New Roman" w:hAnsi="Times New Roman" w:eastAsia="Times New Roman" w:cs="Times New Roman"/>
                <w:b w:val="0"/>
                <w:i w:val="0"/>
                <w:color w:val="000000"/>
                <w:sz w:val="28"/>
              </w:rPr>
              <w:t>Омниканальная CRM-сегментация</w:t>
            </w:r>
          </w:p>
        </w:tc>
        <w:tc>
          <w:tcPr>
            <w:tcW w:w="567" w:type="dxa"/>
            <w:vAlign w:val="top"/>
          </w:tcPr>
          <w:p w14:paraId="7D99FA91">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1B5EAB0C">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1E7082CD">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30A5990B">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19EABEC1">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51A05ADE">
            <w:pPr>
              <w:spacing w:before="0" w:after="0" w:line="360" w:lineRule="auto"/>
              <w:jc w:val="left"/>
            </w:pPr>
            <w:r>
              <w:rPr>
                <w:rFonts w:ascii="Times New Roman" w:hAnsi="Times New Roman" w:eastAsia="Times New Roman" w:cs="Times New Roman"/>
                <w:b w:val="0"/>
                <w:i w:val="0"/>
                <w:color w:val="000000"/>
                <w:sz w:val="28"/>
              </w:rPr>
              <w:t>5</w:t>
            </w:r>
          </w:p>
        </w:tc>
        <w:tc>
          <w:tcPr>
            <w:tcW w:w="850" w:type="dxa"/>
            <w:vAlign w:val="top"/>
          </w:tcPr>
          <w:p w14:paraId="47D411D5">
            <w:pPr>
              <w:spacing w:before="0" w:after="0" w:line="360" w:lineRule="auto"/>
              <w:jc w:val="left"/>
            </w:pPr>
            <w:r>
              <w:rPr>
                <w:rFonts w:ascii="Times New Roman" w:hAnsi="Times New Roman" w:eastAsia="Times New Roman" w:cs="Times New Roman"/>
                <w:b w:val="0"/>
                <w:i w:val="0"/>
                <w:color w:val="000000"/>
                <w:sz w:val="28"/>
              </w:rPr>
              <w:t>4,05</w:t>
            </w:r>
          </w:p>
        </w:tc>
        <w:tc>
          <w:tcPr>
            <w:tcW w:w="2268" w:type="dxa"/>
            <w:vAlign w:val="top"/>
          </w:tcPr>
          <w:p w14:paraId="7D25DB26">
            <w:pPr>
              <w:spacing w:before="0" w:after="0" w:line="360" w:lineRule="auto"/>
              <w:jc w:val="left"/>
            </w:pPr>
            <w:r>
              <w:rPr>
                <w:rFonts w:ascii="Times New Roman" w:hAnsi="Times New Roman" w:eastAsia="Times New Roman" w:cs="Times New Roman"/>
                <w:b w:val="0"/>
                <w:i w:val="0"/>
                <w:color w:val="000000"/>
                <w:sz w:val="28"/>
              </w:rPr>
              <w:t>Частично (CRM-ядро в MVP)</w:t>
            </w:r>
          </w:p>
        </w:tc>
      </w:tr>
      <w:tr w14:paraId="035D9103">
        <w:tc>
          <w:tcPr>
            <w:tcW w:w="2551" w:type="dxa"/>
            <w:vAlign w:val="top"/>
          </w:tcPr>
          <w:p w14:paraId="3F84E3CC">
            <w:pPr>
              <w:spacing w:before="0" w:after="0" w:line="360" w:lineRule="auto"/>
              <w:jc w:val="left"/>
            </w:pPr>
            <w:r>
              <w:rPr>
                <w:rFonts w:ascii="Times New Roman" w:hAnsi="Times New Roman" w:eastAsia="Times New Roman" w:cs="Times New Roman"/>
                <w:b w:val="0"/>
                <w:i w:val="0"/>
                <w:color w:val="000000"/>
                <w:sz w:val="28"/>
              </w:rPr>
              <w:t>Собственный ретаргетинг по базе</w:t>
            </w:r>
          </w:p>
        </w:tc>
        <w:tc>
          <w:tcPr>
            <w:tcW w:w="567" w:type="dxa"/>
            <w:vAlign w:val="top"/>
          </w:tcPr>
          <w:p w14:paraId="2A58F3AB">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3A78CEB0">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2D8D6D7A">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41E0F3FA">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2057C133">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022EAC08">
            <w:pPr>
              <w:spacing w:before="0" w:after="0" w:line="360" w:lineRule="auto"/>
              <w:jc w:val="left"/>
            </w:pPr>
            <w:r>
              <w:rPr>
                <w:rFonts w:ascii="Times New Roman" w:hAnsi="Times New Roman" w:eastAsia="Times New Roman" w:cs="Times New Roman"/>
                <w:b w:val="0"/>
                <w:i w:val="0"/>
                <w:color w:val="000000"/>
                <w:sz w:val="28"/>
              </w:rPr>
              <w:t>5</w:t>
            </w:r>
          </w:p>
        </w:tc>
        <w:tc>
          <w:tcPr>
            <w:tcW w:w="850" w:type="dxa"/>
            <w:vAlign w:val="top"/>
          </w:tcPr>
          <w:p w14:paraId="70931E5F">
            <w:pPr>
              <w:spacing w:before="0" w:after="0" w:line="360" w:lineRule="auto"/>
              <w:jc w:val="left"/>
            </w:pPr>
            <w:r>
              <w:rPr>
                <w:rFonts w:ascii="Times New Roman" w:hAnsi="Times New Roman" w:eastAsia="Times New Roman" w:cs="Times New Roman"/>
                <w:b w:val="0"/>
                <w:i w:val="0"/>
                <w:color w:val="000000"/>
                <w:sz w:val="28"/>
              </w:rPr>
              <w:t>3,90</w:t>
            </w:r>
          </w:p>
        </w:tc>
        <w:tc>
          <w:tcPr>
            <w:tcW w:w="2268" w:type="dxa"/>
            <w:vAlign w:val="top"/>
          </w:tcPr>
          <w:p w14:paraId="5643D7CE">
            <w:pPr>
              <w:spacing w:before="0" w:after="0" w:line="360" w:lineRule="auto"/>
              <w:jc w:val="left"/>
            </w:pPr>
            <w:r>
              <w:rPr>
                <w:rFonts w:ascii="Times New Roman" w:hAnsi="Times New Roman" w:eastAsia="Times New Roman" w:cs="Times New Roman"/>
                <w:b w:val="0"/>
                <w:i w:val="0"/>
                <w:color w:val="000000"/>
                <w:sz w:val="28"/>
              </w:rPr>
              <w:t>Частично (после пилота)</w:t>
            </w:r>
          </w:p>
        </w:tc>
      </w:tr>
      <w:tr w14:paraId="4F5DD7CD">
        <w:tc>
          <w:tcPr>
            <w:tcW w:w="2551" w:type="dxa"/>
            <w:vAlign w:val="top"/>
          </w:tcPr>
          <w:p w14:paraId="41583EB7">
            <w:pPr>
              <w:spacing w:before="0" w:after="0" w:line="360" w:lineRule="auto"/>
              <w:jc w:val="left"/>
            </w:pPr>
            <w:r>
              <w:rPr>
                <w:rFonts w:ascii="Times New Roman" w:hAnsi="Times New Roman" w:eastAsia="Times New Roman" w:cs="Times New Roman"/>
                <w:b w:val="0"/>
                <w:i w:val="0"/>
                <w:color w:val="000000"/>
                <w:sz w:val="28"/>
              </w:rPr>
              <w:t>Телестоматологические консультации</w:t>
            </w:r>
          </w:p>
        </w:tc>
        <w:tc>
          <w:tcPr>
            <w:tcW w:w="567" w:type="dxa"/>
            <w:vAlign w:val="top"/>
          </w:tcPr>
          <w:p w14:paraId="53D23CF3">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3D0B0E07">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1D6D40B3">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4B759E3F">
            <w:pPr>
              <w:spacing w:before="0" w:after="0" w:line="360" w:lineRule="auto"/>
              <w:jc w:val="left"/>
            </w:pPr>
            <w:r>
              <w:rPr>
                <w:rFonts w:ascii="Times New Roman" w:hAnsi="Times New Roman" w:eastAsia="Times New Roman" w:cs="Times New Roman"/>
                <w:b w:val="0"/>
                <w:i w:val="0"/>
                <w:color w:val="000000"/>
                <w:sz w:val="28"/>
              </w:rPr>
              <w:t>2</w:t>
            </w:r>
          </w:p>
        </w:tc>
        <w:tc>
          <w:tcPr>
            <w:tcW w:w="567" w:type="dxa"/>
            <w:vAlign w:val="top"/>
          </w:tcPr>
          <w:p w14:paraId="24CEDBC7">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1E928D05">
            <w:pPr>
              <w:spacing w:before="0" w:after="0" w:line="360" w:lineRule="auto"/>
              <w:jc w:val="left"/>
            </w:pPr>
            <w:r>
              <w:rPr>
                <w:rFonts w:ascii="Times New Roman" w:hAnsi="Times New Roman" w:eastAsia="Times New Roman" w:cs="Times New Roman"/>
                <w:b w:val="0"/>
                <w:i w:val="0"/>
                <w:color w:val="000000"/>
                <w:sz w:val="28"/>
              </w:rPr>
              <w:t>3</w:t>
            </w:r>
          </w:p>
        </w:tc>
        <w:tc>
          <w:tcPr>
            <w:tcW w:w="850" w:type="dxa"/>
            <w:vAlign w:val="top"/>
          </w:tcPr>
          <w:p w14:paraId="2547FCA2">
            <w:pPr>
              <w:spacing w:before="0" w:after="0" w:line="360" w:lineRule="auto"/>
              <w:jc w:val="left"/>
            </w:pPr>
            <w:r>
              <w:rPr>
                <w:rFonts w:ascii="Times New Roman" w:hAnsi="Times New Roman" w:eastAsia="Times New Roman" w:cs="Times New Roman"/>
                <w:b w:val="0"/>
                <w:i w:val="0"/>
                <w:color w:val="000000"/>
                <w:sz w:val="28"/>
              </w:rPr>
              <w:t>3,15</w:t>
            </w:r>
          </w:p>
        </w:tc>
        <w:tc>
          <w:tcPr>
            <w:tcW w:w="2268" w:type="dxa"/>
            <w:vAlign w:val="top"/>
          </w:tcPr>
          <w:p w14:paraId="4A9E2AA7">
            <w:pPr>
              <w:spacing w:before="0" w:after="0" w:line="360" w:lineRule="auto"/>
              <w:jc w:val="left"/>
            </w:pPr>
            <w:r>
              <w:rPr>
                <w:rFonts w:ascii="Times New Roman" w:hAnsi="Times New Roman" w:eastAsia="Times New Roman" w:cs="Times New Roman"/>
                <w:b w:val="0"/>
                <w:i w:val="0"/>
                <w:color w:val="000000"/>
                <w:sz w:val="28"/>
              </w:rPr>
              <w:t>Нет (требует расширения лицензии)</w:t>
            </w:r>
          </w:p>
        </w:tc>
      </w:tr>
      <w:tr w14:paraId="2434E7DB">
        <w:tc>
          <w:tcPr>
            <w:tcW w:w="2551" w:type="dxa"/>
            <w:vAlign w:val="top"/>
          </w:tcPr>
          <w:p w14:paraId="4B8212ED">
            <w:pPr>
              <w:spacing w:before="0" w:after="0" w:line="360" w:lineRule="auto"/>
              <w:jc w:val="left"/>
            </w:pPr>
            <w:r>
              <w:rPr>
                <w:rFonts w:ascii="Times New Roman" w:hAnsi="Times New Roman" w:eastAsia="Times New Roman" w:cs="Times New Roman"/>
                <w:b w:val="0"/>
                <w:i w:val="0"/>
                <w:color w:val="000000"/>
                <w:sz w:val="28"/>
              </w:rPr>
              <w:t>AI-аналитика обращений</w:t>
            </w:r>
          </w:p>
        </w:tc>
        <w:tc>
          <w:tcPr>
            <w:tcW w:w="567" w:type="dxa"/>
            <w:vAlign w:val="top"/>
          </w:tcPr>
          <w:p w14:paraId="50AD019D">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685CBDA3">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68FEE0E4">
            <w:pPr>
              <w:spacing w:before="0" w:after="0" w:line="360" w:lineRule="auto"/>
              <w:jc w:val="left"/>
            </w:pPr>
            <w:r>
              <w:rPr>
                <w:rFonts w:ascii="Times New Roman" w:hAnsi="Times New Roman" w:eastAsia="Times New Roman" w:cs="Times New Roman"/>
                <w:b w:val="0"/>
                <w:i w:val="0"/>
                <w:color w:val="000000"/>
                <w:sz w:val="28"/>
              </w:rPr>
              <w:t>4</w:t>
            </w:r>
          </w:p>
        </w:tc>
        <w:tc>
          <w:tcPr>
            <w:tcW w:w="567" w:type="dxa"/>
            <w:vAlign w:val="top"/>
          </w:tcPr>
          <w:p w14:paraId="3070A808">
            <w:pPr>
              <w:spacing w:before="0" w:after="0" w:line="360" w:lineRule="auto"/>
              <w:jc w:val="left"/>
            </w:pPr>
            <w:r>
              <w:rPr>
                <w:rFonts w:ascii="Times New Roman" w:hAnsi="Times New Roman" w:eastAsia="Times New Roman" w:cs="Times New Roman"/>
                <w:b w:val="0"/>
                <w:i w:val="0"/>
                <w:color w:val="000000"/>
                <w:sz w:val="28"/>
              </w:rPr>
              <w:t>2</w:t>
            </w:r>
          </w:p>
        </w:tc>
        <w:tc>
          <w:tcPr>
            <w:tcW w:w="567" w:type="dxa"/>
            <w:vAlign w:val="top"/>
          </w:tcPr>
          <w:p w14:paraId="082D7895">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3F1947B1">
            <w:pPr>
              <w:spacing w:before="0" w:after="0" w:line="360" w:lineRule="auto"/>
              <w:jc w:val="left"/>
            </w:pPr>
            <w:r>
              <w:rPr>
                <w:rFonts w:ascii="Times New Roman" w:hAnsi="Times New Roman" w:eastAsia="Times New Roman" w:cs="Times New Roman"/>
                <w:b w:val="0"/>
                <w:i w:val="0"/>
                <w:color w:val="000000"/>
                <w:sz w:val="28"/>
              </w:rPr>
              <w:t>4</w:t>
            </w:r>
          </w:p>
        </w:tc>
        <w:tc>
          <w:tcPr>
            <w:tcW w:w="850" w:type="dxa"/>
            <w:vAlign w:val="top"/>
          </w:tcPr>
          <w:p w14:paraId="7D8E34F2">
            <w:pPr>
              <w:spacing w:before="0" w:after="0" w:line="360" w:lineRule="auto"/>
              <w:jc w:val="left"/>
            </w:pPr>
            <w:r>
              <w:rPr>
                <w:rFonts w:ascii="Times New Roman" w:hAnsi="Times New Roman" w:eastAsia="Times New Roman" w:cs="Times New Roman"/>
                <w:b w:val="0"/>
                <w:i w:val="0"/>
                <w:color w:val="000000"/>
                <w:sz w:val="28"/>
              </w:rPr>
              <w:t>3,10</w:t>
            </w:r>
          </w:p>
        </w:tc>
        <w:tc>
          <w:tcPr>
            <w:tcW w:w="2268" w:type="dxa"/>
            <w:vAlign w:val="top"/>
          </w:tcPr>
          <w:p w14:paraId="16D9E431">
            <w:pPr>
              <w:spacing w:before="0" w:after="0" w:line="360" w:lineRule="auto"/>
              <w:jc w:val="left"/>
            </w:pPr>
            <w:r>
              <w:rPr>
                <w:rFonts w:ascii="Times New Roman" w:hAnsi="Times New Roman" w:eastAsia="Times New Roman" w:cs="Times New Roman"/>
                <w:b w:val="0"/>
                <w:i w:val="0"/>
                <w:color w:val="000000"/>
                <w:sz w:val="28"/>
              </w:rPr>
              <w:t>Нет (после набора данных)</w:t>
            </w:r>
          </w:p>
        </w:tc>
      </w:tr>
      <w:tr w14:paraId="1AC3DD3B">
        <w:tc>
          <w:tcPr>
            <w:tcW w:w="2551" w:type="dxa"/>
            <w:vAlign w:val="top"/>
          </w:tcPr>
          <w:p w14:paraId="242A9FC8">
            <w:pPr>
              <w:spacing w:before="0" w:after="0" w:line="360" w:lineRule="auto"/>
              <w:jc w:val="left"/>
            </w:pPr>
            <w:r>
              <w:rPr>
                <w:rFonts w:ascii="Times New Roman" w:hAnsi="Times New Roman" w:eastAsia="Times New Roman" w:cs="Times New Roman"/>
                <w:b w:val="0"/>
                <w:i w:val="0"/>
                <w:color w:val="000000"/>
                <w:sz w:val="28"/>
              </w:rPr>
              <w:t>Цифровая программа лояльности</w:t>
            </w:r>
          </w:p>
        </w:tc>
        <w:tc>
          <w:tcPr>
            <w:tcW w:w="567" w:type="dxa"/>
            <w:vAlign w:val="top"/>
          </w:tcPr>
          <w:p w14:paraId="4D0B1E3E">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2AECC4E3">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55601E15">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254F93F9">
            <w:pPr>
              <w:spacing w:before="0" w:after="0" w:line="360" w:lineRule="auto"/>
              <w:jc w:val="left"/>
            </w:pPr>
            <w:r>
              <w:rPr>
                <w:rFonts w:ascii="Times New Roman" w:hAnsi="Times New Roman" w:eastAsia="Times New Roman" w:cs="Times New Roman"/>
                <w:b w:val="0"/>
                <w:i w:val="0"/>
                <w:color w:val="000000"/>
                <w:sz w:val="28"/>
              </w:rPr>
              <w:t>3</w:t>
            </w:r>
          </w:p>
        </w:tc>
        <w:tc>
          <w:tcPr>
            <w:tcW w:w="567" w:type="dxa"/>
            <w:vAlign w:val="top"/>
          </w:tcPr>
          <w:p w14:paraId="20AAA895">
            <w:pPr>
              <w:spacing w:before="0" w:after="0" w:line="360" w:lineRule="auto"/>
              <w:jc w:val="left"/>
            </w:pPr>
            <w:r>
              <w:rPr>
                <w:rFonts w:ascii="Times New Roman" w:hAnsi="Times New Roman" w:eastAsia="Times New Roman" w:cs="Times New Roman"/>
                <w:b w:val="0"/>
                <w:i w:val="0"/>
                <w:color w:val="000000"/>
                <w:sz w:val="28"/>
              </w:rPr>
              <w:t>5</w:t>
            </w:r>
          </w:p>
        </w:tc>
        <w:tc>
          <w:tcPr>
            <w:tcW w:w="567" w:type="dxa"/>
            <w:vAlign w:val="top"/>
          </w:tcPr>
          <w:p w14:paraId="6A01D6B9">
            <w:pPr>
              <w:spacing w:before="0" w:after="0" w:line="360" w:lineRule="auto"/>
              <w:jc w:val="left"/>
            </w:pPr>
            <w:r>
              <w:rPr>
                <w:rFonts w:ascii="Times New Roman" w:hAnsi="Times New Roman" w:eastAsia="Times New Roman" w:cs="Times New Roman"/>
                <w:b w:val="0"/>
                <w:i w:val="0"/>
                <w:color w:val="000000"/>
                <w:sz w:val="28"/>
              </w:rPr>
              <w:t>4</w:t>
            </w:r>
          </w:p>
        </w:tc>
        <w:tc>
          <w:tcPr>
            <w:tcW w:w="850" w:type="dxa"/>
            <w:vAlign w:val="top"/>
          </w:tcPr>
          <w:p w14:paraId="478DCBE7">
            <w:pPr>
              <w:spacing w:before="0" w:after="0" w:line="360" w:lineRule="auto"/>
              <w:jc w:val="left"/>
            </w:pPr>
            <w:r>
              <w:rPr>
                <w:rFonts w:ascii="Times New Roman" w:hAnsi="Times New Roman" w:eastAsia="Times New Roman" w:cs="Times New Roman"/>
                <w:b w:val="0"/>
                <w:i w:val="0"/>
                <w:color w:val="000000"/>
                <w:sz w:val="28"/>
              </w:rPr>
              <w:t>3,60</w:t>
            </w:r>
          </w:p>
        </w:tc>
        <w:tc>
          <w:tcPr>
            <w:tcW w:w="2268" w:type="dxa"/>
            <w:vAlign w:val="top"/>
          </w:tcPr>
          <w:p w14:paraId="7C42B4B8">
            <w:pPr>
              <w:spacing w:before="0" w:after="0" w:line="360" w:lineRule="auto"/>
              <w:jc w:val="left"/>
            </w:pPr>
            <w:r>
              <w:rPr>
                <w:rFonts w:ascii="Times New Roman" w:hAnsi="Times New Roman" w:eastAsia="Times New Roman" w:cs="Times New Roman"/>
                <w:b w:val="0"/>
                <w:i w:val="0"/>
                <w:color w:val="000000"/>
                <w:sz w:val="28"/>
              </w:rPr>
              <w:t>Нет (вторая итерация)</w:t>
            </w:r>
          </w:p>
        </w:tc>
      </w:tr>
    </w:tbl>
    <w:p w14:paraId="718E3240">
      <w:pPr>
        <w:spacing w:before="40" w:after="80" w:line="360" w:lineRule="auto"/>
        <w:jc w:val="both"/>
      </w:pPr>
    </w:p>
    <w:p w14:paraId="7595FA41">
      <w:pPr>
        <w:spacing w:before="0" w:after="0" w:line="360" w:lineRule="auto"/>
        <w:ind w:firstLine="709"/>
        <w:jc w:val="both"/>
      </w:pPr>
      <w:r>
        <w:rPr>
          <w:rFonts w:ascii="Times New Roman" w:hAnsi="Times New Roman" w:eastAsia="Times New Roman" w:cs="Times New Roman"/>
          <w:b w:val="0"/>
          <w:i w:val="0"/>
          <w:color w:val="000000"/>
          <w:sz w:val="28"/>
        </w:rPr>
        <w:t>По итогам оценки в состав MVP включаются четыре инструмента с наивысшими оценками: онлайн-запись через мобильное приложение и сайт, автоматические напоминания и подтверждения в мессенджерах с резервом SMS, единый цифровой профиль пациента с историей визитов и цифровая заявка на налоговый вычет. Они обеспечивают покрытие ключевых проявлений управленческой проблемы и опираются на доказательную базу. Чат-бот, омниканальная CRM-сегментация и собственный ретаргетинг закладываются как расширения после пилотного запуска продолжительностью 2–3 месяца. Телестоматологические консультации и AI-аналитика остаются за пределами MVP: первое требует расширения лицензии и соответствия порядку № 193н, второе — накопления собственного датасета. Состав MVP, обоснованный в этом разделе, детализируется в проектной части работы (глава 3).</w:t>
      </w:r>
    </w:p>
    <w:p w14:paraId="3FFFF347">
      <w:pPr>
        <w:spacing w:before="240" w:after="120" w:line="360" w:lineRule="auto"/>
        <w:jc w:val="center"/>
        <w:rPr>
          <w:rFonts w:ascii="Times New Roman" w:hAnsi="Times New Roman" w:eastAsia="Times New Roman" w:cs="Times New Roman"/>
          <w:b/>
          <w:i w:val="0"/>
          <w:color w:val="000000"/>
          <w:sz w:val="28"/>
        </w:rPr>
      </w:pPr>
    </w:p>
    <w:p w14:paraId="03C8B552">
      <w:pPr>
        <w:spacing w:before="240" w:after="120" w:line="360" w:lineRule="auto"/>
        <w:jc w:val="both"/>
        <w:rPr>
          <w:rFonts w:ascii="Times New Roman" w:hAnsi="Times New Roman" w:eastAsia="Times New Roman" w:cs="Times New Roman"/>
          <w:b/>
          <w:i w:val="0"/>
          <w:color w:val="000000"/>
          <w:sz w:val="28"/>
        </w:rPr>
      </w:pPr>
    </w:p>
    <w:p w14:paraId="7EFD073F">
      <w:pPr>
        <w:spacing w:before="240" w:after="120" w:line="360" w:lineRule="auto"/>
        <w:jc w:val="center"/>
        <w:rPr>
          <w:rFonts w:ascii="Times New Roman" w:hAnsi="Times New Roman" w:eastAsia="Times New Roman" w:cs="Times New Roman"/>
          <w:b/>
          <w:i w:val="0"/>
          <w:color w:val="000000"/>
          <w:sz w:val="28"/>
        </w:rPr>
      </w:pPr>
    </w:p>
    <w:p w14:paraId="77861761">
      <w:pPr>
        <w:spacing w:before="240" w:after="120" w:line="360" w:lineRule="auto"/>
        <w:jc w:val="center"/>
        <w:rPr>
          <w:rFonts w:ascii="Times New Roman" w:hAnsi="Times New Roman" w:eastAsia="Times New Roman" w:cs="Times New Roman"/>
          <w:b/>
          <w:i w:val="0"/>
          <w:color w:val="000000"/>
          <w:sz w:val="28"/>
        </w:rPr>
      </w:pPr>
    </w:p>
    <w:p w14:paraId="79428D39">
      <w:pPr>
        <w:spacing w:before="240" w:after="120" w:line="360" w:lineRule="auto"/>
        <w:jc w:val="center"/>
        <w:rPr>
          <w:rFonts w:ascii="Times New Roman" w:hAnsi="Times New Roman" w:eastAsia="Times New Roman" w:cs="Times New Roman"/>
          <w:b/>
          <w:i w:val="0"/>
          <w:color w:val="000000"/>
          <w:sz w:val="28"/>
        </w:rPr>
      </w:pPr>
    </w:p>
    <w:p w14:paraId="5348361F">
      <w:pPr>
        <w:spacing w:before="240" w:after="120" w:line="360" w:lineRule="auto"/>
        <w:jc w:val="center"/>
        <w:rPr>
          <w:rFonts w:ascii="Times New Roman" w:hAnsi="Times New Roman" w:eastAsia="Times New Roman" w:cs="Times New Roman"/>
          <w:b/>
          <w:i w:val="0"/>
          <w:color w:val="000000"/>
          <w:sz w:val="28"/>
        </w:rPr>
      </w:pPr>
    </w:p>
    <w:p w14:paraId="4927F6D7">
      <w:pPr>
        <w:spacing w:before="240" w:after="120" w:line="360" w:lineRule="auto"/>
        <w:jc w:val="center"/>
      </w:pPr>
      <w:r>
        <w:rPr>
          <w:rFonts w:ascii="Times New Roman" w:hAnsi="Times New Roman" w:eastAsia="Times New Roman" w:cs="Times New Roman"/>
          <w:b/>
          <w:i w:val="0"/>
          <w:color w:val="000000"/>
          <w:sz w:val="28"/>
        </w:rPr>
        <w:t>ЗАКЛЮЧЕНИЕ</w:t>
      </w:r>
    </w:p>
    <w:p w14:paraId="1CECEA97">
      <w:pPr>
        <w:spacing w:before="0" w:after="0" w:line="360" w:lineRule="auto"/>
        <w:ind w:firstLine="709"/>
        <w:jc w:val="both"/>
      </w:pPr>
      <w:r>
        <w:rPr>
          <w:rFonts w:ascii="Times New Roman" w:hAnsi="Times New Roman" w:eastAsia="Times New Roman" w:cs="Times New Roman"/>
          <w:b w:val="0"/>
          <w:i w:val="0"/>
          <w:color w:val="000000"/>
          <w:sz w:val="28"/>
        </w:rPr>
        <w:t>Работа посвящена обоснованию и проектированию состава цифровых инструментов для стоматологической сети клиник с разработкой мобильного приложения уровня MVP. По каждой из пяти поставленных задач получены конкретные результаты, которые в совокупности образуют логически связанную проектную линию от понятийного аппарата до прогнозной экономики.</w:t>
      </w:r>
    </w:p>
    <w:p w14:paraId="3ECF17BF">
      <w:pPr>
        <w:spacing w:before="0" w:after="0" w:line="360" w:lineRule="auto"/>
        <w:ind w:firstLine="709"/>
        <w:jc w:val="both"/>
      </w:pPr>
      <w:r>
        <w:rPr>
          <w:rFonts w:ascii="Times New Roman" w:hAnsi="Times New Roman" w:eastAsia="Times New Roman" w:cs="Times New Roman"/>
          <w:b w:val="0"/>
          <w:i w:val="0"/>
          <w:color w:val="000000"/>
          <w:sz w:val="28"/>
        </w:rPr>
        <w:t>При работе над понятийным аппаратом удалось показать, что цифровой маркетинг не сводится к интернет-маркетингу и включает каналы вне сети — мобильные устройства, цифровое телевидение, цифровые билборды. К ключевому инструментарию отнесены социальные медиа, контент-маркетинг, реклама в её основных форматах, корпоративный сайт, мобильные приложения, мессенджеры и аналитические системы. Тенденции 2024–2025 годов сгруппированы вокруг пяти линий: внедрение искусственного интеллекта, оптимизация под генеративные поисковые движки, сокращение воронки продаж, омниканальность пути клиента и перевод коммуникаций с пациентом в мессенджеры. Для стоматологии отдельно выделены критерии выбора клиники и барьеры посещения, как структурные, так и поведенческие.</w:t>
      </w:r>
    </w:p>
    <w:p w14:paraId="5425C9F4">
      <w:pPr>
        <w:spacing w:before="0" w:after="0" w:line="360" w:lineRule="auto"/>
        <w:ind w:firstLine="709"/>
        <w:jc w:val="both"/>
      </w:pPr>
      <w:r>
        <w:rPr>
          <w:rFonts w:ascii="Times New Roman" w:hAnsi="Times New Roman" w:eastAsia="Times New Roman" w:cs="Times New Roman"/>
          <w:b w:val="0"/>
          <w:i w:val="0"/>
          <w:color w:val="000000"/>
          <w:sz w:val="28"/>
        </w:rPr>
        <w:t>Международный и российский опыт разобран в разделе 1.4 и дал материал для сопоставления. В фокус попали пилот NHS 111 по прямой записи на срочные приёмы, программа DentaQuest по SMS-стимулированию утилизации страхового покрытия, архитектура DSO-сетей в США на примерах Henry Schein One и DentalMonitoring, опрос ADA по телестоматологии, а также омниканальные практики коммуникации. Российский опыт уложен в четыре линии: МИС с контуром пациента, агрегаторы записи, собственные приложения сетей и мессенджер-коммуникации. Из этого сопоставления вытекает практический вывод: устойчивый эффект возникает только там, где контур пациента интегрирован с системой управления практикой, а коммуникации с пациентом ведутся омниканально и под собственной идентификацией клиники.</w:t>
      </w:r>
    </w:p>
    <w:p w14:paraId="71C1B32D">
      <w:pPr>
        <w:spacing w:before="0" w:after="0" w:line="360" w:lineRule="auto"/>
        <w:ind w:firstLine="709"/>
        <w:jc w:val="both"/>
      </w:pPr>
      <w:r>
        <w:rPr>
          <w:rFonts w:ascii="Times New Roman" w:hAnsi="Times New Roman" w:eastAsia="Times New Roman" w:cs="Times New Roman"/>
          <w:b w:val="0"/>
          <w:i w:val="0"/>
          <w:color w:val="000000"/>
          <w:sz w:val="28"/>
        </w:rPr>
        <w:t>Карта нормативных изменений 2025–2026 годов вынесена в подраздел 1.4.4 и охватывает Федеральные законы № 152-ФЗ (в редакции ФЗ № 121-ФЗ), № 23-ФЗ, № 38-ФЗ (с учётом ФЗ № 72-ФЗ), № 323-ФЗ, постановление Правительства № 1119, приказы Минздрава России № 193н, № 4н и № 686н, а также приказ ФСТЭК № 21. Содержательный итог сводится к следующему: регулирование последовательно сдвигает клиники в сторону собственных цифровых контуров — согласия требуется оформлять отдельным документом, базы данных размещать на территории Российской Федерации, а ретаргетинг через внешние пиксели становится юридически рискованным.</w:t>
      </w:r>
    </w:p>
    <w:p w14:paraId="5521714A">
      <w:pPr>
        <w:spacing w:before="0" w:after="0" w:line="360" w:lineRule="auto"/>
        <w:ind w:firstLine="709"/>
        <w:jc w:val="both"/>
      </w:pPr>
      <w:r>
        <w:rPr>
          <w:rFonts w:ascii="Times New Roman" w:hAnsi="Times New Roman" w:eastAsia="Times New Roman" w:cs="Times New Roman"/>
          <w:b w:val="0"/>
          <w:i w:val="0"/>
          <w:color w:val="000000"/>
          <w:sz w:val="28"/>
        </w:rPr>
        <w:t>Обоснование состава инструментов и критериев отбора собрано во второй главе работы. Каждой тенденции из таблицы 2 первой главы поставлена в соответствие конкретная проблема клиники, после чего предложено шесть критериев с весами: покрытие проблем, эмпирическая обоснованность, соответствие нормативной базе, реализуемость в MVP, влияние на LTV и управляемость данными. По итогам взвешенной оценки в ядро MVP вошли онлайн-запись, автоматические напоминания, единый цифровой профиль пациента и цифровая заявка на налоговый вычет. Чат-бот, CRM-сегментация и ретаргетинг отнесены к расширениям следующего этапа после пилота, а телестоматология и AI-аналитика вынесены за пределы MVP по нормативным и операционным причинам.</w:t>
      </w:r>
    </w:p>
    <w:p w14:paraId="0D80E3D3">
      <w:pPr>
        <w:spacing w:before="0" w:after="0" w:line="360" w:lineRule="auto"/>
        <w:ind w:firstLine="709"/>
        <w:jc w:val="both"/>
      </w:pPr>
      <w:r>
        <w:rPr>
          <w:rFonts w:ascii="Times New Roman" w:hAnsi="Times New Roman" w:eastAsia="Times New Roman" w:cs="Times New Roman"/>
          <w:b w:val="0"/>
          <w:i w:val="0"/>
          <w:color w:val="000000"/>
          <w:sz w:val="28"/>
        </w:rPr>
        <w:t>Проектное решение по мобильному приложению пациента уровня MVP и прогнозный расчёт экономической эффективности его внедрения представлены в третьей главе. Состав требований включает 12 функциональных и 7 нефункциональных позиций, три роли пользователей, четыре пользовательские истории и три варианта использования. Архитектура спроектирована из четырёх слоёв — клиенты, шлюз, доменные сервисы, хранилища — с отдельной фоновой очередью; технологический стек обоснован послойно. Модель данных опирается на шесть базовых сущностей и допускает расширение под план лечения и карту зубов формата FDI. Внешний контур описан 13 интеграциями по четырём направлениям и пятью нормативными требованиями; меры информационной безопасности соответствуют уровню защищённости УЗ-3, а статус «не медицинское изделие» по № 323-ФЗ обоснован документально. По базовому сценарию чистый годовой эффект составляет 16,3 млн руб. при сроке окупаемости 19 месяцев, причём наиболее чувствительными параметрами оказываются LTV и средний чек.</w:t>
      </w:r>
    </w:p>
    <w:p w14:paraId="115586E9">
      <w:pPr>
        <w:spacing w:before="0" w:after="0" w:line="360" w:lineRule="auto"/>
        <w:ind w:firstLine="709"/>
        <w:jc w:val="both"/>
      </w:pPr>
      <w:r>
        <w:rPr>
          <w:rFonts w:ascii="Times New Roman" w:hAnsi="Times New Roman" w:eastAsia="Times New Roman" w:cs="Times New Roman"/>
          <w:b w:val="0"/>
          <w:i w:val="0"/>
          <w:color w:val="000000"/>
          <w:sz w:val="28"/>
        </w:rPr>
        <w:t>Полученные результаты применимы при подготовке проектных решений в стоматологических сетях среднего размера — с базой пациентов порядка 1 500–5 000 человек; именно на таких параметрах построен базовый сценарий прогнозного расчёта третьей главы, давший чистый годовой эффект 16,3 млн руб. и срок окупаемости 19 месяцев при ведущей чувствительности по LTV и среднему чеку. Дальнейшее развитие темы предполагает валидацию прогнозного расчёта на пилотном запуске продолжительностью 2–3 месяца, а также расширение продукта функцией удалённой консультации в порядке приказа № 193н после обновления медицинской лицензии и записи в Федеральном реестре медицинских организаций.</w:t>
      </w:r>
    </w:p>
    <w:p w14:paraId="1AFAEBD5">
      <w:pPr>
        <w:spacing w:before="240" w:after="120" w:line="360" w:lineRule="auto"/>
        <w:jc w:val="center"/>
        <w:rPr>
          <w:rFonts w:ascii="Times New Roman" w:hAnsi="Times New Roman" w:eastAsia="Times New Roman" w:cs="Times New Roman"/>
          <w:b/>
          <w:i w:val="0"/>
          <w:color w:val="000000"/>
          <w:sz w:val="28"/>
        </w:rPr>
      </w:pPr>
    </w:p>
    <w:p w14:paraId="40807211">
      <w:pPr>
        <w:spacing w:before="240" w:after="120" w:line="360" w:lineRule="auto"/>
        <w:jc w:val="center"/>
        <w:rPr>
          <w:rFonts w:ascii="Times New Roman" w:hAnsi="Times New Roman" w:eastAsia="Times New Roman" w:cs="Times New Roman"/>
          <w:b/>
          <w:i w:val="0"/>
          <w:color w:val="000000"/>
          <w:sz w:val="28"/>
        </w:rPr>
      </w:pPr>
    </w:p>
    <w:p w14:paraId="2EDC8670">
      <w:pPr>
        <w:spacing w:before="240" w:after="120" w:line="360" w:lineRule="auto"/>
        <w:jc w:val="center"/>
        <w:rPr>
          <w:rFonts w:ascii="Times New Roman" w:hAnsi="Times New Roman" w:eastAsia="Times New Roman" w:cs="Times New Roman"/>
          <w:b/>
          <w:i w:val="0"/>
          <w:color w:val="000000"/>
          <w:sz w:val="28"/>
        </w:rPr>
      </w:pPr>
    </w:p>
    <w:p w14:paraId="6A41BA12">
      <w:pPr>
        <w:spacing w:before="240" w:after="120" w:line="360" w:lineRule="auto"/>
        <w:jc w:val="center"/>
        <w:rPr>
          <w:rFonts w:ascii="Times New Roman" w:hAnsi="Times New Roman" w:eastAsia="Times New Roman" w:cs="Times New Roman"/>
          <w:b/>
          <w:i w:val="0"/>
          <w:color w:val="000000"/>
          <w:sz w:val="28"/>
        </w:rPr>
      </w:pPr>
    </w:p>
    <w:p w14:paraId="48FF4145">
      <w:pPr>
        <w:spacing w:before="240" w:after="120" w:line="360" w:lineRule="auto"/>
        <w:jc w:val="center"/>
        <w:rPr>
          <w:rFonts w:ascii="Times New Roman" w:hAnsi="Times New Roman" w:eastAsia="Times New Roman" w:cs="Times New Roman"/>
          <w:b/>
          <w:i w:val="0"/>
          <w:color w:val="000000"/>
          <w:sz w:val="28"/>
        </w:rPr>
      </w:pPr>
    </w:p>
    <w:p w14:paraId="736DDB89">
      <w:pPr>
        <w:spacing w:before="240" w:after="120" w:line="360" w:lineRule="auto"/>
        <w:jc w:val="both"/>
        <w:rPr>
          <w:rFonts w:ascii="Times New Roman" w:hAnsi="Times New Roman" w:eastAsia="Times New Roman" w:cs="Times New Roman"/>
          <w:b/>
          <w:i w:val="0"/>
          <w:color w:val="000000"/>
          <w:sz w:val="28"/>
        </w:rPr>
      </w:pPr>
    </w:p>
    <w:p w14:paraId="7F021B0D">
      <w:pPr>
        <w:spacing w:before="240" w:after="120" w:line="360" w:lineRule="auto"/>
        <w:jc w:val="center"/>
      </w:pPr>
      <w:r>
        <w:rPr>
          <w:rFonts w:ascii="Times New Roman" w:hAnsi="Times New Roman" w:eastAsia="Times New Roman" w:cs="Times New Roman"/>
          <w:b/>
          <w:i w:val="0"/>
          <w:color w:val="000000"/>
          <w:sz w:val="28"/>
        </w:rPr>
        <w:t>СПИСОК ИСПОЛЬЗОВАННЫХ ИСТОЧНИКОВ</w:t>
      </w:r>
    </w:p>
    <w:p w14:paraId="49FCFAAE">
      <w:pPr>
        <w:spacing w:before="0" w:after="0" w:line="360" w:lineRule="auto"/>
        <w:jc w:val="both"/>
      </w:pPr>
      <w:r>
        <w:rPr>
          <w:rFonts w:ascii="Times New Roman" w:hAnsi="Times New Roman" w:eastAsia="Times New Roman" w:cs="Times New Roman"/>
          <w:b w:val="0"/>
          <w:i w:val="0"/>
          <w:color w:val="000000"/>
          <w:sz w:val="28"/>
        </w:rPr>
        <w:t>24. Тавберидзе К.Ю. Эффективность цифрового маркетинга в сфере здравоохранения: преимущества и недостатки // Общественное здоровье и здравоохранение. – 2023. – Т. 79, № 4. – DOI: 10.56685/18120555_2023_79_4_49.</w:t>
      </w:r>
    </w:p>
    <w:p w14:paraId="762DD9D7">
      <w:pPr>
        <w:spacing w:before="0" w:after="0" w:line="360" w:lineRule="auto"/>
        <w:jc w:val="both"/>
      </w:pPr>
      <w:r>
        <w:rPr>
          <w:rFonts w:ascii="Times New Roman" w:hAnsi="Times New Roman" w:eastAsia="Times New Roman" w:cs="Times New Roman"/>
          <w:b w:val="0"/>
          <w:i w:val="0"/>
          <w:color w:val="000000"/>
          <w:sz w:val="28"/>
        </w:rPr>
        <w:t>25. Гавриков А.В., Давыдов В.В., Фёдоров М.В. Digital-маркетинг. Главная книга интернет-маркетолога. – Москва : АСТ, 2022. – 480 с.</w:t>
      </w:r>
    </w:p>
    <w:p w14:paraId="40707FE3">
      <w:pPr>
        <w:spacing w:before="0" w:after="0" w:line="360" w:lineRule="auto"/>
        <w:jc w:val="both"/>
      </w:pPr>
      <w:r>
        <w:rPr>
          <w:rFonts w:ascii="Times New Roman" w:hAnsi="Times New Roman" w:eastAsia="Times New Roman" w:cs="Times New Roman"/>
          <w:b w:val="0"/>
          <w:i w:val="0"/>
          <w:color w:val="000000"/>
          <w:sz w:val="28"/>
        </w:rPr>
        <w:t>26. Шевченко Д.А. Цифровой маркетинг / Д.А. Шевченко. – Москва : Директ-Медиа, 2022. – 185 с.</w:t>
      </w:r>
    </w:p>
    <w:p w14:paraId="33010D49">
      <w:pPr>
        <w:spacing w:before="0" w:after="0" w:line="360" w:lineRule="auto"/>
        <w:jc w:val="both"/>
      </w:pPr>
      <w:r>
        <w:rPr>
          <w:rFonts w:ascii="Times New Roman" w:hAnsi="Times New Roman" w:eastAsia="Times New Roman" w:cs="Times New Roman"/>
          <w:b w:val="0"/>
          <w:i w:val="0"/>
          <w:color w:val="000000"/>
          <w:sz w:val="28"/>
        </w:rPr>
        <w:t>27. Манн И. Маркетинг на 100 %: ремикс / И. Манн. – Москва : Манн, Иванов и Фербер, 2022. – 392 с.</w:t>
      </w:r>
    </w:p>
    <w:p w14:paraId="4A685467">
      <w:pPr>
        <w:spacing w:before="0" w:after="0" w:line="360" w:lineRule="auto"/>
        <w:jc w:val="both"/>
      </w:pPr>
      <w:r>
        <w:rPr>
          <w:rFonts w:ascii="Times New Roman" w:hAnsi="Times New Roman" w:eastAsia="Times New Roman" w:cs="Times New Roman"/>
          <w:b w:val="0"/>
          <w:i w:val="0"/>
          <w:color w:val="000000"/>
          <w:sz w:val="28"/>
        </w:rPr>
        <w:t>28. О внесении изменений в Федеральный закон «О персональных данных» и отдельные законодательные акты Российской Федерации : Федер. закон от 23.05.2025 № 121-ФЗ. – Текст : электронный // Официальный интернет-портал правовой информации. – URL: http://pravo.gov.ru (дата обращения: 04.05.2026).</w:t>
      </w:r>
    </w:p>
    <w:p w14:paraId="111CE518">
      <w:pPr>
        <w:spacing w:before="0" w:after="0" w:line="360" w:lineRule="auto"/>
        <w:jc w:val="both"/>
      </w:pPr>
      <w:r>
        <w:rPr>
          <w:rFonts w:ascii="Times New Roman" w:hAnsi="Times New Roman" w:eastAsia="Times New Roman" w:cs="Times New Roman"/>
          <w:b w:val="0"/>
          <w:i w:val="0"/>
          <w:color w:val="000000"/>
          <w:sz w:val="28"/>
        </w:rPr>
        <w:t>29. О внесении изменений в отдельные законодательные акты Российской Федерации : Федер. закон от 28.02.2025 № 23-ФЗ. – URL: http://publication.pravo.gov.ru/Document/View/0001202502280001 (дата обращения: 04.05.2026).</w:t>
      </w:r>
    </w:p>
    <w:p w14:paraId="29B1271E">
      <w:pPr>
        <w:spacing w:before="0" w:after="0" w:line="360" w:lineRule="auto"/>
        <w:jc w:val="both"/>
      </w:pPr>
      <w:r>
        <w:rPr>
          <w:rFonts w:ascii="Times New Roman" w:hAnsi="Times New Roman" w:eastAsia="Times New Roman" w:cs="Times New Roman"/>
          <w:b w:val="0"/>
          <w:i w:val="0"/>
          <w:color w:val="000000"/>
          <w:sz w:val="28"/>
        </w:rPr>
        <w:t>30. О персональных данных : Федер. закон от 27.07.2006 № 152-ФЗ : ред. от 24.06.2025. – URL: https://www.consultant.ru/document/cons_doc_LAW_61801/ (дата обращения: 04.05.2026).</w:t>
      </w:r>
    </w:p>
    <w:p w14:paraId="3CF1886E">
      <w:pPr>
        <w:spacing w:before="0" w:after="0" w:line="360" w:lineRule="auto"/>
        <w:jc w:val="both"/>
      </w:pPr>
      <w:r>
        <w:rPr>
          <w:rFonts w:ascii="Times New Roman" w:hAnsi="Times New Roman" w:eastAsia="Times New Roman" w:cs="Times New Roman"/>
          <w:b w:val="0"/>
          <w:i w:val="0"/>
          <w:color w:val="000000"/>
          <w:sz w:val="28"/>
        </w:rPr>
        <w:t>31. Об основах охраны здоровья граждан в Российской Федерации : Федер. закон от 21.11.2011 № 323-ФЗ : ред. от 23.07.2025 (с изм. и доп., вступ. в силу с 01.01.2026). Статья 36.2. Особенности медицинской помощи, оказываемой с применением телемедицинских технологий. – URL: https://www.consultant.ru/document/cons_doc_LAW_121895/ (дата обращения: 04.05.2026).</w:t>
      </w:r>
    </w:p>
    <w:p w14:paraId="230D67B6">
      <w:pPr>
        <w:spacing w:before="0" w:after="0" w:line="360" w:lineRule="auto"/>
        <w:jc w:val="both"/>
      </w:pPr>
      <w:r>
        <w:rPr>
          <w:rFonts w:ascii="Times New Roman" w:hAnsi="Times New Roman" w:eastAsia="Times New Roman" w:cs="Times New Roman"/>
          <w:b w:val="0"/>
          <w:i w:val="0"/>
          <w:color w:val="000000"/>
          <w:sz w:val="28"/>
        </w:rPr>
        <w:t>32. О рекламе : Федер. закон от 13.03.2006 № 38-ФЗ : ред. от 31.07.2025 (с изм. и доп., вступ. в силу с 01.09.2025). Статья 24. – URL: https://www.consultant.ru/document/cons_doc_LAW_58968/ (дата обращения: 04.05.2026).</w:t>
      </w:r>
    </w:p>
    <w:p w14:paraId="7D5D3E16">
      <w:pPr>
        <w:spacing w:before="0" w:after="0" w:line="360" w:lineRule="auto"/>
        <w:jc w:val="both"/>
      </w:pPr>
      <w:r>
        <w:rPr>
          <w:rFonts w:ascii="Times New Roman" w:hAnsi="Times New Roman" w:eastAsia="Times New Roman" w:cs="Times New Roman"/>
          <w:b w:val="0"/>
          <w:i w:val="0"/>
          <w:color w:val="000000"/>
          <w:sz w:val="28"/>
        </w:rPr>
        <w:t>33. Об утверждении Порядка организации и оказания медицинской помощи с применением телемедицинских технологий : приказ Министерства здравоохранения Российской Федерации от 11.04.2025 № 193н : зарегистрирован в Минюсте России 15.05.2025 № 82181. – URL: https://www.consultant.ru/document/cons_doc_LAW_505342/ (дата обращения: 04.05.2026).</w:t>
      </w:r>
    </w:p>
    <w:p w14:paraId="184D3101">
      <w:pPr>
        <w:spacing w:before="0" w:after="0" w:line="360" w:lineRule="auto"/>
        <w:jc w:val="both"/>
      </w:pPr>
      <w:r>
        <w:rPr>
          <w:rFonts w:ascii="Times New Roman" w:hAnsi="Times New Roman" w:eastAsia="Times New Roman" w:cs="Times New Roman"/>
          <w:b w:val="0"/>
          <w:i w:val="0"/>
          <w:color w:val="000000"/>
          <w:sz w:val="28"/>
        </w:rPr>
        <w:t>34. Об утверждении номенклатурной классификации медицинских изделий по видам : приказ Министерства здравоохранения Российской Федерации от 06.06.2012 № 4н. – URL: https://roszdravnadzor.gov.ru/medproducts/registration (дата обращения: 04.05.2026).</w:t>
      </w:r>
    </w:p>
    <w:p w14:paraId="626DC5F6">
      <w:pPr>
        <w:spacing w:before="0" w:after="0" w:line="360" w:lineRule="auto"/>
        <w:jc w:val="both"/>
      </w:pPr>
      <w:r>
        <w:rPr>
          <w:rFonts w:ascii="Times New Roman" w:hAnsi="Times New Roman" w:eastAsia="Times New Roman" w:cs="Times New Roman"/>
          <w:b w:val="0"/>
          <w:i w:val="0"/>
          <w:color w:val="000000"/>
          <w:sz w:val="28"/>
        </w:rPr>
        <w:t>35. О внесении изменений в номенклатурную классификацию медицинских изделий по видам в части программного обеспечения : приказ Министерства здравоохранения Российской Федерации от 07.07.2020 № 686н. – URL: https://roszdravnadzor.gov.ru/medproducts/registration (дата обращения: 04.05.2026).</w:t>
      </w:r>
    </w:p>
    <w:p w14:paraId="57CE97F8">
      <w:pPr>
        <w:spacing w:before="0" w:after="0" w:line="360" w:lineRule="auto"/>
        <w:jc w:val="both"/>
      </w:pPr>
      <w:r>
        <w:rPr>
          <w:rFonts w:ascii="Times New Roman" w:hAnsi="Times New Roman" w:eastAsia="Times New Roman" w:cs="Times New Roman"/>
          <w:b w:val="0"/>
          <w:i w:val="0"/>
          <w:color w:val="000000"/>
          <w:sz w:val="28"/>
        </w:rPr>
        <w:t>36. Boksmati N., Butler-Henderson K., Anderson K., Sahama T. The Effectiveness of SMS Reminders on Appointment Attendance: a Meta-Analysis // Journal of Medical Systems. – 2016. – Vol. 40. – Article 90. – DOI: 10.1007/s10916-016-0452-2.</w:t>
      </w:r>
    </w:p>
    <w:p w14:paraId="6D68A781">
      <w:pPr>
        <w:spacing w:before="0" w:after="0" w:line="360" w:lineRule="auto"/>
        <w:jc w:val="both"/>
      </w:pPr>
      <w:r>
        <w:rPr>
          <w:rFonts w:ascii="Times New Roman" w:hAnsi="Times New Roman" w:eastAsia="Times New Roman" w:cs="Times New Roman"/>
          <w:b w:val="0"/>
          <w:i w:val="0"/>
          <w:color w:val="000000"/>
          <w:sz w:val="28"/>
        </w:rPr>
        <w:t>37. Stormon N., Sexton C., Chen C., et al. SMS reminders to improve outpatient attendance for public dental services: a retrospective study // Health &amp; Social Care in the Community. – 2022. – Vol. 30, No. 5. – P. e2255–e2263. – DOI: 10.1111/hsc.13663.</w:t>
      </w:r>
    </w:p>
    <w:p w14:paraId="62CA67FC">
      <w:pPr>
        <w:spacing w:before="0" w:after="0" w:line="360" w:lineRule="auto"/>
        <w:jc w:val="both"/>
      </w:pPr>
      <w:r>
        <w:rPr>
          <w:rFonts w:ascii="Times New Roman" w:hAnsi="Times New Roman" w:eastAsia="Times New Roman" w:cs="Times New Roman"/>
          <w:b w:val="0"/>
          <w:i w:val="0"/>
          <w:color w:val="000000"/>
          <w:sz w:val="28"/>
        </w:rPr>
        <w:t>38. McLean S., Booth A., Gee M., et al. Appointment reminder systems are effective but not optimal: results of a systematic review and evidence synthesis employing realist principles // Patient Preference and Adherence. – 2016. – Vol. 10. – P. 479–499.</w:t>
      </w:r>
    </w:p>
    <w:p w14:paraId="1FF57CB1">
      <w:pPr>
        <w:spacing w:before="0" w:after="0" w:line="360" w:lineRule="auto"/>
        <w:jc w:val="both"/>
      </w:pPr>
      <w:r>
        <w:rPr>
          <w:rFonts w:ascii="Times New Roman" w:hAnsi="Times New Roman" w:eastAsia="Times New Roman" w:cs="Times New Roman"/>
          <w:b w:val="0"/>
          <w:i w:val="0"/>
          <w:color w:val="000000"/>
          <w:sz w:val="28"/>
        </w:rPr>
        <w:t>39. Feng S., Li X.L., Wake A.N. Engaging Artificial Intelligence (AI)-based chatbots in digital health: A systematic review // PLOS Digital Health. – 2026. – Vol. 5, No. 2. – Article e0001201. – DOI: 10.1371/journal.pdig.0001201. – URL: https://pmc.ncbi.nlm.nih.gov/articles/PMC12900317/ (дата обращения: 04.05.2026).</w:t>
      </w:r>
    </w:p>
    <w:p w14:paraId="58D498A4">
      <w:pPr>
        <w:spacing w:before="0" w:after="0" w:line="360" w:lineRule="auto"/>
        <w:jc w:val="both"/>
      </w:pPr>
      <w:r>
        <w:rPr>
          <w:rFonts w:ascii="Times New Roman" w:hAnsi="Times New Roman" w:eastAsia="Times New Roman" w:cs="Times New Roman"/>
          <w:b w:val="0"/>
          <w:i w:val="0"/>
          <w:color w:val="000000"/>
          <w:sz w:val="28"/>
        </w:rPr>
        <w:t>40. Ronsivalle V., Santonocito S., Cammarata U. et al. Current Applications of Chatbots Powered by Large Language Models in Oral and Maxillofacial Surgery: A Systematic Review // Dentistry Journal (MDPI). – 2025. – Vol. 13, No. 6. – Article 261. – DOI: 10.3390/dj13060261. – URL: https://www.mdpi.com/2304-6767/13/6/261 (дата обращения: 04.05.2026).</w:t>
      </w:r>
    </w:p>
    <w:p w14:paraId="43ED70AC">
      <w:pPr>
        <w:spacing w:before="0" w:after="0" w:line="360" w:lineRule="auto"/>
        <w:jc w:val="both"/>
      </w:pPr>
      <w:r>
        <w:rPr>
          <w:rFonts w:ascii="Times New Roman" w:hAnsi="Times New Roman" w:eastAsia="Times New Roman" w:cs="Times New Roman"/>
          <w:b w:val="0"/>
          <w:i w:val="0"/>
          <w:color w:val="000000"/>
          <w:sz w:val="28"/>
        </w:rPr>
        <w:t>41. AI-driven evolution in teledentistry: A comprehensive overview of technology and clinical applications // Journal of Dentistry (ScienceDirect). – 2025. – URL: https://www.sciencedirect.com/science/article/pii/S2772559625000033 (дата обращения: 04.05.2026).</w:t>
      </w:r>
    </w:p>
    <w:p w14:paraId="610D02F0">
      <w:pPr>
        <w:spacing w:before="0" w:after="0" w:line="360" w:lineRule="auto"/>
        <w:jc w:val="both"/>
      </w:pPr>
      <w:r>
        <w:rPr>
          <w:rFonts w:ascii="Times New Roman" w:hAnsi="Times New Roman" w:eastAsia="Times New Roman" w:cs="Times New Roman"/>
          <w:b w:val="0"/>
          <w:i w:val="0"/>
          <w:color w:val="000000"/>
          <w:sz w:val="28"/>
        </w:rPr>
        <w:t>42. Howell S.E.I., Kumar P., da Costa J. et al. Teledentistry adoption and applications: An American Dental Association Clinical Evaluators Panel survey // Journal of the American Dental Association. – 2023. – Vol. 154, No. 9. – P. 856–857.e2. – DOI: 10.1016/j.adaj.2023.06.006.</w:t>
      </w:r>
    </w:p>
    <w:p w14:paraId="1B055EA2">
      <w:pPr>
        <w:spacing w:before="0" w:after="0" w:line="360" w:lineRule="auto"/>
        <w:jc w:val="both"/>
      </w:pPr>
      <w:r>
        <w:rPr>
          <w:rFonts w:ascii="Times New Roman" w:hAnsi="Times New Roman" w:eastAsia="Times New Roman" w:cs="Times New Roman"/>
          <w:b w:val="0"/>
          <w:i w:val="0"/>
          <w:color w:val="000000"/>
          <w:sz w:val="28"/>
        </w:rPr>
        <w:t>43. AAPD Oral Health Policies: Teledentistry / American Academy of Pediatric Dentistry. – 2024. – URL: https://www.aapd.org/globalassets/media/policies_guidelines/p_teledentistry.pdf (дата обращения: 04.05.2026).</w:t>
      </w:r>
    </w:p>
    <w:p w14:paraId="4AE4532D">
      <w:pPr>
        <w:spacing w:before="0" w:after="0" w:line="360" w:lineRule="auto"/>
        <w:jc w:val="both"/>
      </w:pPr>
      <w:r>
        <w:rPr>
          <w:rFonts w:ascii="Times New Roman" w:hAnsi="Times New Roman" w:eastAsia="Times New Roman" w:cs="Times New Roman"/>
          <w:b w:val="0"/>
          <w:i w:val="0"/>
          <w:color w:val="000000"/>
          <w:sz w:val="28"/>
        </w:rPr>
        <w:t>44. NHS 111 able to directly book urgent dental appointments for first time in England / NHS Mid and South Essex Integrated Care System. – 2025. – URL: https://www.midandsouthessex.ics.nhs.uk/news/nhs-111-able-to-directly-book-urgent-dental-appointments-for-first-time-in-england/ (дата обращения: 04.05.2026).</w:t>
      </w:r>
    </w:p>
    <w:p w14:paraId="3AF522B5">
      <w:pPr>
        <w:spacing w:before="0" w:after="0" w:line="360" w:lineRule="auto"/>
        <w:jc w:val="both"/>
      </w:pPr>
      <w:r>
        <w:rPr>
          <w:rFonts w:ascii="Times New Roman" w:hAnsi="Times New Roman" w:eastAsia="Times New Roman" w:cs="Times New Roman"/>
          <w:b w:val="0"/>
          <w:i w:val="0"/>
          <w:color w:val="000000"/>
          <w:sz w:val="28"/>
        </w:rPr>
        <w:t>45. New model of urgent dental care helps patients in North East and North Cumbria / North East and North Cumbria NHS. – 2024. – URL: https://northeastnorthcumbria.nhs.uk/our-blogs/new-model-of-urgent-dental-care-helps-patients-in-north-east-and-north-cumbria/ (дата обращения: 04.05.2026).</w:t>
      </w:r>
    </w:p>
    <w:p w14:paraId="1E30279A">
      <w:pPr>
        <w:spacing w:before="0" w:after="0" w:line="360" w:lineRule="auto"/>
        <w:jc w:val="both"/>
      </w:pPr>
      <w:r>
        <w:rPr>
          <w:rFonts w:ascii="Times New Roman" w:hAnsi="Times New Roman" w:eastAsia="Times New Roman" w:cs="Times New Roman"/>
          <w:b w:val="0"/>
          <w:i w:val="0"/>
          <w:color w:val="000000"/>
          <w:sz w:val="28"/>
        </w:rPr>
        <w:t>46. DentaQuest Embarks on Digital Evolution To Improve Patient Outcomes and Access To Care / DentaQuest. – 2023. – URL: https://www.dentaquest.com/en/news-and-resources/news-events/news-releases/dentaquest-embarks-on-digital-evolution (дата обращения: 04.05.2026).</w:t>
      </w:r>
    </w:p>
    <w:p w14:paraId="4E665CF1">
      <w:pPr>
        <w:spacing w:before="0" w:after="0" w:line="360" w:lineRule="auto"/>
        <w:jc w:val="both"/>
      </w:pPr>
      <w:r>
        <w:rPr>
          <w:rFonts w:ascii="Times New Roman" w:hAnsi="Times New Roman" w:eastAsia="Times New Roman" w:cs="Times New Roman"/>
          <w:b w:val="0"/>
          <w:i w:val="0"/>
          <w:color w:val="000000"/>
          <w:sz w:val="28"/>
        </w:rPr>
        <w:t>47. Digital Engagement Boosts Member Utilization, Satisfaction / DentaQuest. – 2024. – URL: https://www.dentaquest.com/en/news-and-resources/industry-insights/digital-engagement-boosts-member-satisfaction (дата обращения: 04.05.2026).</w:t>
      </w:r>
    </w:p>
    <w:p w14:paraId="6799A4D8">
      <w:pPr>
        <w:spacing w:before="0" w:after="0" w:line="360" w:lineRule="auto"/>
        <w:jc w:val="both"/>
      </w:pPr>
      <w:r>
        <w:rPr>
          <w:rFonts w:ascii="Times New Roman" w:hAnsi="Times New Roman" w:eastAsia="Times New Roman" w:cs="Times New Roman"/>
          <w:b w:val="0"/>
          <w:i w:val="0"/>
          <w:color w:val="000000"/>
          <w:sz w:val="28"/>
        </w:rPr>
        <w:t>48. Henry Schein One Practice Management Software / Henry Schein, Inc. – 2025. – URL: https://www.henryscheinone.com/ (дата обращения: 04.05.2026).</w:t>
      </w:r>
    </w:p>
    <w:p w14:paraId="136F25F5">
      <w:pPr>
        <w:spacing w:before="0" w:after="0" w:line="360" w:lineRule="auto"/>
        <w:jc w:val="both"/>
      </w:pPr>
      <w:r>
        <w:rPr>
          <w:rFonts w:ascii="Times New Roman" w:hAnsi="Times New Roman" w:eastAsia="Times New Roman" w:cs="Times New Roman"/>
          <w:b w:val="0"/>
          <w:i w:val="0"/>
          <w:color w:val="000000"/>
          <w:sz w:val="28"/>
        </w:rPr>
        <w:t>49. DentalMonitoring patient app / Dental Monitoring SAS. – 2024. – URL: https://dentalmonitoring.com/for-patients/ (дата обращения: 04.05.2026).</w:t>
      </w:r>
    </w:p>
    <w:p w14:paraId="317330D0">
      <w:pPr>
        <w:spacing w:before="0" w:after="0" w:line="360" w:lineRule="auto"/>
        <w:jc w:val="both"/>
      </w:pPr>
      <w:r>
        <w:rPr>
          <w:rFonts w:ascii="Times New Roman" w:hAnsi="Times New Roman" w:eastAsia="Times New Roman" w:cs="Times New Roman"/>
          <w:b w:val="0"/>
          <w:i w:val="0"/>
          <w:color w:val="000000"/>
          <w:sz w:val="28"/>
        </w:rPr>
        <w:t>50. Impact of Modern Communication in Transforming Dental Care // Dentistry Journal (MDPI). – 2025. – Vol. 13, No. 10. – Article 441. – URL: https://www.mdpi.com/2304-6767/13/10/441 (дата обращения: 04.05.2026).</w:t>
      </w:r>
    </w:p>
    <w:p w14:paraId="16A8D9C1">
      <w:pPr>
        <w:spacing w:before="0" w:after="0" w:line="360" w:lineRule="auto"/>
        <w:jc w:val="both"/>
      </w:pPr>
      <w:r>
        <w:rPr>
          <w:rFonts w:ascii="Times New Roman" w:hAnsi="Times New Roman" w:eastAsia="Times New Roman" w:cs="Times New Roman"/>
          <w:b w:val="0"/>
          <w:i w:val="0"/>
          <w:color w:val="000000"/>
          <w:sz w:val="28"/>
        </w:rPr>
        <w:t>51. The state of health care communication: What patients want in 2025 / Medical Economics. – 2025. – URL: https://www.medicaleconomics.com/view/the-state-of-health-care-communication-what-patients-want-in-2025 (дата обращения: 04.05.2026).</w:t>
      </w:r>
    </w:p>
    <w:p w14:paraId="70E4716F">
      <w:pPr>
        <w:spacing w:before="0" w:after="0" w:line="360" w:lineRule="auto"/>
        <w:jc w:val="both"/>
      </w:pPr>
      <w:r>
        <w:rPr>
          <w:rFonts w:ascii="Times New Roman" w:hAnsi="Times New Roman" w:eastAsia="Times New Roman" w:cs="Times New Roman"/>
          <w:b w:val="0"/>
          <w:i w:val="0"/>
          <w:color w:val="000000"/>
          <w:sz w:val="28"/>
        </w:rPr>
        <w:t>52. Patient Conversion Rate by Practice Type: 2025 Report / First Page Sage. – 2025. – URL: https://firstpagesage.com/reports/patient-conversion-rate-by-practice-type/ (дата обращения: 04.05.2026).</w:t>
      </w:r>
    </w:p>
    <w:p w14:paraId="759989CB">
      <w:pPr>
        <w:spacing w:before="0" w:after="0" w:line="360" w:lineRule="auto"/>
        <w:jc w:val="both"/>
      </w:pPr>
      <w:r>
        <w:rPr>
          <w:rFonts w:ascii="Times New Roman" w:hAnsi="Times New Roman" w:eastAsia="Times New Roman" w:cs="Times New Roman"/>
          <w:b w:val="0"/>
          <w:i w:val="0"/>
          <w:color w:val="000000"/>
          <w:sz w:val="28"/>
        </w:rPr>
        <w:t>53. Dental Patient Appointment Booking Statistics / Resonate AI. – 2024. – URL: https://www.resonateapp.com/resources/dental-patient-appointment-booking-statistics (дата обращения: 04.05.2026).</w:t>
      </w:r>
    </w:p>
    <w:p w14:paraId="16E9AB1C">
      <w:pPr>
        <w:spacing w:before="0" w:after="0" w:line="360" w:lineRule="auto"/>
        <w:jc w:val="both"/>
      </w:pPr>
      <w:r>
        <w:rPr>
          <w:rFonts w:ascii="Times New Roman" w:hAnsi="Times New Roman" w:eastAsia="Times New Roman" w:cs="Times New Roman"/>
          <w:b w:val="0"/>
          <w:i w:val="0"/>
          <w:color w:val="000000"/>
          <w:sz w:val="28"/>
        </w:rPr>
        <w:t>54. Dental Website Average Conversion Rates / PatientGain. – 2025. – URL: https://www.patientgain.com/average-conversion-rates (дата обращения: 04.05.2026).</w:t>
      </w:r>
    </w:p>
    <w:p w14:paraId="39E5E726">
      <w:pPr>
        <w:spacing w:before="0" w:after="0" w:line="360" w:lineRule="auto"/>
        <w:jc w:val="both"/>
      </w:pPr>
      <w:r>
        <w:rPr>
          <w:rFonts w:ascii="Times New Roman" w:hAnsi="Times New Roman" w:eastAsia="Times New Roman" w:cs="Times New Roman"/>
          <w:b w:val="0"/>
          <w:i w:val="0"/>
          <w:color w:val="000000"/>
          <w:sz w:val="28"/>
        </w:rPr>
        <w:t>55. Dental Practice Growth Strategies for 2026 / Vada COO. – 2025. – URL: https://vadacoo.com/blog/dental-practice-growth-strategies-for-2026 (дата обращения: 04.05.2026).</w:t>
      </w:r>
    </w:p>
    <w:p w14:paraId="75B19BA3">
      <w:pPr>
        <w:spacing w:before="0" w:after="0" w:line="360" w:lineRule="auto"/>
        <w:jc w:val="both"/>
      </w:pPr>
      <w:r>
        <w:rPr>
          <w:rFonts w:ascii="Times New Roman" w:hAnsi="Times New Roman" w:eastAsia="Times New Roman" w:cs="Times New Roman"/>
          <w:b w:val="0"/>
          <w:i w:val="0"/>
          <w:color w:val="000000"/>
          <w:sz w:val="28"/>
        </w:rPr>
        <w:t>56. HHS Updates Pixels and Trackers Guidance for HIPAA Regulated Entities / Foley &amp; Lardner. – 2024. – URL: https://www.foley.com/insights/publications/2024/03/hhs-updates-pixels-and-trackers-guidance-for-hipaa-regulated-entities/ (дата обращения: 04.05.2026).</w:t>
      </w:r>
    </w:p>
    <w:p w14:paraId="699FB4B2">
      <w:pPr>
        <w:spacing w:before="0" w:after="0" w:line="360" w:lineRule="auto"/>
        <w:jc w:val="both"/>
      </w:pPr>
      <w:r>
        <w:rPr>
          <w:rFonts w:ascii="Times New Roman" w:hAnsi="Times New Roman" w:eastAsia="Times New Roman" w:cs="Times New Roman"/>
          <w:b w:val="0"/>
          <w:i w:val="0"/>
          <w:color w:val="000000"/>
          <w:sz w:val="28"/>
        </w:rPr>
        <w:t>57. Исследование: цифровизация увеличивает прибыль стоматологических клиник на 30 % / CNews. – 2025. – URL: https://www.cnews.ru/news/line/2025-08-05_issledovanie_tsifrovizatsiya (дата обращения: 04.05.2026).</w:t>
      </w:r>
    </w:p>
    <w:p w14:paraId="18E87D18">
      <w:pPr>
        <w:spacing w:before="0" w:after="0" w:line="360" w:lineRule="auto"/>
        <w:jc w:val="both"/>
      </w:pPr>
      <w:r>
        <w:rPr>
          <w:rFonts w:ascii="Times New Roman" w:hAnsi="Times New Roman" w:eastAsia="Times New Roman" w:cs="Times New Roman"/>
          <w:b w:val="0"/>
          <w:i w:val="0"/>
          <w:color w:val="000000"/>
          <w:sz w:val="28"/>
        </w:rPr>
        <w:t>58. Стоматологический рынок в приближении 2026 года: как сохранить качество и устойчивость в эпоху перегрева / Коммерсантъ. – 2025. – URL: https://www.kommersant.ru/doc/8180048 (дата обращения: 04.05.2026).</w:t>
      </w:r>
    </w:p>
    <w:p w14:paraId="13E1E86A">
      <w:pPr>
        <w:spacing w:before="0" w:after="0" w:line="360" w:lineRule="auto"/>
        <w:jc w:val="both"/>
      </w:pPr>
      <w:r>
        <w:rPr>
          <w:rFonts w:ascii="Times New Roman" w:hAnsi="Times New Roman" w:eastAsia="Times New Roman" w:cs="Times New Roman"/>
          <w:b w:val="0"/>
          <w:i w:val="0"/>
          <w:color w:val="000000"/>
          <w:sz w:val="28"/>
        </w:rPr>
        <w:t>59. Стоматологический рынок 2025: тренды, которые нельзя игнорировать / Никадент. – 2025. – URL: https://www.nika-dent.ru/blog/stomatologicheskiy-rynok-2025-trendy-kotorye-nelzya-ignorirovat/ (дата обращения: 04.05.2026).</w:t>
      </w:r>
    </w:p>
    <w:p w14:paraId="78426D43">
      <w:pPr>
        <w:spacing w:before="0" w:after="0" w:line="360" w:lineRule="auto"/>
        <w:jc w:val="both"/>
      </w:pPr>
      <w:r>
        <w:rPr>
          <w:rFonts w:ascii="Times New Roman" w:hAnsi="Times New Roman" w:eastAsia="Times New Roman" w:cs="Times New Roman"/>
          <w:b w:val="0"/>
          <w:i w:val="0"/>
          <w:color w:val="000000"/>
          <w:sz w:val="28"/>
        </w:rPr>
        <w:t>60. Будущее стоматологии: ключевые направления развития отрасли / 1С:Медицина. Стоматологическая клиника. – 2025. – URL: https://stoma1c.ru/blog/budushhee-stomatologii-klyuchevye-napravleniya-razvitiya-otrasli/ (дата обращения: 04.05.2026).</w:t>
      </w:r>
    </w:p>
    <w:p w14:paraId="707FE236">
      <w:pPr>
        <w:spacing w:before="0" w:after="0" w:line="360" w:lineRule="auto"/>
        <w:jc w:val="both"/>
      </w:pPr>
      <w:r>
        <w:rPr>
          <w:rFonts w:ascii="Times New Roman" w:hAnsi="Times New Roman" w:eastAsia="Times New Roman" w:cs="Times New Roman"/>
          <w:b w:val="0"/>
          <w:i w:val="0"/>
          <w:color w:val="000000"/>
          <w:sz w:val="28"/>
        </w:rPr>
        <w:t>61. Регистрация программного обеспечения как медицинского изделия в 2025 году в России / ООО «КВОЛИТИ». – 2025. – URL: https://certru.ru/registracija-po-kak-medicinskogo-izdelija-v-2025-godu-v-rossii/ (дата обращения: 04.05.2026).</w:t>
      </w:r>
    </w:p>
    <w:p w14:paraId="1CAEB2FA">
      <w:pPr>
        <w:spacing w:before="0" w:after="0" w:line="360" w:lineRule="auto"/>
        <w:jc w:val="both"/>
      </w:pPr>
      <w:r>
        <w:rPr>
          <w:rFonts w:ascii="Times New Roman" w:hAnsi="Times New Roman" w:eastAsia="Times New Roman" w:cs="Times New Roman"/>
          <w:b w:val="0"/>
          <w:i w:val="0"/>
          <w:color w:val="000000"/>
          <w:sz w:val="28"/>
        </w:rPr>
        <w:t>62. Как не нарушить закон: реклама медицины в социальных сетях с 2025 года / Sinergium. – 2025. – URL: https://sinergium.ru/blog/kak-ne-narushit-zakon-novye-pravila-reklamy-mediciny-v-socsetyah-s-sentyabrya-2025 (дата обращения: 04.05.2026).</w:t>
      </w:r>
    </w:p>
    <w:p w14:paraId="7AD613C7">
      <w:pPr>
        <w:spacing w:before="0" w:after="0" w:line="360" w:lineRule="auto"/>
        <w:jc w:val="both"/>
      </w:pPr>
      <w:r>
        <w:rPr>
          <w:rFonts w:ascii="Times New Roman" w:hAnsi="Times New Roman" w:eastAsia="Times New Roman" w:cs="Times New Roman"/>
          <w:b w:val="0"/>
          <w:i w:val="0"/>
          <w:color w:val="000000"/>
          <w:sz w:val="28"/>
        </w:rPr>
        <w:t>63. Waiting in line for a check-up: evaluating access to NHS dental services in England // British Dental Journal. – 2025. – Vol. 238. – URL: https://www.nature.com/articles/s41415-025-8320-4 (дата обращения: 04.05.2026).</w:t>
      </w:r>
    </w:p>
    <w:p w14:paraId="6944EE8A">
      <w:pPr>
        <w:spacing w:before="0" w:after="0" w:line="360" w:lineRule="auto"/>
        <w:jc w:val="both"/>
      </w:pPr>
      <w:r>
        <w:rPr>
          <w:rFonts w:ascii="Times New Roman" w:hAnsi="Times New Roman" w:eastAsia="Times New Roman" w:cs="Times New Roman"/>
          <w:b w:val="0"/>
          <w:i w:val="0"/>
          <w:color w:val="000000"/>
          <w:sz w:val="28"/>
        </w:rPr>
        <w:t>64. ASDA. Barriers to Care / American Student Dental Association. – 2024. – URL: https://www.asdanet.org/index/get-involved/advocate/issues-and-legislative-priorities/Barriers-to-Care (дата обращения: 04.05.2026).</w:t>
      </w:r>
    </w:p>
    <w:p w14:paraId="098AFCB9">
      <w:pPr>
        <w:spacing w:before="0" w:after="0" w:line="360" w:lineRule="auto"/>
        <w:jc w:val="both"/>
      </w:pPr>
      <w:r>
        <w:rPr>
          <w:rFonts w:ascii="Times New Roman" w:hAnsi="Times New Roman"/>
          <w:b w:val="0"/>
          <w:i w:val="0"/>
          <w:sz w:val="28"/>
        </w:rPr>
        <w:t>65. 2025 Healthcare Benchmark Report / Smart Communications. – 2025. – URL: https://www.smartcommunications.com/resource-center/white-papers-ebooks/2025-healthcare-benchmark-report-customer-experience-communications (дата обращения: 04.05.2026).</w:t>
      </w:r>
    </w:p>
    <w:p w14:paraId="128F675E">
      <w:pPr>
        <w:spacing w:before="0" w:after="0" w:line="360" w:lineRule="auto"/>
        <w:jc w:val="both"/>
      </w:pPr>
      <w:r>
        <w:rPr>
          <w:rFonts w:ascii="Times New Roman" w:hAnsi="Times New Roman"/>
          <w:b w:val="0"/>
          <w:i w:val="0"/>
          <w:sz w:val="28"/>
        </w:rPr>
        <w:t>66. Продажи стоматологических услуг в России в 2024 году выросли на 15 % / Ведомости. – 10.01.2025. – URL: https://www.vedomosti.ru/business/articles/2025/01/10/1085368-prodazhi-stomatologicheskih-uslug-v-rossii-virosli (дата обращения: 05.05.2026).</w:t>
      </w:r>
    </w:p>
    <w:p w14:paraId="78E0EA65">
      <w:pPr>
        <w:spacing w:before="0" w:after="0" w:line="360" w:lineRule="auto"/>
        <w:jc w:val="both"/>
      </w:pPr>
      <w:r>
        <w:rPr>
          <w:rFonts w:ascii="Times New Roman" w:hAnsi="Times New Roman"/>
          <w:b w:val="0"/>
          <w:i w:val="0"/>
          <w:sz w:val="28"/>
        </w:rPr>
        <w:t>67. Gupta N., Vujicic M. Main Barriers to Getting Needed Dental Care All Relate to Affordability : Research Brief / Health Policy Institute, American Dental Association. – 2019. – URL: https://www.ada.org/-/media/project/ada-organization/ada/ada-org/files/resources/research/hpi/hpibrief_0419_1.pdf (дата обращения: 05.05.2026).</w:t>
      </w:r>
    </w:p>
    <w:p w14:paraId="572CBB30">
      <w:pPr>
        <w:spacing w:before="0" w:after="0" w:line="360" w:lineRule="auto"/>
        <w:jc w:val="both"/>
      </w:pPr>
      <w:r>
        <w:rPr>
          <w:rFonts w:ascii="Times New Roman" w:hAnsi="Times New Roman"/>
          <w:b w:val="0"/>
          <w:i w:val="0"/>
          <w:sz w:val="28"/>
        </w:rPr>
        <w:t>68. State of Oral Health Equity in America 2023: Cost, Race, and the Persistent Challenges in Our Oral Health System / CareQuest Institute for Oral Health. – 2023. – URL: https://www.carequest.org/system/files/CareQuest_Institute-State-of-Oral-Health-Equity-in-America_2023_5.12.2024.pdf (дата обращения: 05.05.2026).</w:t>
      </w:r>
    </w:p>
    <w:p w14:paraId="289D9EDB">
      <w:pPr>
        <w:spacing w:before="0" w:after="0" w:line="360" w:lineRule="auto"/>
        <w:jc w:val="both"/>
      </w:pPr>
      <w:r>
        <w:rPr>
          <w:rFonts w:ascii="Times New Roman" w:hAnsi="Times New Roman"/>
          <w:b w:val="0"/>
          <w:i w:val="0"/>
          <w:sz w:val="28"/>
        </w:rPr>
        <w:t>69. Carrer F. C. de A. et al. Teledentistry: Overview of Systematic Reviews // Journal of Medical Internet Research. – 2025. – Vol. 27. – e65211. – DOI: 10.2196/65211. – URL: https://www.jmir.org/2025/1/e65211 (дата обращения: 05.05.2026).</w:t>
      </w:r>
    </w:p>
    <w:sectPr>
      <w:pgSz w:w="12240" w:h="15840"/>
      <w:pgMar w:top="1134" w:right="850"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FFF2373"/>
    <w:rsid w:val="671EEFD0"/>
    <w:rsid w:val="7FEC4BD7"/>
    <w:rsid w:val="EF0493D6"/>
    <w:rsid w:val="FFDF9CF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color w:val="000000"/>
      <w:sz w:val="28"/>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0</Words>
  <Characters>0</Characters>
  <Lines>0</Lines>
  <Paragraphs>0</Paragraphs>
  <TotalTime>16</TotalTime>
  <ScaleCrop>false</ScaleCrop>
  <LinksUpToDate>false</LinksUpToDate>
  <CharactersWithSpaces>0</CharactersWithSpaces>
  <Application>WPS Office_12.1.25867.25867_F1E327BC-269C-435d-A152-05C5408002CA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2013-12-22T07:15:00Z</dcterms:created>
  <dc:creator>python-docx</dc:creator>
  <dc:description>generated by python-docx</dc:description>
  <cp:lastModifiedBy>Антон Иванов</cp:lastModifiedBy>
  <dcterms:modified xsi:type="dcterms:W3CDTF">2026-05-05T13:51:56Z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1033-12.1.25867.25867</vt:lpwstr>
  </property>
  <property fmtid="{D5CDD505-2E9C-101B-9397-08002B2CF9AE}" pid="3" name="ICV">
    <vt:lpwstr>19D2E64CE5BC19D08476F86949838C6E_42</vt:lpwstr>
  </property>
</Properties>
</file>