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C4057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ГЛАВА 3. ПРАКТИЧЕСКИЕ АСПЕКТЫ ПРОЕКТИРОВАНИЯ КОНЦЕПТА ПРОГРАММНОГО ПРОДУКТА</w:t>
      </w:r>
    </w:p>
    <w:p w14:paraId="24ECF85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настоящей главе представлен результат проектирования концепта мобильного приложения для сети стоматологических клиник. Рассматриваются функциональные и нефункциональные требования к продукту, роли пользователей и описание ключевых пользовательских сценариев, архитектура и технологический стек, модель данных и структура основных сущностей, интерфейс кликабельного прототипа, вопросы интеграции с внешними сервисами, соответствие законодательным требованиям, а также экономическая оценка эффективности внедрения продукта в одной из клиник сети.</w:t>
      </w:r>
    </w:p>
    <w:p w14:paraId="5975A393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 Концепт мобильного приложения и границы MVP</w:t>
      </w:r>
    </w:p>
    <w:p w14:paraId="3378418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Концепт продукта сформулирован как мобильное приложение единой сети стоматологических клиник, обеспечивающее самостоятельную запись пациента на приём, хранение истории визитов и документов, а также подачу заявки на справку для социального налогового вычета. Решение ориентировано на сегмент частной стоматологии, объём которого по данным отраслевой аналитики превышает 700 миллиардов рублей в год [1].</w:t>
      </w:r>
    </w:p>
    <w:p w14:paraId="3E415A2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Пользовательская ценность продукта строится на трёх опорных направлениях. Первое — сокращение времени записи пациента за счёт замены телефонной коммуникации самостоятельным выбором услуги, клиники, врача и временного слота. Второе — формирование единого профиля пациента, доступного во всех филиалах сети, с историей визитов, гарантиями на работы и электронной копией чеков. Третье — упрощение оформления социального налогового вычета через подачу заявки в приложении и получение справки по электронному документообороту.</w:t>
      </w:r>
    </w:p>
    <w:p w14:paraId="6CBBDBE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Границы первой версии продукта заданы исходя из принципа минимально жизнеспособного продукта. В MVP включается пациентский раздел, закрывающий запись, просмотр истории и заявку на налоговый вычет. За пределы первой версии вынесены онлайн-консультация, полный интерфейс администратора клиники, ведение плана лечения и карта зубов формата FDI: эти направления запланированы на последующие вехи развития продукта и рассматриваются как расширение модели данных, описанной в подразделе 3.5.</w:t>
      </w:r>
    </w:p>
    <w:p w14:paraId="75A207F9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 – Матрица функций, включаемых и исключаемых из минимально жизнеспособного продукта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402"/>
        <w:gridCol w:w="3402"/>
      </w:tblGrid>
      <w:tr w14:paraId="275AAB12">
        <w:tc>
          <w:tcPr>
            <w:tcW w:w="2551" w:type="dxa"/>
            <w:vAlign w:val="center"/>
          </w:tcPr>
          <w:p w14:paraId="5B477B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Направление</w:t>
            </w:r>
          </w:p>
        </w:tc>
        <w:tc>
          <w:tcPr>
            <w:tcW w:w="3402" w:type="dxa"/>
            <w:vAlign w:val="center"/>
          </w:tcPr>
          <w:p w14:paraId="564EED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Включено в MVP</w:t>
            </w:r>
          </w:p>
        </w:tc>
        <w:tc>
          <w:tcPr>
            <w:tcW w:w="3402" w:type="dxa"/>
            <w:vAlign w:val="center"/>
          </w:tcPr>
          <w:p w14:paraId="73EF26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Перенесено в последующие вехи</w:t>
            </w:r>
          </w:p>
        </w:tc>
      </w:tr>
      <w:tr w14:paraId="038B7618">
        <w:tc>
          <w:tcPr>
            <w:tcW w:w="2551" w:type="dxa"/>
            <w:vAlign w:val="center"/>
          </w:tcPr>
          <w:p w14:paraId="16D346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Запись на приём</w:t>
            </w:r>
          </w:p>
        </w:tc>
        <w:tc>
          <w:tcPr>
            <w:tcW w:w="3402" w:type="dxa"/>
            <w:vAlign w:val="center"/>
          </w:tcPr>
          <w:p w14:paraId="2D877E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Выбор услуги, клиники, врача, слота; подтверждение</w:t>
            </w:r>
          </w:p>
        </w:tc>
        <w:tc>
          <w:tcPr>
            <w:tcW w:w="3402" w:type="dxa"/>
            <w:vAlign w:val="center"/>
          </w:tcPr>
          <w:p w14:paraId="42B5EB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73565294">
        <w:tc>
          <w:tcPr>
            <w:tcW w:w="2551" w:type="dxa"/>
            <w:vAlign w:val="center"/>
          </w:tcPr>
          <w:p w14:paraId="1CDF53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Напоминания</w:t>
            </w:r>
          </w:p>
        </w:tc>
        <w:tc>
          <w:tcPr>
            <w:tcW w:w="3402" w:type="dxa"/>
            <w:vAlign w:val="center"/>
          </w:tcPr>
          <w:p w14:paraId="0AAD5E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SMS и push за 24 и 2 часа до визита</w:t>
            </w:r>
          </w:p>
        </w:tc>
        <w:tc>
          <w:tcPr>
            <w:tcW w:w="3402" w:type="dxa"/>
            <w:vAlign w:val="center"/>
          </w:tcPr>
          <w:p w14:paraId="45786F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Умное планирование серий напоминаний</w:t>
            </w:r>
          </w:p>
        </w:tc>
      </w:tr>
      <w:tr w14:paraId="66C4CB26">
        <w:tc>
          <w:tcPr>
            <w:tcW w:w="2551" w:type="dxa"/>
            <w:vAlign w:val="center"/>
          </w:tcPr>
          <w:p w14:paraId="523CD9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Профиль</w:t>
            </w:r>
          </w:p>
        </w:tc>
        <w:tc>
          <w:tcPr>
            <w:tcW w:w="3402" w:type="dxa"/>
            <w:vAlign w:val="center"/>
          </w:tcPr>
          <w:p w14:paraId="007983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Личные данные, профиль ребёнка, история визитов, гарантии</w:t>
            </w:r>
          </w:p>
        </w:tc>
        <w:tc>
          <w:tcPr>
            <w:tcW w:w="3402" w:type="dxa"/>
            <w:vAlign w:val="center"/>
          </w:tcPr>
          <w:p w14:paraId="7486C8E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План лечения, карта зубов FDI</w:t>
            </w:r>
          </w:p>
        </w:tc>
      </w:tr>
      <w:tr w14:paraId="4F33974A">
        <w:tc>
          <w:tcPr>
            <w:tcW w:w="2551" w:type="dxa"/>
            <w:vAlign w:val="center"/>
          </w:tcPr>
          <w:p w14:paraId="62C21B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Документы и вычет</w:t>
            </w:r>
          </w:p>
        </w:tc>
        <w:tc>
          <w:tcPr>
            <w:tcW w:w="3402" w:type="dxa"/>
            <w:vAlign w:val="center"/>
          </w:tcPr>
          <w:p w14:paraId="1A6223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на справку по ст. 219 НК РФ, выдача через ЭДО</w:t>
            </w:r>
          </w:p>
        </w:tc>
        <w:tc>
          <w:tcPr>
            <w:tcW w:w="3402" w:type="dxa"/>
            <w:vAlign w:val="center"/>
          </w:tcPr>
          <w:p w14:paraId="62FC9A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Автоматический сбор чеков за период</w:t>
            </w:r>
          </w:p>
        </w:tc>
      </w:tr>
      <w:tr w14:paraId="77C3D290">
        <w:tc>
          <w:tcPr>
            <w:tcW w:w="2551" w:type="dxa"/>
            <w:vAlign w:val="center"/>
          </w:tcPr>
          <w:p w14:paraId="149493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Оплата</w:t>
            </w:r>
          </w:p>
        </w:tc>
        <w:tc>
          <w:tcPr>
            <w:tcW w:w="3402" w:type="dxa"/>
            <w:vAlign w:val="center"/>
          </w:tcPr>
          <w:p w14:paraId="6F48C9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Редирект на ЮKassa и СБП</w:t>
            </w:r>
          </w:p>
        </w:tc>
        <w:tc>
          <w:tcPr>
            <w:tcW w:w="3402" w:type="dxa"/>
            <w:vAlign w:val="center"/>
          </w:tcPr>
          <w:p w14:paraId="5078EC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Внутренний кошелёк, рассрочка</w:t>
            </w:r>
          </w:p>
        </w:tc>
      </w:tr>
      <w:tr w14:paraId="21DE2A85">
        <w:tc>
          <w:tcPr>
            <w:tcW w:w="2551" w:type="dxa"/>
            <w:vAlign w:val="center"/>
          </w:tcPr>
          <w:p w14:paraId="47BB1E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Коммуникация с клиникой</w:t>
            </w:r>
          </w:p>
        </w:tc>
        <w:tc>
          <w:tcPr>
            <w:tcW w:w="3402" w:type="dxa"/>
            <w:vAlign w:val="center"/>
          </w:tcPr>
          <w:p w14:paraId="211B63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Уведомления о статусе записи</w:t>
            </w:r>
          </w:p>
        </w:tc>
        <w:tc>
          <w:tcPr>
            <w:tcW w:w="3402" w:type="dxa"/>
            <w:vAlign w:val="center"/>
          </w:tcPr>
          <w:p w14:paraId="458019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Онлайн-чат, телемедицинский звонок</w:t>
            </w:r>
          </w:p>
        </w:tc>
      </w:tr>
      <w:tr w14:paraId="6E0BC9C5">
        <w:tc>
          <w:tcPr>
            <w:tcW w:w="2551" w:type="dxa"/>
            <w:vAlign w:val="center"/>
          </w:tcPr>
          <w:p w14:paraId="45F85A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Административный контур</w:t>
            </w:r>
          </w:p>
        </w:tc>
        <w:tc>
          <w:tcPr>
            <w:tcW w:w="3402" w:type="dxa"/>
            <w:vAlign w:val="center"/>
          </w:tcPr>
          <w:p w14:paraId="22C871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Просмотр записей сотрудником клиники</w:t>
            </w:r>
          </w:p>
        </w:tc>
        <w:tc>
          <w:tcPr>
            <w:tcW w:w="3402" w:type="dxa"/>
            <w:vAlign w:val="center"/>
          </w:tcPr>
          <w:p w14:paraId="61ADB4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Полный админ-кабинет с аналитикой</w:t>
            </w:r>
          </w:p>
        </w:tc>
      </w:tr>
    </w:tbl>
    <w:p w14:paraId="4ECFB21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Концепт продукта закрывает три подтверждённые проблемы пациента и клиники: ожидание телефонной записи, разрозненность документов и сложность оформления налогового вычета. Границы MVP заданы минимально необходимым набором функций для запуска пилотного проекта в одной клинике сети и формируют основу для описания требований в следующем подразделе.</w:t>
      </w:r>
    </w:p>
    <w:p w14:paraId="029714F5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3.2 Функциональные и нефункциональные требования</w:t>
      </w:r>
    </w:p>
    <w:p w14:paraId="2CAA430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Требования к продукту формализованы с опорой на структуру технического задания по ГОСТ 34.602-89 [2] и модель качества программного обеспечения по ISO/IEC 25010:2011 [3]. Функциональные требования (далее — FR) описывают поведение системы, наблюдаемое пациентом и администратором клиники; нефункциональные требования (далее — NFR) задают характеристики качества: производительность, безопасность, доступность, совместимость.</w:t>
      </w:r>
    </w:p>
    <w:p w14:paraId="7EA795F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Требования доступности интерфейса для пользователей с ограничениями жизнедеятельности установлены по ГОСТ Р 52872-2019 [4], включая минимальный контраст и возможность увеличения шрифта. Приведённые формулировки образуют техническую рамку разработки MVP и используются для приёмки результатов каждой итерации.</w:t>
      </w:r>
    </w:p>
    <w:p w14:paraId="3883982D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3.2 – Функциональные требования к MVP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8107"/>
      </w:tblGrid>
      <w:tr w14:paraId="12349334">
        <w:tc>
          <w:tcPr>
            <w:tcW w:w="1247" w:type="dxa"/>
            <w:vAlign w:val="center"/>
          </w:tcPr>
          <w:p w14:paraId="578951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w="8107" w:type="dxa"/>
            <w:vAlign w:val="center"/>
          </w:tcPr>
          <w:p w14:paraId="37F410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Формулировка требования</w:t>
            </w:r>
          </w:p>
        </w:tc>
      </w:tr>
      <w:tr w14:paraId="63B06A2C">
        <w:tc>
          <w:tcPr>
            <w:tcW w:w="1247" w:type="dxa"/>
            <w:vAlign w:val="center"/>
          </w:tcPr>
          <w:p w14:paraId="244645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FR-01</w:t>
            </w:r>
          </w:p>
        </w:tc>
        <w:tc>
          <w:tcPr>
            <w:tcW w:w="8107" w:type="dxa"/>
            <w:vAlign w:val="center"/>
          </w:tcPr>
          <w:p w14:paraId="5E24E1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позволять пациенту записаться на приём, выбрав услугу, клинику, врача, дату и время.</w:t>
            </w:r>
          </w:p>
        </w:tc>
      </w:tr>
      <w:tr w14:paraId="6C5E53C7">
        <w:tc>
          <w:tcPr>
            <w:tcW w:w="1247" w:type="dxa"/>
            <w:vAlign w:val="center"/>
          </w:tcPr>
          <w:p w14:paraId="0EDBC4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FR-02</w:t>
            </w:r>
          </w:p>
        </w:tc>
        <w:tc>
          <w:tcPr>
            <w:tcW w:w="8107" w:type="dxa"/>
            <w:vAlign w:val="center"/>
          </w:tcPr>
          <w:p w14:paraId="49E34C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отправлять SMS- и push-напоминания за 24 часа и за 2 часа до визита.</w:t>
            </w:r>
          </w:p>
        </w:tc>
      </w:tr>
      <w:tr w14:paraId="691103C9">
        <w:tc>
          <w:tcPr>
            <w:tcW w:w="1247" w:type="dxa"/>
            <w:vAlign w:val="center"/>
          </w:tcPr>
          <w:p w14:paraId="786819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FR-03</w:t>
            </w:r>
          </w:p>
        </w:tc>
        <w:tc>
          <w:tcPr>
            <w:tcW w:w="8107" w:type="dxa"/>
            <w:vAlign w:val="center"/>
          </w:tcPr>
          <w:p w14:paraId="7C114D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отображать единый профиль пациента во всех филиалах сети.</w:t>
            </w:r>
          </w:p>
        </w:tc>
      </w:tr>
      <w:tr w14:paraId="4A8EC9BB">
        <w:tc>
          <w:tcPr>
            <w:tcW w:w="1247" w:type="dxa"/>
            <w:vAlign w:val="center"/>
          </w:tcPr>
          <w:p w14:paraId="58B617E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FR-04</w:t>
            </w:r>
          </w:p>
        </w:tc>
        <w:tc>
          <w:tcPr>
            <w:tcW w:w="8107" w:type="dxa"/>
            <w:vAlign w:val="center"/>
          </w:tcPr>
          <w:p w14:paraId="50305E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сохранять историю визитов с привязкой к врачу и клинике.</w:t>
            </w:r>
          </w:p>
        </w:tc>
      </w:tr>
      <w:tr w14:paraId="14E51D1E">
        <w:tc>
          <w:tcPr>
            <w:tcW w:w="1247" w:type="dxa"/>
            <w:vAlign w:val="center"/>
          </w:tcPr>
          <w:p w14:paraId="7AD0A3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FR-05</w:t>
            </w:r>
          </w:p>
        </w:tc>
        <w:tc>
          <w:tcPr>
            <w:tcW w:w="8107" w:type="dxa"/>
            <w:vAlign w:val="center"/>
          </w:tcPr>
          <w:p w14:paraId="135AA6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позволять оформить заявку на справку для социального налогового вычета.</w:t>
            </w:r>
          </w:p>
        </w:tc>
      </w:tr>
      <w:tr w14:paraId="4A5BB994">
        <w:tc>
          <w:tcPr>
            <w:tcW w:w="1247" w:type="dxa"/>
            <w:vAlign w:val="center"/>
          </w:tcPr>
          <w:p w14:paraId="4E0B73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FR-06</w:t>
            </w:r>
          </w:p>
        </w:tc>
        <w:tc>
          <w:tcPr>
            <w:tcW w:w="8107" w:type="dxa"/>
            <w:vAlign w:val="center"/>
          </w:tcPr>
          <w:p w14:paraId="0854A1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поддерживать оплату визита через ЮKassa и Систему быстрых платежей.</w:t>
            </w:r>
          </w:p>
        </w:tc>
      </w:tr>
      <w:tr w14:paraId="26110A68">
        <w:tc>
          <w:tcPr>
            <w:tcW w:w="1247" w:type="dxa"/>
            <w:vAlign w:val="center"/>
          </w:tcPr>
          <w:p w14:paraId="67802B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FR-07</w:t>
            </w:r>
          </w:p>
        </w:tc>
        <w:tc>
          <w:tcPr>
            <w:tcW w:w="8107" w:type="dxa"/>
            <w:vAlign w:val="center"/>
          </w:tcPr>
          <w:p w14:paraId="7A1D28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обеспечивать поиск клиник, врачей и услуг с фильтрацией по специализации, цене и расписанию.</w:t>
            </w:r>
          </w:p>
        </w:tc>
      </w:tr>
      <w:tr w14:paraId="6A33B6EB">
        <w:tc>
          <w:tcPr>
            <w:tcW w:w="1247" w:type="dxa"/>
            <w:vAlign w:val="center"/>
          </w:tcPr>
          <w:p w14:paraId="18C0B5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FR-08</w:t>
            </w:r>
          </w:p>
        </w:tc>
        <w:tc>
          <w:tcPr>
            <w:tcW w:w="8107" w:type="dxa"/>
            <w:vAlign w:val="center"/>
          </w:tcPr>
          <w:p w14:paraId="19DF1F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отображать сроки гарантии на выполненные работы.</w:t>
            </w:r>
          </w:p>
        </w:tc>
      </w:tr>
      <w:tr w14:paraId="36E44F0D">
        <w:tc>
          <w:tcPr>
            <w:tcW w:w="1247" w:type="dxa"/>
            <w:vAlign w:val="center"/>
          </w:tcPr>
          <w:p w14:paraId="1C7019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FR-09</w:t>
            </w:r>
          </w:p>
        </w:tc>
        <w:tc>
          <w:tcPr>
            <w:tcW w:w="8107" w:type="dxa"/>
            <w:vAlign w:val="center"/>
          </w:tcPr>
          <w:p w14:paraId="7B84AE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позволять вести профиль ребёнка в рамках основного аккаунта.</w:t>
            </w:r>
          </w:p>
        </w:tc>
      </w:tr>
      <w:tr w14:paraId="17C1CF5A">
        <w:tc>
          <w:tcPr>
            <w:tcW w:w="1247" w:type="dxa"/>
            <w:vAlign w:val="center"/>
          </w:tcPr>
          <w:p w14:paraId="42DC2A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FR-10</w:t>
            </w:r>
          </w:p>
        </w:tc>
        <w:tc>
          <w:tcPr>
            <w:tcW w:w="8107" w:type="dxa"/>
            <w:vAlign w:val="center"/>
          </w:tcPr>
          <w:p w14:paraId="54F3D6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позволять отменить запись не позднее чем за 2 часа до визита.</w:t>
            </w:r>
          </w:p>
        </w:tc>
      </w:tr>
      <w:tr w14:paraId="205F4CBB">
        <w:tc>
          <w:tcPr>
            <w:tcW w:w="1247" w:type="dxa"/>
            <w:vAlign w:val="center"/>
          </w:tcPr>
          <w:p w14:paraId="4C5F7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FR-11</w:t>
            </w:r>
          </w:p>
        </w:tc>
        <w:tc>
          <w:tcPr>
            <w:tcW w:w="8107" w:type="dxa"/>
            <w:vAlign w:val="center"/>
          </w:tcPr>
          <w:p w14:paraId="71FD3B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предлагать доступные слоты других врачей аналогичного профиля при отмене.</w:t>
            </w:r>
          </w:p>
        </w:tc>
      </w:tr>
      <w:tr w14:paraId="4EBEEBFA">
        <w:tc>
          <w:tcPr>
            <w:tcW w:w="1247" w:type="dxa"/>
            <w:vAlign w:val="center"/>
          </w:tcPr>
          <w:p w14:paraId="4FADBA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FR-12</w:t>
            </w:r>
          </w:p>
        </w:tc>
        <w:tc>
          <w:tcPr>
            <w:tcW w:w="8107" w:type="dxa"/>
            <w:vAlign w:val="center"/>
          </w:tcPr>
          <w:p w14:paraId="5540EA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должна использовать SMS-OTP для первичной аутентификации пациента.</w:t>
            </w:r>
          </w:p>
        </w:tc>
      </w:tr>
    </w:tbl>
    <w:p w14:paraId="5BFEA167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3.3 – Нефункциональные требования к MVP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2"/>
        <w:gridCol w:w="2357"/>
        <w:gridCol w:w="4512"/>
      </w:tblGrid>
      <w:tr w14:paraId="74EFD3B3">
        <w:tc>
          <w:tcPr>
            <w:tcW w:w="2041" w:type="dxa"/>
            <w:vAlign w:val="center"/>
          </w:tcPr>
          <w:p w14:paraId="2DDDD2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w="2154" w:type="dxa"/>
            <w:vAlign w:val="center"/>
          </w:tcPr>
          <w:p w14:paraId="46FEED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Метрика</w:t>
            </w:r>
          </w:p>
        </w:tc>
        <w:tc>
          <w:tcPr>
            <w:tcW w:w="5159" w:type="dxa"/>
            <w:vAlign w:val="center"/>
          </w:tcPr>
          <w:p w14:paraId="6B4EBA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Требование</w:t>
            </w:r>
          </w:p>
        </w:tc>
      </w:tr>
      <w:tr w14:paraId="728D63D6">
        <w:tc>
          <w:tcPr>
            <w:tcW w:w="2041" w:type="dxa"/>
            <w:vAlign w:val="center"/>
          </w:tcPr>
          <w:p w14:paraId="294F87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Производительность</w:t>
            </w:r>
          </w:p>
        </w:tc>
        <w:tc>
          <w:tcPr>
            <w:tcW w:w="2154" w:type="dxa"/>
            <w:vAlign w:val="center"/>
          </w:tcPr>
          <w:p w14:paraId="04FF66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Время отклика API</w:t>
            </w:r>
          </w:p>
        </w:tc>
        <w:tc>
          <w:tcPr>
            <w:tcW w:w="5159" w:type="dxa"/>
            <w:vAlign w:val="center"/>
          </w:tcPr>
          <w:p w14:paraId="145049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более 500 мс для 95 % запросов при нагрузке до 100 RPS</w:t>
            </w:r>
          </w:p>
        </w:tc>
      </w:tr>
      <w:tr w14:paraId="56DD134C">
        <w:tc>
          <w:tcPr>
            <w:tcW w:w="2041" w:type="dxa"/>
            <w:vAlign w:val="center"/>
          </w:tcPr>
          <w:p w14:paraId="7A68E8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Безопасность</w:t>
            </w:r>
          </w:p>
        </w:tc>
        <w:tc>
          <w:tcPr>
            <w:tcW w:w="2154" w:type="dxa"/>
            <w:vAlign w:val="center"/>
          </w:tcPr>
          <w:p w14:paraId="446841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Защита персональных данных</w:t>
            </w:r>
          </w:p>
        </w:tc>
        <w:tc>
          <w:tcPr>
            <w:tcW w:w="5159" w:type="dxa"/>
            <w:vAlign w:val="center"/>
          </w:tcPr>
          <w:p w14:paraId="253257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Хранение по уровню защищённости УЗ-3, шифрование pgcrypto, TLS 1.2+</w:t>
            </w:r>
          </w:p>
        </w:tc>
      </w:tr>
      <w:tr w14:paraId="654C5A4C">
        <w:tc>
          <w:tcPr>
            <w:tcW w:w="2041" w:type="dxa"/>
            <w:vAlign w:val="center"/>
          </w:tcPr>
          <w:p w14:paraId="5A33ED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Доступность сервиса</w:t>
            </w:r>
          </w:p>
        </w:tc>
        <w:tc>
          <w:tcPr>
            <w:tcW w:w="2154" w:type="dxa"/>
            <w:vAlign w:val="center"/>
          </w:tcPr>
          <w:p w14:paraId="073B23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Целевой SLO</w:t>
            </w:r>
          </w:p>
        </w:tc>
        <w:tc>
          <w:tcPr>
            <w:tcW w:w="5159" w:type="dxa"/>
            <w:vAlign w:val="center"/>
          </w:tcPr>
          <w:p w14:paraId="14C868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99 % в режиме 24/7, плановое окно обслуживания не более 4 часов в месяц</w:t>
            </w:r>
          </w:p>
        </w:tc>
      </w:tr>
      <w:tr w14:paraId="196D37BA">
        <w:tc>
          <w:tcPr>
            <w:tcW w:w="2041" w:type="dxa"/>
            <w:vAlign w:val="center"/>
          </w:tcPr>
          <w:p w14:paraId="79EF1B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Локализация</w:t>
            </w:r>
          </w:p>
        </w:tc>
        <w:tc>
          <w:tcPr>
            <w:tcW w:w="2154" w:type="dxa"/>
            <w:vAlign w:val="center"/>
          </w:tcPr>
          <w:p w14:paraId="7AFF3FD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Язык и кодировка</w:t>
            </w:r>
          </w:p>
        </w:tc>
        <w:tc>
          <w:tcPr>
            <w:tcW w:w="5159" w:type="dxa"/>
            <w:vAlign w:val="center"/>
          </w:tcPr>
          <w:p w14:paraId="48AB17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Русский язык интерфейса, UTF-8, часовой пояс клиники</w:t>
            </w:r>
          </w:p>
        </w:tc>
      </w:tr>
      <w:tr w14:paraId="2AF48A04">
        <w:tc>
          <w:tcPr>
            <w:tcW w:w="2041" w:type="dxa"/>
            <w:vAlign w:val="center"/>
          </w:tcPr>
          <w:p w14:paraId="30807A5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Масштабируемость</w:t>
            </w:r>
          </w:p>
        </w:tc>
        <w:tc>
          <w:tcPr>
            <w:tcW w:w="2154" w:type="dxa"/>
            <w:vAlign w:val="center"/>
          </w:tcPr>
          <w:p w14:paraId="49A88B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Горизонтальное масштабирование</w:t>
            </w:r>
          </w:p>
        </w:tc>
        <w:tc>
          <w:tcPr>
            <w:tcW w:w="5159" w:type="dxa"/>
            <w:vAlign w:val="center"/>
          </w:tcPr>
          <w:p w14:paraId="52062C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Добавление инстансов сервисов за балансировщиком без простоя</w:t>
            </w:r>
          </w:p>
        </w:tc>
      </w:tr>
      <w:tr w14:paraId="00C10215">
        <w:tc>
          <w:tcPr>
            <w:tcW w:w="2041" w:type="dxa"/>
            <w:vAlign w:val="center"/>
          </w:tcPr>
          <w:p w14:paraId="2A4469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Совместимость</w:t>
            </w:r>
          </w:p>
        </w:tc>
        <w:tc>
          <w:tcPr>
            <w:tcW w:w="2154" w:type="dxa"/>
            <w:vAlign w:val="center"/>
          </w:tcPr>
          <w:p w14:paraId="1A5C10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Поддерживаемые платформы</w:t>
            </w:r>
          </w:p>
        </w:tc>
        <w:tc>
          <w:tcPr>
            <w:tcW w:w="5159" w:type="dxa"/>
            <w:vAlign w:val="center"/>
          </w:tcPr>
          <w:p w14:paraId="19F6DB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iOS 14+, Android 10+, актуальные версии Chrome, Safari, Firefox</w:t>
            </w:r>
          </w:p>
        </w:tc>
      </w:tr>
      <w:tr w14:paraId="60AC6C21">
        <w:tc>
          <w:tcPr>
            <w:tcW w:w="2041" w:type="dxa"/>
            <w:vAlign w:val="center"/>
          </w:tcPr>
          <w:p w14:paraId="7BAF5E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Доступность интерфейса</w:t>
            </w:r>
          </w:p>
        </w:tc>
        <w:tc>
          <w:tcPr>
            <w:tcW w:w="2154" w:type="dxa"/>
            <w:vAlign w:val="center"/>
          </w:tcPr>
          <w:p w14:paraId="73D8C1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Уровень WCAG</w:t>
            </w:r>
          </w:p>
        </w:tc>
        <w:tc>
          <w:tcPr>
            <w:tcW w:w="5159" w:type="dxa"/>
            <w:vAlign w:val="center"/>
          </w:tcPr>
          <w:p w14:paraId="3D0F0C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Контраст не ниже AA, поддержка увеличенного шрифта (ГОСТ Р 52872-2019)</w:t>
            </w:r>
          </w:p>
        </w:tc>
      </w:tr>
    </w:tbl>
    <w:p w14:paraId="11AF320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Сформированы 12 функциональных и 7 нефункциональных требований. Функциональные требования закрывают пациентские сценарии записи, профиля и налогового вычета; нефункциональные — задают характеристики, проверяемые нагрузочным и приёмочным тестированием перед запуском пилота.</w:t>
      </w:r>
    </w:p>
    <w:p w14:paraId="659D72B6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3.3 Роли пользователей, пользовательские истории и варианты использования</w:t>
      </w:r>
    </w:p>
    <w:p w14:paraId="4BEC65E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уточнения границ ответственности продукта роли определены методом выделения заинтересованных сторон, участвующих в сценариях записи, оказания услуги и документального сопровождения визита. Для каждой роли зафиксирован перечень ключевых сценариев, реализуемых в MVP. Поведение продукта раскрыто через четыре пользовательские истории и три варианта использования, покрывающие основные ветки маршрута пациента.</w:t>
      </w:r>
    </w:p>
    <w:p w14:paraId="0E2ACFCB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3.4 – Роли пользователей приложения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685"/>
        <w:gridCol w:w="3402"/>
      </w:tblGrid>
      <w:tr w14:paraId="68345777">
        <w:tc>
          <w:tcPr>
            <w:tcW w:w="2268" w:type="dxa"/>
            <w:vAlign w:val="center"/>
          </w:tcPr>
          <w:p w14:paraId="42B7AA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Роль</w:t>
            </w:r>
          </w:p>
        </w:tc>
        <w:tc>
          <w:tcPr>
            <w:tcW w:w="3685" w:type="dxa"/>
            <w:vAlign w:val="center"/>
          </w:tcPr>
          <w:p w14:paraId="5B77EF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3402" w:type="dxa"/>
            <w:vAlign w:val="center"/>
          </w:tcPr>
          <w:p w14:paraId="291B0F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Ключевые сценарии</w:t>
            </w:r>
          </w:p>
        </w:tc>
      </w:tr>
      <w:tr w14:paraId="4B17E8EE">
        <w:tc>
          <w:tcPr>
            <w:tcW w:w="2268" w:type="dxa"/>
            <w:vAlign w:val="center"/>
          </w:tcPr>
          <w:p w14:paraId="7F10E7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</w:t>
            </w:r>
          </w:p>
        </w:tc>
        <w:tc>
          <w:tcPr>
            <w:tcW w:w="3685" w:type="dxa"/>
            <w:vAlign w:val="center"/>
          </w:tcPr>
          <w:p w14:paraId="6FAD51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Совершеннолетний пользователь, самостоятельно записывается на приём, ведёт профиль (в том числе профиль ребёнка), просматривает историю визитов и оформляет налоговый вычет.</w:t>
            </w:r>
          </w:p>
        </w:tc>
        <w:tc>
          <w:tcPr>
            <w:tcW w:w="3402" w:type="dxa"/>
            <w:vAlign w:val="center"/>
          </w:tcPr>
          <w:p w14:paraId="004D03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Запись на приём; управление профилем; просмотр истории и гарантий; заявка на налоговый вычет.</w:t>
            </w:r>
          </w:p>
        </w:tc>
      </w:tr>
      <w:tr w14:paraId="43D949EA">
        <w:tc>
          <w:tcPr>
            <w:tcW w:w="2268" w:type="dxa"/>
            <w:vAlign w:val="center"/>
          </w:tcPr>
          <w:p w14:paraId="4A1068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Администратор клиники</w:t>
            </w:r>
          </w:p>
        </w:tc>
        <w:tc>
          <w:tcPr>
            <w:tcW w:w="3685" w:type="dxa"/>
            <w:vAlign w:val="center"/>
          </w:tcPr>
          <w:p w14:paraId="2D7B15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Сотрудник регистратуры филиала, принимает записи пациентов в интерфейсе МИС, подтверждает приход и перенос, формирует справки.</w:t>
            </w:r>
          </w:p>
        </w:tc>
        <w:tc>
          <w:tcPr>
            <w:tcW w:w="3402" w:type="dxa"/>
            <w:vAlign w:val="center"/>
          </w:tcPr>
          <w:p w14:paraId="475CBC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Подтверждение записи; перенос и отмена визита; выдача справки по ЭДО.</w:t>
            </w:r>
          </w:p>
        </w:tc>
      </w:tr>
      <w:tr w14:paraId="178EB347">
        <w:tc>
          <w:tcPr>
            <w:tcW w:w="2268" w:type="dxa"/>
            <w:vAlign w:val="center"/>
          </w:tcPr>
          <w:p w14:paraId="00E9E2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Супер-администратор сети</w:t>
            </w:r>
          </w:p>
        </w:tc>
        <w:tc>
          <w:tcPr>
            <w:tcW w:w="3685" w:type="dxa"/>
            <w:vAlign w:val="center"/>
          </w:tcPr>
          <w:p w14:paraId="4355583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Сотрудник управляющей компании сети клиник, ведёт каталог услуг, расписания, гарантийную политику и права доступа сотрудников.</w:t>
            </w:r>
          </w:p>
        </w:tc>
        <w:tc>
          <w:tcPr>
            <w:tcW w:w="3402" w:type="dxa"/>
            <w:vAlign w:val="center"/>
          </w:tcPr>
          <w:p w14:paraId="21E43B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Ведение каталога; управление филиалами и правами; отчётность по записям и no-show.</w:t>
            </w:r>
          </w:p>
        </w:tc>
      </w:tr>
    </w:tbl>
    <w:p w14:paraId="3FB72635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3.5 – Пользовательская история US-1 «Запись на приём без звонка»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0E76B1E3">
        <w:tc>
          <w:tcPr>
            <w:tcW w:w="2551" w:type="dxa"/>
            <w:vAlign w:val="center"/>
          </w:tcPr>
          <w:p w14:paraId="12E08B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084085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2CCCAECF">
        <w:tc>
          <w:tcPr>
            <w:tcW w:w="2551" w:type="dxa"/>
            <w:vAlign w:val="center"/>
          </w:tcPr>
          <w:p w14:paraId="435037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</w:t>
            </w:r>
          </w:p>
        </w:tc>
        <w:tc>
          <w:tcPr>
            <w:tcW w:w="6803" w:type="dxa"/>
            <w:vAlign w:val="center"/>
          </w:tcPr>
          <w:p w14:paraId="710327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Запись на приём без звонка</w:t>
            </w:r>
          </w:p>
        </w:tc>
      </w:tr>
      <w:tr w14:paraId="6CEF425E">
        <w:tc>
          <w:tcPr>
            <w:tcW w:w="2551" w:type="dxa"/>
            <w:vAlign w:val="center"/>
          </w:tcPr>
          <w:p w14:paraId="64F691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Описание пользовательской истории</w:t>
            </w:r>
          </w:p>
        </w:tc>
        <w:tc>
          <w:tcPr>
            <w:tcW w:w="6803" w:type="dxa"/>
            <w:vAlign w:val="center"/>
          </w:tcPr>
          <w:p w14:paraId="565560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Как пациент сети стоматологических клиник,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 хочу записаться на приём к выбранному врачу без телефонного звонка,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чтобы не ждать ответа регистратора и выбрать удобное время самостоятельно.</w:t>
            </w:r>
          </w:p>
        </w:tc>
      </w:tr>
      <w:tr w14:paraId="41B2F38D">
        <w:tc>
          <w:tcPr>
            <w:tcW w:w="2551" w:type="dxa"/>
            <w:vAlign w:val="center"/>
          </w:tcPr>
          <w:p w14:paraId="5ABB07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Критерии приёмки</w:t>
            </w:r>
          </w:p>
        </w:tc>
        <w:tc>
          <w:tcPr>
            <w:tcW w:w="6803" w:type="dxa"/>
            <w:vAlign w:val="center"/>
          </w:tcPr>
          <w:p w14:paraId="3162FC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Маршрут записи занимает не более 90 секунд от открытия приложения до подтверждения.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Пациент видит доступные слоты выбранного врача на 14 дней вперёд.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После подтверждения запись появляется в разделе «Ближайшая запись» на главном экране.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SMS-подтверждение приходит не позднее 30 секунд после подтверждения записи.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Запись отображается во всех филиалах сети, где ведёт приём выбранный врач.</w:t>
            </w:r>
          </w:p>
        </w:tc>
      </w:tr>
    </w:tbl>
    <w:p w14:paraId="4771238F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3.6 – Пользовательская история US-2 «Единый профиль с документами и гарантиями»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221ACAAC">
        <w:tc>
          <w:tcPr>
            <w:tcW w:w="2551" w:type="dxa"/>
            <w:vAlign w:val="center"/>
          </w:tcPr>
          <w:p w14:paraId="74BBED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0715E4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55D07B94">
        <w:tc>
          <w:tcPr>
            <w:tcW w:w="2551" w:type="dxa"/>
            <w:vAlign w:val="center"/>
          </w:tcPr>
          <w:p w14:paraId="6F9865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</w:t>
            </w:r>
          </w:p>
        </w:tc>
        <w:tc>
          <w:tcPr>
            <w:tcW w:w="6803" w:type="dxa"/>
            <w:vAlign w:val="center"/>
          </w:tcPr>
          <w:p w14:paraId="7A372D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Единый профиль с документами и гарантиями</w:t>
            </w:r>
          </w:p>
        </w:tc>
      </w:tr>
      <w:tr w14:paraId="52ADBB53">
        <w:tc>
          <w:tcPr>
            <w:tcW w:w="2551" w:type="dxa"/>
            <w:vAlign w:val="center"/>
          </w:tcPr>
          <w:p w14:paraId="27276D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Описание пользовательской истории</w:t>
            </w:r>
          </w:p>
        </w:tc>
        <w:tc>
          <w:tcPr>
            <w:tcW w:w="6803" w:type="dxa"/>
            <w:vAlign w:val="center"/>
          </w:tcPr>
          <w:p w14:paraId="539B1E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Как пациент сети,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 хочу иметь единый профиль с историей визитов, чеками и сроками гарантии,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чтобы не запрашивать документы в регистратуре и отслеживать действующие гарантии.</w:t>
            </w:r>
          </w:p>
        </w:tc>
      </w:tr>
      <w:tr w14:paraId="1E553954">
        <w:tc>
          <w:tcPr>
            <w:tcW w:w="2551" w:type="dxa"/>
            <w:vAlign w:val="center"/>
          </w:tcPr>
          <w:p w14:paraId="71FE52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Критерии приёмки</w:t>
            </w:r>
          </w:p>
        </w:tc>
        <w:tc>
          <w:tcPr>
            <w:tcW w:w="6803" w:type="dxa"/>
            <w:vAlign w:val="center"/>
          </w:tcPr>
          <w:p w14:paraId="37CBED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В разделе «История» отображаются все визиты пациента во всех филиалах сети.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Для каждого визита доступны заключение врача, перечень услуг и электронная копия чека.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Для услуг с гарантией отображается дата окончания действия гарантии.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Карточка визита открывается не дольше 1 секунды при стабильном соединении.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В профиль можно добавить ребёнка и вести его историю визитов в той же учётной записи.</w:t>
            </w:r>
          </w:p>
        </w:tc>
      </w:tr>
    </w:tbl>
    <w:p w14:paraId="360FBA8F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3.7 – Пользовательская история US-3 «Быстрый поиск по врачу, клинике или услуге»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23E674F7">
        <w:tc>
          <w:tcPr>
            <w:tcW w:w="2551" w:type="dxa"/>
            <w:vAlign w:val="center"/>
          </w:tcPr>
          <w:p w14:paraId="1697C2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30CB7F5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6F30449A">
        <w:tc>
          <w:tcPr>
            <w:tcW w:w="2551" w:type="dxa"/>
            <w:vAlign w:val="center"/>
          </w:tcPr>
          <w:p w14:paraId="059AFE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</w:t>
            </w:r>
          </w:p>
        </w:tc>
        <w:tc>
          <w:tcPr>
            <w:tcW w:w="6803" w:type="dxa"/>
            <w:vAlign w:val="center"/>
          </w:tcPr>
          <w:p w14:paraId="08D738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Быстрый поиск по врачу, клинике или услуге</w:t>
            </w:r>
          </w:p>
        </w:tc>
      </w:tr>
      <w:tr w14:paraId="1FBEF37D">
        <w:tc>
          <w:tcPr>
            <w:tcW w:w="2551" w:type="dxa"/>
            <w:vAlign w:val="center"/>
          </w:tcPr>
          <w:p w14:paraId="0E1F76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Описание пользовательской истории</w:t>
            </w:r>
          </w:p>
        </w:tc>
        <w:tc>
          <w:tcPr>
            <w:tcW w:w="6803" w:type="dxa"/>
            <w:vAlign w:val="center"/>
          </w:tcPr>
          <w:p w14:paraId="5B57A1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Как пациент, знающий желаемый тип услуги или конкретного врача,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 хочу найти подходящую клинику, врача и ближайший свободный слот по одному запросу,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чтобы не изучать расписание каждого филиала сети вручную.</w:t>
            </w:r>
          </w:p>
        </w:tc>
      </w:tr>
      <w:tr w14:paraId="3C52C6DF">
        <w:tc>
          <w:tcPr>
            <w:tcW w:w="2551" w:type="dxa"/>
            <w:vAlign w:val="center"/>
          </w:tcPr>
          <w:p w14:paraId="627B31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Критерии приёмки</w:t>
            </w:r>
          </w:p>
        </w:tc>
        <w:tc>
          <w:tcPr>
            <w:tcW w:w="6803" w:type="dxa"/>
            <w:vAlign w:val="center"/>
          </w:tcPr>
          <w:p w14:paraId="786A66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Поиск находит врачей, клиники и услуги по одной поисковой строке с автодополнением.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Результаты упорядочены по расстоянию до пациента и по ближайшему свободному слоту.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У каждого результата отображается ближайший свободный слот записи.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Фильтры по цене, специализации и рейтингу применяются без перезагрузки экрана.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Переход от результата поиска к оформлению записи занимает не более двух нажатий.</w:t>
            </w:r>
          </w:p>
        </w:tc>
      </w:tr>
    </w:tbl>
    <w:p w14:paraId="160D98A7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3.8 – Пользовательская история US-4 «Заявка на справку о налоговом вычете»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6C157F70">
        <w:tc>
          <w:tcPr>
            <w:tcW w:w="2551" w:type="dxa"/>
            <w:vAlign w:val="center"/>
          </w:tcPr>
          <w:p w14:paraId="39AF1A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0753DB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13714D00">
        <w:tc>
          <w:tcPr>
            <w:tcW w:w="2551" w:type="dxa"/>
            <w:vAlign w:val="center"/>
          </w:tcPr>
          <w:p w14:paraId="5EFAFB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</w:t>
            </w:r>
          </w:p>
        </w:tc>
        <w:tc>
          <w:tcPr>
            <w:tcW w:w="6803" w:type="dxa"/>
            <w:vAlign w:val="center"/>
          </w:tcPr>
          <w:p w14:paraId="551C7B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на справку о налоговом вычете</w:t>
            </w:r>
          </w:p>
        </w:tc>
      </w:tr>
      <w:tr w14:paraId="50531B31">
        <w:tc>
          <w:tcPr>
            <w:tcW w:w="2551" w:type="dxa"/>
            <w:vAlign w:val="center"/>
          </w:tcPr>
          <w:p w14:paraId="47362E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Описание пользовательской истории</w:t>
            </w:r>
          </w:p>
        </w:tc>
        <w:tc>
          <w:tcPr>
            <w:tcW w:w="6803" w:type="dxa"/>
            <w:vAlign w:val="center"/>
          </w:tcPr>
          <w:p w14:paraId="2C2FD6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Как пациент, оплативший стоматологические услуги за календарный год,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 хочу подать заявку на справку об оплате медицинских услуг, не посещая регистратуру,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чтобы приложить её к декларации 3-НДФЛ и получить налоговый вычет.</w:t>
            </w:r>
          </w:p>
        </w:tc>
      </w:tr>
      <w:tr w14:paraId="6E0B4538">
        <w:tc>
          <w:tcPr>
            <w:tcW w:w="2551" w:type="dxa"/>
            <w:vAlign w:val="center"/>
          </w:tcPr>
          <w:p w14:paraId="7F4130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Критерии приёмки</w:t>
            </w:r>
          </w:p>
        </w:tc>
        <w:tc>
          <w:tcPr>
            <w:tcW w:w="6803" w:type="dxa"/>
            <w:vAlign w:val="center"/>
          </w:tcPr>
          <w:p w14:paraId="2767FE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Пациент выбирает период, получателя (налогоплательщик или родственник) и указывает ИНН.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Приложение валидирует 12-значный ИНН до отправки заявки.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После отправки заявка отображается в разделе «Документы» со статусом обработки.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Справка направляется по электронному документообороту и доступна для скачивания в приложении.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Срок рассмотрения заявки не превышает 5 рабочих дней.</w:t>
            </w:r>
          </w:p>
        </w:tc>
      </w:tr>
    </w:tbl>
    <w:p w14:paraId="0B693FD6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3.9 – Вариант использования UC-1 «Оформление записи»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439E0352">
        <w:tc>
          <w:tcPr>
            <w:tcW w:w="2551" w:type="dxa"/>
            <w:vAlign w:val="center"/>
          </w:tcPr>
          <w:p w14:paraId="7BEB35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3838D5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1EF79A41">
        <w:tc>
          <w:tcPr>
            <w:tcW w:w="2551" w:type="dxa"/>
            <w:vAlign w:val="center"/>
          </w:tcPr>
          <w:p w14:paraId="6F2F54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Название</w:t>
            </w:r>
          </w:p>
        </w:tc>
        <w:tc>
          <w:tcPr>
            <w:tcW w:w="6803" w:type="dxa"/>
            <w:vAlign w:val="center"/>
          </w:tcPr>
          <w:p w14:paraId="1FA6EF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Оформление записи</w:t>
            </w:r>
          </w:p>
        </w:tc>
      </w:tr>
      <w:tr w14:paraId="029F275B">
        <w:tc>
          <w:tcPr>
            <w:tcW w:w="2551" w:type="dxa"/>
            <w:vAlign w:val="center"/>
          </w:tcPr>
          <w:p w14:paraId="70F6E5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Акторы</w:t>
            </w:r>
          </w:p>
        </w:tc>
        <w:tc>
          <w:tcPr>
            <w:tcW w:w="6803" w:type="dxa"/>
            <w:vAlign w:val="center"/>
          </w:tcPr>
          <w:p w14:paraId="63A66C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Пациент, система записи, МИС клиники</w:t>
            </w:r>
          </w:p>
        </w:tc>
      </w:tr>
      <w:tr w14:paraId="24D64C8B">
        <w:tc>
          <w:tcPr>
            <w:tcW w:w="2551" w:type="dxa"/>
            <w:vAlign w:val="center"/>
          </w:tcPr>
          <w:p w14:paraId="1E247C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Предусловия</w:t>
            </w:r>
          </w:p>
        </w:tc>
        <w:tc>
          <w:tcPr>
            <w:tcW w:w="6803" w:type="dxa"/>
            <w:vAlign w:val="center"/>
          </w:tcPr>
          <w:p w14:paraId="0219D4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авторизован в приложении по SMS-OTP. Каталог клиник, врачей и услуг загружен.</w:t>
            </w:r>
          </w:p>
        </w:tc>
      </w:tr>
      <w:tr w14:paraId="7B79341A">
        <w:tc>
          <w:tcPr>
            <w:tcW w:w="2551" w:type="dxa"/>
            <w:vAlign w:val="center"/>
          </w:tcPr>
          <w:p w14:paraId="7C32D5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Постусловие</w:t>
            </w:r>
          </w:p>
        </w:tc>
        <w:tc>
          <w:tcPr>
            <w:tcW w:w="6803" w:type="dxa"/>
            <w:vAlign w:val="center"/>
          </w:tcPr>
          <w:p w14:paraId="6643B8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 расписании врача появляется новая запись. Пациент получает SMS-подтверждение, запись отображается на главном экране.</w:t>
            </w:r>
          </w:p>
        </w:tc>
      </w:tr>
      <w:tr w14:paraId="4C5156FC">
        <w:tc>
          <w:tcPr>
            <w:tcW w:w="2551" w:type="dxa"/>
            <w:vAlign w:val="center"/>
          </w:tcPr>
          <w:p w14:paraId="789577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Триггер</w:t>
            </w:r>
          </w:p>
        </w:tc>
        <w:tc>
          <w:tcPr>
            <w:tcW w:w="6803" w:type="dxa"/>
            <w:vAlign w:val="center"/>
          </w:tcPr>
          <w:p w14:paraId="4BBFB8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нажимает «Записаться» на главном экране приложения.</w:t>
            </w:r>
          </w:p>
        </w:tc>
      </w:tr>
      <w:tr w14:paraId="2147FA59">
        <w:tc>
          <w:tcPr>
            <w:tcW w:w="2551" w:type="dxa"/>
            <w:vAlign w:val="center"/>
          </w:tcPr>
          <w:p w14:paraId="16AF7B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Нормальный сценарий</w:t>
            </w:r>
          </w:p>
        </w:tc>
        <w:tc>
          <w:tcPr>
            <w:tcW w:w="6803" w:type="dxa"/>
            <w:vAlign w:val="center"/>
          </w:tcPr>
          <w:p w14:paraId="4D25C9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Пациент выбирает услугу.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Приложение предлагает подходящие клиники и врачей.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Пациент выбирает врача и видит свободные слоты на 14 дней.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Пациент выбирает слот и подтверждает запись.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Система бронирует слот в МИС клиники и сохраняет запись в БД.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6. Пациенту приходит SMS-подтверждение; запись появляется на главном экране.</w:t>
            </w:r>
          </w:p>
        </w:tc>
      </w:tr>
      <w:tr w14:paraId="43472823">
        <w:tc>
          <w:tcPr>
            <w:tcW w:w="2551" w:type="dxa"/>
            <w:vAlign w:val="center"/>
          </w:tcPr>
          <w:p w14:paraId="2F7FFB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1</w:t>
            </w:r>
          </w:p>
        </w:tc>
        <w:tc>
          <w:tcPr>
            <w:tcW w:w="6803" w:type="dxa"/>
            <w:vAlign w:val="center"/>
          </w:tcPr>
          <w:p w14:paraId="6FF3BD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3а. Выбранный слот занят другим пациентом.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3а.1. Система блокирует подтверждение и предлагает ближайшие альтернативные слоты.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3а.2. Пациент выбирает другой слот и возвращается к шагу 4.</w:t>
            </w:r>
          </w:p>
        </w:tc>
      </w:tr>
      <w:tr w14:paraId="1E275CD8">
        <w:tc>
          <w:tcPr>
            <w:tcW w:w="2551" w:type="dxa"/>
            <w:vAlign w:val="center"/>
          </w:tcPr>
          <w:p w14:paraId="3CB7FD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2</w:t>
            </w:r>
          </w:p>
        </w:tc>
        <w:tc>
          <w:tcPr>
            <w:tcW w:w="6803" w:type="dxa"/>
            <w:vAlign w:val="center"/>
          </w:tcPr>
          <w:p w14:paraId="45281C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 МИС клиники недоступна.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5а.1. Система сохраняет запись в очереди и показывает пациенту статус «Подтверждается».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5а.2. После восстановления связи запись синхронизируется с МИС, пациенту приходит SMS-подтверждение.</w:t>
            </w:r>
          </w:p>
        </w:tc>
      </w:tr>
    </w:tbl>
    <w:p w14:paraId="79F0FF0F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3.10 – Вариант использования UC-2 «Поиск врача и просмотр окон записи»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14D5FBFC">
        <w:tc>
          <w:tcPr>
            <w:tcW w:w="2551" w:type="dxa"/>
            <w:vAlign w:val="center"/>
          </w:tcPr>
          <w:p w14:paraId="191CDD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69E34B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12B3C1C6">
        <w:tc>
          <w:tcPr>
            <w:tcW w:w="2551" w:type="dxa"/>
            <w:vAlign w:val="center"/>
          </w:tcPr>
          <w:p w14:paraId="6EC039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Название</w:t>
            </w:r>
          </w:p>
        </w:tc>
        <w:tc>
          <w:tcPr>
            <w:tcW w:w="6803" w:type="dxa"/>
            <w:vAlign w:val="center"/>
          </w:tcPr>
          <w:p w14:paraId="3BD63C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Поиск врача и просмотр окон записи</w:t>
            </w:r>
          </w:p>
        </w:tc>
      </w:tr>
      <w:tr w14:paraId="5EF94BD3">
        <w:tc>
          <w:tcPr>
            <w:tcW w:w="2551" w:type="dxa"/>
            <w:vAlign w:val="center"/>
          </w:tcPr>
          <w:p w14:paraId="6CCF26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Акторы</w:t>
            </w:r>
          </w:p>
        </w:tc>
        <w:tc>
          <w:tcPr>
            <w:tcW w:w="6803" w:type="dxa"/>
            <w:vAlign w:val="center"/>
          </w:tcPr>
          <w:p w14:paraId="45D92E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Пациент, поисковый сервис, сервис расписаний</w:t>
            </w:r>
          </w:p>
        </w:tc>
      </w:tr>
      <w:tr w14:paraId="32594957">
        <w:tc>
          <w:tcPr>
            <w:tcW w:w="2551" w:type="dxa"/>
            <w:vAlign w:val="center"/>
          </w:tcPr>
          <w:p w14:paraId="421095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Предусловия</w:t>
            </w:r>
          </w:p>
        </w:tc>
        <w:tc>
          <w:tcPr>
            <w:tcW w:w="6803" w:type="dxa"/>
            <w:vAlign w:val="center"/>
          </w:tcPr>
          <w:p w14:paraId="3A6335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авторизован. Приложение имеет доступ к интернету.</w:t>
            </w:r>
          </w:p>
        </w:tc>
      </w:tr>
      <w:tr w14:paraId="0D11A41C">
        <w:tc>
          <w:tcPr>
            <w:tcW w:w="2551" w:type="dxa"/>
            <w:vAlign w:val="center"/>
          </w:tcPr>
          <w:p w14:paraId="41B6BC5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Постусловие</w:t>
            </w:r>
          </w:p>
        </w:tc>
        <w:tc>
          <w:tcPr>
            <w:tcW w:w="6803" w:type="dxa"/>
            <w:vAlign w:val="center"/>
          </w:tcPr>
          <w:p w14:paraId="7380BF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 экране отображается список врачей с ближайшими свободными слотами; выбор врача ведёт к оформлению записи.</w:t>
            </w:r>
          </w:p>
        </w:tc>
      </w:tr>
      <w:tr w14:paraId="04C80DCF">
        <w:tc>
          <w:tcPr>
            <w:tcW w:w="2551" w:type="dxa"/>
            <w:vAlign w:val="center"/>
          </w:tcPr>
          <w:p w14:paraId="261CD9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Триггер</w:t>
            </w:r>
          </w:p>
        </w:tc>
        <w:tc>
          <w:tcPr>
            <w:tcW w:w="6803" w:type="dxa"/>
            <w:vAlign w:val="center"/>
          </w:tcPr>
          <w:p w14:paraId="7D942F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открывает поиск на главном экране и вводит имя врача или специализацию.</w:t>
            </w:r>
          </w:p>
        </w:tc>
      </w:tr>
      <w:tr w14:paraId="01959469">
        <w:tc>
          <w:tcPr>
            <w:tcW w:w="2551" w:type="dxa"/>
            <w:vAlign w:val="center"/>
          </w:tcPr>
          <w:p w14:paraId="3C5508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Нормальный сценарий</w:t>
            </w:r>
          </w:p>
        </w:tc>
        <w:tc>
          <w:tcPr>
            <w:tcW w:w="6803" w:type="dxa"/>
            <w:vAlign w:val="center"/>
          </w:tcPr>
          <w:p w14:paraId="71602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Пациент вводит запрос в поисковой строке.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Приложение показывает подсказки автодополнения.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Пациент выбирает нужный результат (врач, клиника, услуга).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Система отображает карточку врача с рейтингом, специализацией и ближайшим свободным слотом.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Пациент переходит к оформлению записи по варианту использования 1.</w:t>
            </w:r>
          </w:p>
        </w:tc>
      </w:tr>
      <w:tr w14:paraId="4C04AB17">
        <w:tc>
          <w:tcPr>
            <w:tcW w:w="2551" w:type="dxa"/>
            <w:vAlign w:val="center"/>
          </w:tcPr>
          <w:p w14:paraId="042170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1</w:t>
            </w:r>
          </w:p>
        </w:tc>
        <w:tc>
          <w:tcPr>
            <w:tcW w:w="6803" w:type="dxa"/>
            <w:vAlign w:val="center"/>
          </w:tcPr>
          <w:p w14:paraId="728ACF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1а. Пациент не уверен в точной специализации врача.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1а.1. Пациент открывает каталог услуг и выбирает категорию.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1а.2. Приложение отображает врачей соответствующей специализации с ближайшими слотами.</w:t>
            </w:r>
          </w:p>
        </w:tc>
      </w:tr>
      <w:tr w14:paraId="4D1924E3">
        <w:tc>
          <w:tcPr>
            <w:tcW w:w="2551" w:type="dxa"/>
            <w:vAlign w:val="center"/>
          </w:tcPr>
          <w:p w14:paraId="2B9FB1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2</w:t>
            </w:r>
          </w:p>
        </w:tc>
        <w:tc>
          <w:tcPr>
            <w:tcW w:w="6803" w:type="dxa"/>
            <w:vAlign w:val="center"/>
          </w:tcPr>
          <w:p w14:paraId="7605B5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4а. У выбранного врача нет свободных слотов на 14 дней.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4а.1. Система предлагает врачей с аналогичной специализацией в той же клинике.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4а.2. Пациент выбирает альтернативного врача и возвращается к шагу 4.</w:t>
            </w:r>
          </w:p>
        </w:tc>
      </w:tr>
    </w:tbl>
    <w:p w14:paraId="736014CB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3.11 – Вариант использования UC-3 «Оформление заявки на налоговый вычет»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203ED806">
        <w:tc>
          <w:tcPr>
            <w:tcW w:w="2551" w:type="dxa"/>
            <w:vAlign w:val="center"/>
          </w:tcPr>
          <w:p w14:paraId="00A52F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6803" w:type="dxa"/>
            <w:vAlign w:val="center"/>
          </w:tcPr>
          <w:p w14:paraId="42DC4E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Содержание</w:t>
            </w:r>
          </w:p>
        </w:tc>
      </w:tr>
      <w:tr w14:paraId="5E17ECFA">
        <w:tc>
          <w:tcPr>
            <w:tcW w:w="2551" w:type="dxa"/>
            <w:vAlign w:val="center"/>
          </w:tcPr>
          <w:p w14:paraId="3328C3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Название</w:t>
            </w:r>
          </w:p>
        </w:tc>
        <w:tc>
          <w:tcPr>
            <w:tcW w:w="6803" w:type="dxa"/>
            <w:vAlign w:val="center"/>
          </w:tcPr>
          <w:p w14:paraId="325B52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Оформление заявки на налоговый вычет</w:t>
            </w:r>
          </w:p>
        </w:tc>
      </w:tr>
      <w:tr w14:paraId="6D7E21DE">
        <w:tc>
          <w:tcPr>
            <w:tcW w:w="2551" w:type="dxa"/>
            <w:vAlign w:val="center"/>
          </w:tcPr>
          <w:p w14:paraId="291854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Акторы</w:t>
            </w:r>
          </w:p>
        </w:tc>
        <w:tc>
          <w:tcPr>
            <w:tcW w:w="6803" w:type="dxa"/>
            <w:vAlign w:val="center"/>
          </w:tcPr>
          <w:p w14:paraId="596BFB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Пациент, сервис документов, ЭДО клиники</w:t>
            </w:r>
          </w:p>
        </w:tc>
      </w:tr>
      <w:tr w14:paraId="0A1F237E">
        <w:tc>
          <w:tcPr>
            <w:tcW w:w="2551" w:type="dxa"/>
            <w:vAlign w:val="center"/>
          </w:tcPr>
          <w:p w14:paraId="7BF35F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Предусловия</w:t>
            </w:r>
          </w:p>
        </w:tc>
        <w:tc>
          <w:tcPr>
            <w:tcW w:w="6803" w:type="dxa"/>
            <w:vAlign w:val="center"/>
          </w:tcPr>
          <w:p w14:paraId="3A7971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авторизован. В учётной записи есть оплаченные визиты за выбранный период.</w:t>
            </w:r>
          </w:p>
        </w:tc>
      </w:tr>
      <w:tr w14:paraId="5D29091E">
        <w:tc>
          <w:tcPr>
            <w:tcW w:w="2551" w:type="dxa"/>
            <w:vAlign w:val="center"/>
          </w:tcPr>
          <w:p w14:paraId="24B22D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Постусловие</w:t>
            </w:r>
          </w:p>
        </w:tc>
        <w:tc>
          <w:tcPr>
            <w:tcW w:w="6803" w:type="dxa"/>
            <w:vAlign w:val="center"/>
          </w:tcPr>
          <w:p w14:paraId="403D1A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зарегистрирована, справка об оплате медицинских услуг по ст. 219 НК РФ направлена пациенту по ЭДО.</w:t>
            </w:r>
          </w:p>
        </w:tc>
      </w:tr>
      <w:tr w14:paraId="430A3017">
        <w:tc>
          <w:tcPr>
            <w:tcW w:w="2551" w:type="dxa"/>
            <w:vAlign w:val="center"/>
          </w:tcPr>
          <w:p w14:paraId="00F8B1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Триггер</w:t>
            </w:r>
          </w:p>
        </w:tc>
        <w:tc>
          <w:tcPr>
            <w:tcW w:w="6803" w:type="dxa"/>
            <w:vAlign w:val="center"/>
          </w:tcPr>
          <w:p w14:paraId="542EC7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 открывает раздел «Документы» и нажимает «Получить справку для налогового вычета».</w:t>
            </w:r>
          </w:p>
        </w:tc>
      </w:tr>
      <w:tr w14:paraId="14B2CA5C">
        <w:tc>
          <w:tcPr>
            <w:tcW w:w="2551" w:type="dxa"/>
            <w:vAlign w:val="center"/>
          </w:tcPr>
          <w:p w14:paraId="35B6036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Нормальный сценарий</w:t>
            </w:r>
          </w:p>
        </w:tc>
        <w:tc>
          <w:tcPr>
            <w:tcW w:w="6803" w:type="dxa"/>
            <w:vAlign w:val="center"/>
          </w:tcPr>
          <w:p w14:paraId="40D8507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1. Пациент выбирает налоговый период (год).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2. Пациент указывает получателя (налогоплательщик или родственник) и вводит ИНН.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3. Приложение проверяет формат ИНН и наличие оплаченных визитов в выбранном периоде.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4. Пациент подтверждает отправку заявки.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5. Сервис документов формирует справку установленной формы и направляет её по ЭДО.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6. Заявка переходит в статус «Готово», справка доступна для скачивания в приложении.</w:t>
            </w:r>
          </w:p>
        </w:tc>
      </w:tr>
      <w:tr w14:paraId="70194065">
        <w:tc>
          <w:tcPr>
            <w:tcW w:w="2551" w:type="dxa"/>
            <w:vAlign w:val="center"/>
          </w:tcPr>
          <w:p w14:paraId="46A415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1</w:t>
            </w:r>
          </w:p>
        </w:tc>
        <w:tc>
          <w:tcPr>
            <w:tcW w:w="6803" w:type="dxa"/>
            <w:vAlign w:val="center"/>
          </w:tcPr>
          <w:p w14:paraId="7C05B7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3а. В выбранном периоде нет оплаченных визитов.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3а.1. Приложение сообщает пациенту об отсутствии данных для справки и предлагает выбрать другой период.</w:t>
            </w:r>
          </w:p>
        </w:tc>
      </w:tr>
      <w:tr w14:paraId="716A7349">
        <w:tc>
          <w:tcPr>
            <w:tcW w:w="2551" w:type="dxa"/>
            <w:vAlign w:val="center"/>
          </w:tcPr>
          <w:p w14:paraId="69C82C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Альтернативный сценарий 2</w:t>
            </w:r>
          </w:p>
        </w:tc>
        <w:tc>
          <w:tcPr>
            <w:tcW w:w="6803" w:type="dxa"/>
            <w:vAlign w:val="center"/>
          </w:tcPr>
          <w:p w14:paraId="4E3395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 Канал ЭДО временно недоступен.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5а.1. Система сохраняет заявку в очереди и информирует пациента о статусе «В обработке».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5а.2. После восстановления канала справка отправляется автоматически, пациенту приходит push-уведомление.</w:t>
            </w:r>
          </w:p>
        </w:tc>
      </w:tr>
    </w:tbl>
    <w:p w14:paraId="1971B7F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Зафиксированы три роли, четыре пользовательские истории и три варианта использования. Перечень покрывает пациентские сценарии записи, поиска и оформления налогового вычета и согласован с функциональными требованиями подраздела 3.2; совокупность документов служит исходным набором приёмочных артефактов для сборки первой версии продукта.</w:t>
      </w:r>
    </w:p>
    <w:p w14:paraId="28283A4B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3.4 Архитектура и технологический стек</w:t>
      </w:r>
    </w:p>
    <w:p w14:paraId="162DC6D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Целевая архитектура продукта построена по принципу разделения ответственности между клиентским слоем, шлюзом API, доменными сервисами и слоем хранения. Клиентами системы выступают мобильные приложения iOS и Android, а также веб-клиент для административного контура. Все запросы проходят через шлюз Nginx с терминацией TLS 1.2+, за которым расположены доменные сервисы: аутентификации и SMS-OTP, профиля пациента, записи на приём, уведомлений, документов и платежей.</w:t>
      </w:r>
    </w:p>
    <w:p w14:paraId="428A73B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Хранилищами первого уровня являются PostgreSQL 16 с политиками Row Level Security для разграничения доступа между клиниками [5], Redis — для распределённой блокировки слотов при конкурентной записи [6], и S3-совместимое хранилище для чеков и справок. Отправка SMS, push-сообщений и взаимодействие с ЭДО вынесены в фоновые задачи очереди, что снижает связанность доменных сервисов и позволяет выдержать пиковые нагрузки без деградации API записи на приём.</w:t>
      </w:r>
    </w:p>
    <w:p w14:paraId="2AA3DEA5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5759450" cy="5446395"/>
            <wp:effectExtent l="0" t="0" r="63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B082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3.1 – Архитектура целевого продукта</w:t>
      </w:r>
    </w:p>
    <w:p w14:paraId="4A1ADBB3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3.12 – Технологический стек по слоям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381"/>
        <w:gridCol w:w="4819"/>
      </w:tblGrid>
      <w:tr w14:paraId="076659D9">
        <w:tc>
          <w:tcPr>
            <w:tcW w:w="2154" w:type="dxa"/>
            <w:vAlign w:val="center"/>
          </w:tcPr>
          <w:p w14:paraId="6B88A0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Слой</w:t>
            </w:r>
          </w:p>
        </w:tc>
        <w:tc>
          <w:tcPr>
            <w:tcW w:w="2381" w:type="dxa"/>
            <w:vAlign w:val="center"/>
          </w:tcPr>
          <w:p w14:paraId="6871B8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Технология</w:t>
            </w:r>
          </w:p>
        </w:tc>
        <w:tc>
          <w:tcPr>
            <w:tcW w:w="4819" w:type="dxa"/>
            <w:vAlign w:val="center"/>
          </w:tcPr>
          <w:p w14:paraId="02CAFA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Обоснование выбора</w:t>
            </w:r>
          </w:p>
        </w:tc>
      </w:tr>
      <w:tr w14:paraId="3E2AA7F0">
        <w:tc>
          <w:tcPr>
            <w:tcW w:w="2154" w:type="dxa"/>
            <w:vAlign w:val="center"/>
          </w:tcPr>
          <w:p w14:paraId="6C5C38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Мобильный клиент</w:t>
            </w:r>
          </w:p>
        </w:tc>
        <w:tc>
          <w:tcPr>
            <w:tcW w:w="2381" w:type="dxa"/>
            <w:vAlign w:val="center"/>
          </w:tcPr>
          <w:p w14:paraId="1007EF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React Native 0.74 (TypeScript)</w:t>
            </w:r>
          </w:p>
        </w:tc>
        <w:tc>
          <w:tcPr>
            <w:tcW w:w="4819" w:type="dxa"/>
            <w:vAlign w:val="center"/>
          </w:tcPr>
          <w:p w14:paraId="49B237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Единая кодовая база для iOS и Android сокращает трудоёмкость поддержки двух платформ при сохранении нативной производительности [7].</w:t>
            </w:r>
          </w:p>
        </w:tc>
      </w:tr>
      <w:tr w14:paraId="2385A169">
        <w:tc>
          <w:tcPr>
            <w:tcW w:w="2154" w:type="dxa"/>
            <w:vAlign w:val="center"/>
          </w:tcPr>
          <w:p w14:paraId="7EC8B1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Веб-клиент</w:t>
            </w:r>
          </w:p>
        </w:tc>
        <w:tc>
          <w:tcPr>
            <w:tcW w:w="2381" w:type="dxa"/>
            <w:vAlign w:val="center"/>
          </w:tcPr>
          <w:p w14:paraId="4D218F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Next.js 14 (TypeScript)</w:t>
            </w:r>
          </w:p>
        </w:tc>
        <w:tc>
          <w:tcPr>
            <w:tcW w:w="4819" w:type="dxa"/>
            <w:vAlign w:val="center"/>
          </w:tcPr>
          <w:p w14:paraId="07A61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Серверный рендеринг обеспечивает быструю отрисовку страниц записи и карточек врачей, а также упрощает SEO публичного каталога.</w:t>
            </w:r>
          </w:p>
        </w:tc>
      </w:tr>
      <w:tr w14:paraId="57D87F1A">
        <w:tc>
          <w:tcPr>
            <w:tcW w:w="2154" w:type="dxa"/>
            <w:vAlign w:val="center"/>
          </w:tcPr>
          <w:p w14:paraId="3EC31C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API Gateway</w:t>
            </w:r>
          </w:p>
        </w:tc>
        <w:tc>
          <w:tcPr>
            <w:tcW w:w="2381" w:type="dxa"/>
            <w:vAlign w:val="center"/>
          </w:tcPr>
          <w:p w14:paraId="5D47D8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Nginx с TLS 1.2+</w:t>
            </w:r>
          </w:p>
        </w:tc>
        <w:tc>
          <w:tcPr>
            <w:tcW w:w="4819" w:type="dxa"/>
            <w:vAlign w:val="center"/>
          </w:tcPr>
          <w:p w14:paraId="76D2EE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Проверенный открытый шлюз с возможностью маршрутизации, rate limiting и кеширования ответов публичного каталога.</w:t>
            </w:r>
          </w:p>
        </w:tc>
      </w:tr>
      <w:tr w14:paraId="480B2C66">
        <w:tc>
          <w:tcPr>
            <w:tcW w:w="2154" w:type="dxa"/>
            <w:vAlign w:val="center"/>
          </w:tcPr>
          <w:p w14:paraId="4B856C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Доменные сервисы</w:t>
            </w:r>
          </w:p>
        </w:tc>
        <w:tc>
          <w:tcPr>
            <w:tcW w:w="2381" w:type="dxa"/>
            <w:vAlign w:val="center"/>
          </w:tcPr>
          <w:p w14:paraId="5E7ABE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NestJS 10 на Node.js 20</w:t>
            </w:r>
          </w:p>
        </w:tc>
        <w:tc>
          <w:tcPr>
            <w:tcW w:w="4819" w:type="dxa"/>
            <w:vAlign w:val="center"/>
          </w:tcPr>
          <w:p w14:paraId="326F8C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Модульная архитектура, встроенное DI-контейнерное решение и типобезопасность по TypeScript облегчают декомпозицию доменов [8].</w:t>
            </w:r>
          </w:p>
        </w:tc>
      </w:tr>
      <w:tr w14:paraId="470677CE">
        <w:tc>
          <w:tcPr>
            <w:tcW w:w="2154" w:type="dxa"/>
            <w:vAlign w:val="center"/>
          </w:tcPr>
          <w:p w14:paraId="635F90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Очередь задач</w:t>
            </w:r>
          </w:p>
        </w:tc>
        <w:tc>
          <w:tcPr>
            <w:tcW w:w="2381" w:type="dxa"/>
            <w:vAlign w:val="center"/>
          </w:tcPr>
          <w:p w14:paraId="216323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BullMQ на Redis</w:t>
            </w:r>
          </w:p>
        </w:tc>
        <w:tc>
          <w:tcPr>
            <w:tcW w:w="4819" w:type="dxa"/>
            <w:vAlign w:val="center"/>
          </w:tcPr>
          <w:p w14:paraId="5E4180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Очередь с приоритетами и отложенным выполнением позволяет планировать напоминания за 24 часа и за 2 часа до визита.</w:t>
            </w:r>
          </w:p>
        </w:tc>
      </w:tr>
      <w:tr w14:paraId="406967BA">
        <w:tc>
          <w:tcPr>
            <w:tcW w:w="2154" w:type="dxa"/>
            <w:vAlign w:val="center"/>
          </w:tcPr>
          <w:p w14:paraId="0B9F88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Хранилище данных</w:t>
            </w:r>
          </w:p>
        </w:tc>
        <w:tc>
          <w:tcPr>
            <w:tcW w:w="2381" w:type="dxa"/>
            <w:vAlign w:val="center"/>
          </w:tcPr>
          <w:p w14:paraId="4DA496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PostgreSQL 16, Redis 7, S3-совместимое объектное хранилище</w:t>
            </w:r>
          </w:p>
        </w:tc>
        <w:tc>
          <w:tcPr>
            <w:tcW w:w="4819" w:type="dxa"/>
            <w:vAlign w:val="center"/>
          </w:tcPr>
          <w:p w14:paraId="6E0A83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PostgreSQL закрывает транзакционные данные; Redis — быструю блокировку слотов и кэш каталога; S3 — бинарные артефакты (чеки, справки, фото врачей).</w:t>
            </w:r>
          </w:p>
        </w:tc>
      </w:tr>
      <w:tr w14:paraId="5D0BD0D1">
        <w:tc>
          <w:tcPr>
            <w:tcW w:w="2154" w:type="dxa"/>
            <w:vAlign w:val="center"/>
          </w:tcPr>
          <w:p w14:paraId="416D51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Наблюдаемость</w:t>
            </w:r>
          </w:p>
        </w:tc>
        <w:tc>
          <w:tcPr>
            <w:tcW w:w="2381" w:type="dxa"/>
            <w:vAlign w:val="center"/>
          </w:tcPr>
          <w:p w14:paraId="77CE16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OpenTelemetry, Prometheus, Grafana, Loki</w:t>
            </w:r>
          </w:p>
        </w:tc>
        <w:tc>
          <w:tcPr>
            <w:tcW w:w="4819" w:type="dxa"/>
            <w:vAlign w:val="center"/>
          </w:tcPr>
          <w:p w14:paraId="520C9C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Единый стек метрик, логов и трассировок упрощает поиск источника деградации и расследование инцидентов.</w:t>
            </w:r>
          </w:p>
        </w:tc>
      </w:tr>
      <w:tr w14:paraId="50CA357B">
        <w:tc>
          <w:tcPr>
            <w:tcW w:w="2154" w:type="dxa"/>
            <w:vAlign w:val="center"/>
          </w:tcPr>
          <w:p w14:paraId="15E4F7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CI/CD и инфраструктура</w:t>
            </w:r>
          </w:p>
        </w:tc>
        <w:tc>
          <w:tcPr>
            <w:tcW w:w="2381" w:type="dxa"/>
            <w:vAlign w:val="center"/>
          </w:tcPr>
          <w:p w14:paraId="2E6CCC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Docker, GitLab CI, Terraform, Yandex Cloud</w:t>
            </w:r>
          </w:p>
        </w:tc>
        <w:tc>
          <w:tcPr>
            <w:tcW w:w="4819" w:type="dxa"/>
            <w:vAlign w:val="center"/>
          </w:tcPr>
          <w:p w14:paraId="74AEFF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Воспроизводимая доставка сервисов и инфраструктура как код сокращают время развёртывания новой клиники сети.</w:t>
            </w:r>
          </w:p>
        </w:tc>
      </w:tr>
    </w:tbl>
    <w:p w14:paraId="55F08A4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Решение сохранять транзакционные данные в PostgreSQL и вводить политики Row Level Security продиктовано моделью угроз: разграничение между клиниками сети должно выполняться на уровне СУБД, а не только приложения, что снижает риск утечки при ошибке в коде сервиса. Redis применяется исключительно как служебное хранилище: для блокировок и кеширования справочных данных, и не содержит персональных данных пациента.</w:t>
      </w:r>
    </w:p>
    <w:p w14:paraId="7F14896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Архитектура разделена на четыре слоя с явно выделенным шлюзом и фоновой очередью. Технологический стек охватывает мобильные и веб-клиенты, сервисы, хранилища и наблюдаемость; каждое решение обосновано функциональными или нефункциональными требованиями подраздела 3.2.</w:t>
      </w:r>
    </w:p>
    <w:p w14:paraId="46306266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3.5 Модель данных</w:t>
      </w:r>
    </w:p>
    <w:p w14:paraId="0CB1CB9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базы данных спроектирована с опорой на нормализацию до третьей нормальной формы и выделение шести базовых сущностей: пациент (users), клиника (clinics), врач (doctors), услуга (services), запись на приём (appointments) и заявка на справку для налогового вычета (tax_certificate_requests). В качестве первичного ключа во всех таблицах выбран UUID: это исключает предсказуемые идентификаторы в публичных ссылках, упрощает миграцию между филиалами и совместимо с требованиями разграничения доступа через политики Row Level Security PostgreSQL.</w:t>
      </w:r>
    </w:p>
    <w:p w14:paraId="7B06E7AC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5759450" cy="54514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46D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3.2 – ER-диаграмма базы данных</w:t>
      </w:r>
    </w:p>
    <w:p w14:paraId="4CF8D11D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3.13 – Описание таблицы users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574"/>
        <w:gridCol w:w="2909"/>
        <w:gridCol w:w="2570"/>
      </w:tblGrid>
      <w:tr w14:paraId="496C3E37">
        <w:tc>
          <w:tcPr>
            <w:tcW w:w="1814" w:type="dxa"/>
            <w:vAlign w:val="center"/>
          </w:tcPr>
          <w:p w14:paraId="07D7BA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2B1034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6EC469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754384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6541FD69">
        <w:tc>
          <w:tcPr>
            <w:tcW w:w="1814" w:type="dxa"/>
            <w:vAlign w:val="center"/>
          </w:tcPr>
          <w:p w14:paraId="757501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31B071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716D3E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пациента</w:t>
            </w:r>
          </w:p>
        </w:tc>
        <w:tc>
          <w:tcPr>
            <w:tcW w:w="2721" w:type="dxa"/>
            <w:vAlign w:val="center"/>
          </w:tcPr>
          <w:p w14:paraId="2A128C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ключ, генерируется автоматически</w:t>
            </w:r>
          </w:p>
        </w:tc>
      </w:tr>
      <w:tr w14:paraId="54E9738F">
        <w:tc>
          <w:tcPr>
            <w:tcW w:w="1814" w:type="dxa"/>
            <w:vAlign w:val="center"/>
          </w:tcPr>
          <w:p w14:paraId="2CED17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first_name</w:t>
            </w:r>
          </w:p>
        </w:tc>
        <w:tc>
          <w:tcPr>
            <w:tcW w:w="1587" w:type="dxa"/>
            <w:vAlign w:val="center"/>
          </w:tcPr>
          <w:p w14:paraId="2756CC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6467483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Имя пациента</w:t>
            </w:r>
          </w:p>
        </w:tc>
        <w:tc>
          <w:tcPr>
            <w:tcW w:w="2721" w:type="dxa"/>
            <w:vAlign w:val="center"/>
          </w:tcPr>
          <w:p w14:paraId="7AAD34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кириллица; от 2 до 50 символов</w:t>
            </w:r>
          </w:p>
        </w:tc>
      </w:tr>
      <w:tr w14:paraId="600523A0">
        <w:tc>
          <w:tcPr>
            <w:tcW w:w="1814" w:type="dxa"/>
            <w:vAlign w:val="center"/>
          </w:tcPr>
          <w:p w14:paraId="120A6A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middle_name</w:t>
            </w:r>
          </w:p>
        </w:tc>
        <w:tc>
          <w:tcPr>
            <w:tcW w:w="1587" w:type="dxa"/>
            <w:vAlign w:val="center"/>
          </w:tcPr>
          <w:p w14:paraId="34725F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656F23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Отчество пациента</w:t>
            </w:r>
          </w:p>
        </w:tc>
        <w:tc>
          <w:tcPr>
            <w:tcW w:w="2721" w:type="dxa"/>
            <w:vAlign w:val="center"/>
          </w:tcPr>
          <w:p w14:paraId="33096B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кириллица; может быть пустым</w:t>
            </w:r>
          </w:p>
        </w:tc>
      </w:tr>
      <w:tr w14:paraId="77AE5FD2">
        <w:tc>
          <w:tcPr>
            <w:tcW w:w="1814" w:type="dxa"/>
            <w:vAlign w:val="center"/>
          </w:tcPr>
          <w:p w14:paraId="61FA99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last_name</w:t>
            </w:r>
          </w:p>
        </w:tc>
        <w:tc>
          <w:tcPr>
            <w:tcW w:w="1587" w:type="dxa"/>
            <w:vAlign w:val="center"/>
          </w:tcPr>
          <w:p w14:paraId="745355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4BF01CC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Фамилия пациента</w:t>
            </w:r>
          </w:p>
        </w:tc>
        <w:tc>
          <w:tcPr>
            <w:tcW w:w="2721" w:type="dxa"/>
            <w:vAlign w:val="center"/>
          </w:tcPr>
          <w:p w14:paraId="4AB85DD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кириллица; от 2 до 50 символов</w:t>
            </w:r>
          </w:p>
        </w:tc>
      </w:tr>
      <w:tr w14:paraId="7B3C84AC">
        <w:tc>
          <w:tcPr>
            <w:tcW w:w="1814" w:type="dxa"/>
            <w:vAlign w:val="center"/>
          </w:tcPr>
          <w:p w14:paraId="1F4FEA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phone_number</w:t>
            </w:r>
          </w:p>
        </w:tc>
        <w:tc>
          <w:tcPr>
            <w:tcW w:w="1587" w:type="dxa"/>
            <w:vAlign w:val="center"/>
          </w:tcPr>
          <w:p w14:paraId="7C883C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varchar(12)</w:t>
            </w:r>
          </w:p>
        </w:tc>
        <w:tc>
          <w:tcPr>
            <w:tcW w:w="3005" w:type="dxa"/>
            <w:vAlign w:val="center"/>
          </w:tcPr>
          <w:p w14:paraId="210356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Номер телефона в формате +7XXXXXXXXXX</w:t>
            </w:r>
          </w:p>
        </w:tc>
        <w:tc>
          <w:tcPr>
            <w:tcW w:w="2721" w:type="dxa"/>
            <w:vAlign w:val="center"/>
          </w:tcPr>
          <w:p w14:paraId="0D34DF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Уникальное поле; служит логином</w:t>
            </w:r>
          </w:p>
        </w:tc>
      </w:tr>
      <w:tr w14:paraId="52B811EF">
        <w:tc>
          <w:tcPr>
            <w:tcW w:w="1814" w:type="dxa"/>
            <w:vAlign w:val="center"/>
          </w:tcPr>
          <w:p w14:paraId="13F716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email</w:t>
            </w:r>
          </w:p>
        </w:tc>
        <w:tc>
          <w:tcPr>
            <w:tcW w:w="1587" w:type="dxa"/>
            <w:vAlign w:val="center"/>
          </w:tcPr>
          <w:p w14:paraId="2518CC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61CF81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Электронная почта</w:t>
            </w:r>
          </w:p>
        </w:tc>
        <w:tc>
          <w:tcPr>
            <w:tcW w:w="2721" w:type="dxa"/>
            <w:vAlign w:val="center"/>
          </w:tcPr>
          <w:p w14:paraId="335DB1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Допустимо пустое значение; валидируется по RFC 5322</w:t>
            </w:r>
          </w:p>
        </w:tc>
      </w:tr>
      <w:tr w14:paraId="5F7DA5D3">
        <w:tc>
          <w:tcPr>
            <w:tcW w:w="1814" w:type="dxa"/>
            <w:vAlign w:val="center"/>
          </w:tcPr>
          <w:p w14:paraId="7F894C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encrypted_password</w:t>
            </w:r>
          </w:p>
        </w:tc>
        <w:tc>
          <w:tcPr>
            <w:tcW w:w="1587" w:type="dxa"/>
            <w:vAlign w:val="center"/>
          </w:tcPr>
          <w:p w14:paraId="514E8C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char(32)</w:t>
            </w:r>
          </w:p>
        </w:tc>
        <w:tc>
          <w:tcPr>
            <w:tcW w:w="3005" w:type="dxa"/>
            <w:vAlign w:val="center"/>
          </w:tcPr>
          <w:p w14:paraId="1FEED28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Хэш временного PIN-кода пользователя</w:t>
            </w:r>
          </w:p>
        </w:tc>
        <w:tc>
          <w:tcPr>
            <w:tcW w:w="2721" w:type="dxa"/>
            <w:vAlign w:val="center"/>
          </w:tcPr>
          <w:p w14:paraId="0D8A55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Обновляется при каждом входе по SMS-OTP</w:t>
            </w:r>
          </w:p>
        </w:tc>
      </w:tr>
      <w:tr w14:paraId="03123EF7">
        <w:tc>
          <w:tcPr>
            <w:tcW w:w="1814" w:type="dxa"/>
            <w:vAlign w:val="center"/>
          </w:tcPr>
          <w:p w14:paraId="7C7A0C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birthday</w:t>
            </w:r>
          </w:p>
        </w:tc>
        <w:tc>
          <w:tcPr>
            <w:tcW w:w="1587" w:type="dxa"/>
            <w:vAlign w:val="center"/>
          </w:tcPr>
          <w:p w14:paraId="310BE3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date</w:t>
            </w:r>
          </w:p>
        </w:tc>
        <w:tc>
          <w:tcPr>
            <w:tcW w:w="3005" w:type="dxa"/>
            <w:vAlign w:val="center"/>
          </w:tcPr>
          <w:p w14:paraId="6A8CDE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Дата рождения</w:t>
            </w:r>
          </w:p>
        </w:tc>
        <w:tc>
          <w:tcPr>
            <w:tcW w:w="2721" w:type="dxa"/>
            <w:vAlign w:val="center"/>
          </w:tcPr>
          <w:p w14:paraId="586A5B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позднее текущей даты; используется для расчёта возраста</w:t>
            </w:r>
          </w:p>
        </w:tc>
      </w:tr>
      <w:tr w14:paraId="22D88191">
        <w:tc>
          <w:tcPr>
            <w:tcW w:w="1814" w:type="dxa"/>
            <w:vAlign w:val="center"/>
          </w:tcPr>
          <w:p w14:paraId="754187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is_first_enter</w:t>
            </w:r>
          </w:p>
        </w:tc>
        <w:tc>
          <w:tcPr>
            <w:tcW w:w="1587" w:type="dxa"/>
            <w:vAlign w:val="center"/>
          </w:tcPr>
          <w:p w14:paraId="165559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boolean</w:t>
            </w:r>
          </w:p>
        </w:tc>
        <w:tc>
          <w:tcPr>
            <w:tcW w:w="3005" w:type="dxa"/>
            <w:vAlign w:val="center"/>
          </w:tcPr>
          <w:p w14:paraId="771163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Признак первого входа</w:t>
            </w:r>
          </w:p>
        </w:tc>
        <w:tc>
          <w:tcPr>
            <w:tcW w:w="2721" w:type="dxa"/>
            <w:vAlign w:val="center"/>
          </w:tcPr>
          <w:p w14:paraId="53F4CD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умолчанию TRUE; сбрасывается после онбординга</w:t>
            </w:r>
          </w:p>
        </w:tc>
      </w:tr>
    </w:tbl>
    <w:p w14:paraId="2BEE0602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3.14 – Описание таблицы clinics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1662"/>
        <w:gridCol w:w="3005"/>
        <w:gridCol w:w="2721"/>
      </w:tblGrid>
      <w:tr w14:paraId="2FB2AE73">
        <w:tc>
          <w:tcPr>
            <w:tcW w:w="1814" w:type="dxa"/>
            <w:vAlign w:val="center"/>
          </w:tcPr>
          <w:p w14:paraId="436393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0B3581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0017E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0BD404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0AF94AA0">
        <w:tc>
          <w:tcPr>
            <w:tcW w:w="1814" w:type="dxa"/>
            <w:vAlign w:val="center"/>
          </w:tcPr>
          <w:p w14:paraId="5B93FB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57849C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63BE65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клиники</w:t>
            </w:r>
          </w:p>
        </w:tc>
        <w:tc>
          <w:tcPr>
            <w:tcW w:w="2721" w:type="dxa"/>
            <w:vAlign w:val="center"/>
          </w:tcPr>
          <w:p w14:paraId="3A1533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</w:t>
            </w:r>
          </w:p>
        </w:tc>
      </w:tr>
      <w:tr w14:paraId="6561B79E">
        <w:tc>
          <w:tcPr>
            <w:tcW w:w="1814" w:type="dxa"/>
            <w:vAlign w:val="center"/>
          </w:tcPr>
          <w:p w14:paraId="32D004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name</w:t>
            </w:r>
          </w:p>
        </w:tc>
        <w:tc>
          <w:tcPr>
            <w:tcW w:w="1587" w:type="dxa"/>
            <w:vAlign w:val="center"/>
          </w:tcPr>
          <w:p w14:paraId="082823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varchar(150)</w:t>
            </w:r>
          </w:p>
        </w:tc>
        <w:tc>
          <w:tcPr>
            <w:tcW w:w="3005" w:type="dxa"/>
            <w:vAlign w:val="center"/>
          </w:tcPr>
          <w:p w14:paraId="14BFB9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Название клиники</w:t>
            </w:r>
          </w:p>
        </w:tc>
        <w:tc>
          <w:tcPr>
            <w:tcW w:w="2721" w:type="dxa"/>
            <w:vAlign w:val="center"/>
          </w:tcPr>
          <w:p w14:paraId="2D5C91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Обязательное поле</w:t>
            </w:r>
          </w:p>
        </w:tc>
      </w:tr>
      <w:tr w14:paraId="498B33F9">
        <w:tc>
          <w:tcPr>
            <w:tcW w:w="1814" w:type="dxa"/>
            <w:vAlign w:val="center"/>
          </w:tcPr>
          <w:p w14:paraId="2A589C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address</w:t>
            </w:r>
          </w:p>
        </w:tc>
        <w:tc>
          <w:tcPr>
            <w:tcW w:w="1587" w:type="dxa"/>
            <w:vAlign w:val="center"/>
          </w:tcPr>
          <w:p w14:paraId="568E9A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varchar(250)</w:t>
            </w:r>
          </w:p>
        </w:tc>
        <w:tc>
          <w:tcPr>
            <w:tcW w:w="3005" w:type="dxa"/>
            <w:vAlign w:val="center"/>
          </w:tcPr>
          <w:p w14:paraId="183D36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Адрес клиники</w:t>
            </w:r>
          </w:p>
        </w:tc>
        <w:tc>
          <w:tcPr>
            <w:tcW w:w="2721" w:type="dxa"/>
            <w:vAlign w:val="center"/>
          </w:tcPr>
          <w:p w14:paraId="12FFCD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Обязательное поле</w:t>
            </w:r>
          </w:p>
        </w:tc>
      </w:tr>
      <w:tr w14:paraId="34AFF726">
        <w:tc>
          <w:tcPr>
            <w:tcW w:w="1814" w:type="dxa"/>
            <w:vAlign w:val="center"/>
          </w:tcPr>
          <w:p w14:paraId="3B397C7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latitude</w:t>
            </w:r>
          </w:p>
        </w:tc>
        <w:tc>
          <w:tcPr>
            <w:tcW w:w="1587" w:type="dxa"/>
            <w:vAlign w:val="center"/>
          </w:tcPr>
          <w:p w14:paraId="452AE5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decimal(9,6)</w:t>
            </w:r>
          </w:p>
        </w:tc>
        <w:tc>
          <w:tcPr>
            <w:tcW w:w="3005" w:type="dxa"/>
            <w:vAlign w:val="center"/>
          </w:tcPr>
          <w:p w14:paraId="7E696F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Широта расположения клиники</w:t>
            </w:r>
          </w:p>
        </w:tc>
        <w:tc>
          <w:tcPr>
            <w:tcW w:w="2721" w:type="dxa"/>
            <w:vAlign w:val="center"/>
          </w:tcPr>
          <w:p w14:paraId="678DBD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Диапазон от −90 до 90</w:t>
            </w:r>
          </w:p>
        </w:tc>
      </w:tr>
      <w:tr w14:paraId="3B181505">
        <w:tc>
          <w:tcPr>
            <w:tcW w:w="1814" w:type="dxa"/>
            <w:vAlign w:val="center"/>
          </w:tcPr>
          <w:p w14:paraId="1CE3AE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longitude</w:t>
            </w:r>
          </w:p>
        </w:tc>
        <w:tc>
          <w:tcPr>
            <w:tcW w:w="1587" w:type="dxa"/>
            <w:vAlign w:val="center"/>
          </w:tcPr>
          <w:p w14:paraId="63A38D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decimal(9,6)</w:t>
            </w:r>
          </w:p>
        </w:tc>
        <w:tc>
          <w:tcPr>
            <w:tcW w:w="3005" w:type="dxa"/>
            <w:vAlign w:val="center"/>
          </w:tcPr>
          <w:p w14:paraId="70412D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Долгота расположения клиники</w:t>
            </w:r>
          </w:p>
        </w:tc>
        <w:tc>
          <w:tcPr>
            <w:tcW w:w="2721" w:type="dxa"/>
            <w:vAlign w:val="center"/>
          </w:tcPr>
          <w:p w14:paraId="3AF0EC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Диапазон от −180 до 180</w:t>
            </w:r>
          </w:p>
        </w:tc>
      </w:tr>
      <w:tr w14:paraId="527AAA77">
        <w:tc>
          <w:tcPr>
            <w:tcW w:w="1814" w:type="dxa"/>
            <w:vAlign w:val="center"/>
          </w:tcPr>
          <w:p w14:paraId="52A111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phone</w:t>
            </w:r>
          </w:p>
        </w:tc>
        <w:tc>
          <w:tcPr>
            <w:tcW w:w="1587" w:type="dxa"/>
            <w:vAlign w:val="center"/>
          </w:tcPr>
          <w:p w14:paraId="444ED7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w="3005" w:type="dxa"/>
            <w:vAlign w:val="center"/>
          </w:tcPr>
          <w:p w14:paraId="29C9C8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Телефон регистратуры</w:t>
            </w:r>
          </w:p>
        </w:tc>
        <w:tc>
          <w:tcPr>
            <w:tcW w:w="2721" w:type="dxa"/>
            <w:vAlign w:val="center"/>
          </w:tcPr>
          <w:p w14:paraId="01204D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Формат E.164</w:t>
            </w:r>
          </w:p>
        </w:tc>
      </w:tr>
      <w:tr w14:paraId="4378B548">
        <w:tc>
          <w:tcPr>
            <w:tcW w:w="1814" w:type="dxa"/>
            <w:vAlign w:val="center"/>
          </w:tcPr>
          <w:p w14:paraId="33A0CB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working_hours</w:t>
            </w:r>
          </w:p>
        </w:tc>
        <w:tc>
          <w:tcPr>
            <w:tcW w:w="1587" w:type="dxa"/>
            <w:vAlign w:val="center"/>
          </w:tcPr>
          <w:p w14:paraId="2A1219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varchar(250)</w:t>
            </w:r>
          </w:p>
        </w:tc>
        <w:tc>
          <w:tcPr>
            <w:tcW w:w="3005" w:type="dxa"/>
            <w:vAlign w:val="center"/>
          </w:tcPr>
          <w:p w14:paraId="41F3895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Расписание работы клиники</w:t>
            </w:r>
          </w:p>
        </w:tc>
        <w:tc>
          <w:tcPr>
            <w:tcW w:w="2721" w:type="dxa"/>
            <w:vAlign w:val="center"/>
          </w:tcPr>
          <w:p w14:paraId="0FF629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Текстовое поле формата «Пн-Пт 09:00–21:00»</w:t>
            </w:r>
          </w:p>
        </w:tc>
      </w:tr>
    </w:tbl>
    <w:p w14:paraId="7F049932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3.15 – Описание таблицы doctors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662"/>
        <w:gridCol w:w="3005"/>
        <w:gridCol w:w="2721"/>
      </w:tblGrid>
      <w:tr w14:paraId="5C1F9DEE">
        <w:tc>
          <w:tcPr>
            <w:tcW w:w="1814" w:type="dxa"/>
            <w:vAlign w:val="center"/>
          </w:tcPr>
          <w:p w14:paraId="5088D8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06AC93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74EEB9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1514C1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1971476B">
        <w:tc>
          <w:tcPr>
            <w:tcW w:w="1814" w:type="dxa"/>
            <w:vAlign w:val="center"/>
          </w:tcPr>
          <w:p w14:paraId="6FA438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018A71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3596C3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врача</w:t>
            </w:r>
          </w:p>
        </w:tc>
        <w:tc>
          <w:tcPr>
            <w:tcW w:w="2721" w:type="dxa"/>
            <w:vAlign w:val="center"/>
          </w:tcPr>
          <w:p w14:paraId="542D69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</w:t>
            </w:r>
          </w:p>
        </w:tc>
      </w:tr>
      <w:tr w14:paraId="6EE9127F">
        <w:tc>
          <w:tcPr>
            <w:tcW w:w="1814" w:type="dxa"/>
            <w:vAlign w:val="center"/>
          </w:tcPr>
          <w:p w14:paraId="1EF255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clinic_id</w:t>
            </w:r>
          </w:p>
        </w:tc>
        <w:tc>
          <w:tcPr>
            <w:tcW w:w="1587" w:type="dxa"/>
            <w:vAlign w:val="center"/>
          </w:tcPr>
          <w:p w14:paraId="72B8FF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62989E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Ссылка на клинику</w:t>
            </w:r>
          </w:p>
        </w:tc>
        <w:tc>
          <w:tcPr>
            <w:tcW w:w="2721" w:type="dxa"/>
            <w:vAlign w:val="center"/>
          </w:tcPr>
          <w:p w14:paraId="4FE32F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clinics.id</w:t>
            </w:r>
          </w:p>
        </w:tc>
      </w:tr>
      <w:tr w14:paraId="00FE1313">
        <w:tc>
          <w:tcPr>
            <w:tcW w:w="1814" w:type="dxa"/>
            <w:vAlign w:val="center"/>
          </w:tcPr>
          <w:p w14:paraId="270EEB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first_name</w:t>
            </w:r>
          </w:p>
        </w:tc>
        <w:tc>
          <w:tcPr>
            <w:tcW w:w="1587" w:type="dxa"/>
            <w:vAlign w:val="center"/>
          </w:tcPr>
          <w:p w14:paraId="414FEC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5CDE09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Имя врача</w:t>
            </w:r>
          </w:p>
        </w:tc>
        <w:tc>
          <w:tcPr>
            <w:tcW w:w="2721" w:type="dxa"/>
            <w:vAlign w:val="center"/>
          </w:tcPr>
          <w:p w14:paraId="074139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кириллица</w:t>
            </w:r>
          </w:p>
        </w:tc>
      </w:tr>
      <w:tr w14:paraId="5EBB7F09">
        <w:tc>
          <w:tcPr>
            <w:tcW w:w="1814" w:type="dxa"/>
            <w:vAlign w:val="center"/>
          </w:tcPr>
          <w:p w14:paraId="40540D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last_name</w:t>
            </w:r>
          </w:p>
        </w:tc>
        <w:tc>
          <w:tcPr>
            <w:tcW w:w="1587" w:type="dxa"/>
            <w:vAlign w:val="center"/>
          </w:tcPr>
          <w:p w14:paraId="572ED0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60D6C5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Фамилия врача</w:t>
            </w:r>
          </w:p>
        </w:tc>
        <w:tc>
          <w:tcPr>
            <w:tcW w:w="2721" w:type="dxa"/>
            <w:vAlign w:val="center"/>
          </w:tcPr>
          <w:p w14:paraId="45ACF9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кириллица</w:t>
            </w:r>
          </w:p>
        </w:tc>
      </w:tr>
      <w:tr w14:paraId="3729BA3B">
        <w:tc>
          <w:tcPr>
            <w:tcW w:w="1814" w:type="dxa"/>
            <w:vAlign w:val="center"/>
          </w:tcPr>
          <w:p w14:paraId="5C9F48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specialization</w:t>
            </w:r>
          </w:p>
        </w:tc>
        <w:tc>
          <w:tcPr>
            <w:tcW w:w="1587" w:type="dxa"/>
            <w:vAlign w:val="center"/>
          </w:tcPr>
          <w:p w14:paraId="5754C5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w="3005" w:type="dxa"/>
            <w:vAlign w:val="center"/>
          </w:tcPr>
          <w:p w14:paraId="0B49AE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Специализация врача</w:t>
            </w:r>
          </w:p>
        </w:tc>
        <w:tc>
          <w:tcPr>
            <w:tcW w:w="2721" w:type="dxa"/>
            <w:vAlign w:val="center"/>
          </w:tcPr>
          <w:p w14:paraId="0B11AB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Значение из справочника специализаций</w:t>
            </w:r>
          </w:p>
        </w:tc>
      </w:tr>
      <w:tr w14:paraId="43A0597F">
        <w:tc>
          <w:tcPr>
            <w:tcW w:w="1814" w:type="dxa"/>
            <w:vAlign w:val="center"/>
          </w:tcPr>
          <w:p w14:paraId="365EE0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experience_years</w:t>
            </w:r>
          </w:p>
        </w:tc>
        <w:tc>
          <w:tcPr>
            <w:tcW w:w="1587" w:type="dxa"/>
            <w:vAlign w:val="center"/>
          </w:tcPr>
          <w:p w14:paraId="3054FE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integer</w:t>
            </w:r>
          </w:p>
        </w:tc>
        <w:tc>
          <w:tcPr>
            <w:tcW w:w="3005" w:type="dxa"/>
            <w:vAlign w:val="center"/>
          </w:tcPr>
          <w:p w14:paraId="740CE6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Стаж работы, лет</w:t>
            </w:r>
          </w:p>
        </w:tc>
        <w:tc>
          <w:tcPr>
            <w:tcW w:w="2721" w:type="dxa"/>
            <w:vAlign w:val="center"/>
          </w:tcPr>
          <w:p w14:paraId="64D1B5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меньше 0 и не больше 70</w:t>
            </w:r>
          </w:p>
        </w:tc>
      </w:tr>
      <w:tr w14:paraId="77A450E4">
        <w:tc>
          <w:tcPr>
            <w:tcW w:w="1814" w:type="dxa"/>
            <w:vAlign w:val="center"/>
          </w:tcPr>
          <w:p w14:paraId="3511D9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rating</w:t>
            </w:r>
          </w:p>
        </w:tc>
        <w:tc>
          <w:tcPr>
            <w:tcW w:w="1587" w:type="dxa"/>
            <w:vAlign w:val="center"/>
          </w:tcPr>
          <w:p w14:paraId="4B5F63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decimal(3,2)</w:t>
            </w:r>
          </w:p>
        </w:tc>
        <w:tc>
          <w:tcPr>
            <w:tcW w:w="3005" w:type="dxa"/>
            <w:vAlign w:val="center"/>
          </w:tcPr>
          <w:p w14:paraId="25CC4F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Средний рейтинг по отзывам</w:t>
            </w:r>
          </w:p>
        </w:tc>
        <w:tc>
          <w:tcPr>
            <w:tcW w:w="2721" w:type="dxa"/>
            <w:vAlign w:val="center"/>
          </w:tcPr>
          <w:p w14:paraId="6A9F0E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Диапазон от 0.00 до 5.00</w:t>
            </w:r>
          </w:p>
        </w:tc>
      </w:tr>
      <w:tr w14:paraId="181F3AB7">
        <w:tc>
          <w:tcPr>
            <w:tcW w:w="1814" w:type="dxa"/>
            <w:vAlign w:val="center"/>
          </w:tcPr>
          <w:p w14:paraId="6D31FD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photo_url</w:t>
            </w:r>
          </w:p>
        </w:tc>
        <w:tc>
          <w:tcPr>
            <w:tcW w:w="1587" w:type="dxa"/>
            <w:vAlign w:val="center"/>
          </w:tcPr>
          <w:p w14:paraId="7A1417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varchar(250)</w:t>
            </w:r>
          </w:p>
        </w:tc>
        <w:tc>
          <w:tcPr>
            <w:tcW w:w="3005" w:type="dxa"/>
            <w:vAlign w:val="center"/>
          </w:tcPr>
          <w:p w14:paraId="6EF4E6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Ссылка на фото врача в S3</w:t>
            </w:r>
          </w:p>
        </w:tc>
        <w:tc>
          <w:tcPr>
            <w:tcW w:w="2721" w:type="dxa"/>
            <w:vAlign w:val="center"/>
          </w:tcPr>
          <w:p w14:paraId="642C67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Обязательное поле; проверяется HEAD-запросом</w:t>
            </w:r>
          </w:p>
        </w:tc>
      </w:tr>
    </w:tbl>
    <w:p w14:paraId="2A27BA3D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3.16 – Описание таблицы services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79"/>
        <w:gridCol w:w="3005"/>
        <w:gridCol w:w="2721"/>
      </w:tblGrid>
      <w:tr w14:paraId="7FF921E3">
        <w:tc>
          <w:tcPr>
            <w:tcW w:w="1814" w:type="dxa"/>
            <w:vAlign w:val="center"/>
          </w:tcPr>
          <w:p w14:paraId="2EE7D3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5CA9BB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4ED61B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400F83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72F4AF03">
        <w:tc>
          <w:tcPr>
            <w:tcW w:w="1814" w:type="dxa"/>
            <w:vAlign w:val="center"/>
          </w:tcPr>
          <w:p w14:paraId="3056A3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7B9193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20B4CFE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услуги</w:t>
            </w:r>
          </w:p>
        </w:tc>
        <w:tc>
          <w:tcPr>
            <w:tcW w:w="2721" w:type="dxa"/>
            <w:vAlign w:val="center"/>
          </w:tcPr>
          <w:p w14:paraId="33F9BD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</w:t>
            </w:r>
          </w:p>
        </w:tc>
      </w:tr>
      <w:tr w14:paraId="41A53F4A">
        <w:tc>
          <w:tcPr>
            <w:tcW w:w="1814" w:type="dxa"/>
            <w:vAlign w:val="center"/>
          </w:tcPr>
          <w:p w14:paraId="14804E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name</w:t>
            </w:r>
          </w:p>
        </w:tc>
        <w:tc>
          <w:tcPr>
            <w:tcW w:w="1587" w:type="dxa"/>
            <w:vAlign w:val="center"/>
          </w:tcPr>
          <w:p w14:paraId="1FDC9A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w="3005" w:type="dxa"/>
            <w:vAlign w:val="center"/>
          </w:tcPr>
          <w:p w14:paraId="028502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 услуги</w:t>
            </w:r>
          </w:p>
        </w:tc>
        <w:tc>
          <w:tcPr>
            <w:tcW w:w="2721" w:type="dxa"/>
            <w:vAlign w:val="center"/>
          </w:tcPr>
          <w:p w14:paraId="4DD743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Обязательное поле</w:t>
            </w:r>
          </w:p>
        </w:tc>
      </w:tr>
      <w:tr w14:paraId="71E5ADE7">
        <w:tc>
          <w:tcPr>
            <w:tcW w:w="1814" w:type="dxa"/>
            <w:vAlign w:val="center"/>
          </w:tcPr>
          <w:p w14:paraId="400945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category</w:t>
            </w:r>
          </w:p>
        </w:tc>
        <w:tc>
          <w:tcPr>
            <w:tcW w:w="1587" w:type="dxa"/>
            <w:vAlign w:val="center"/>
          </w:tcPr>
          <w:p w14:paraId="2C3257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0C574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Категория услуги</w:t>
            </w:r>
          </w:p>
        </w:tc>
        <w:tc>
          <w:tcPr>
            <w:tcW w:w="2721" w:type="dxa"/>
            <w:vAlign w:val="center"/>
          </w:tcPr>
          <w:p w14:paraId="1A0647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Значение из справочника категорий</w:t>
            </w:r>
          </w:p>
        </w:tc>
      </w:tr>
      <w:tr w14:paraId="02CEA3BB">
        <w:tc>
          <w:tcPr>
            <w:tcW w:w="1814" w:type="dxa"/>
            <w:vAlign w:val="center"/>
          </w:tcPr>
          <w:p w14:paraId="0527B2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price</w:t>
            </w:r>
          </w:p>
        </w:tc>
        <w:tc>
          <w:tcPr>
            <w:tcW w:w="1587" w:type="dxa"/>
            <w:vAlign w:val="center"/>
          </w:tcPr>
          <w:p w14:paraId="662F74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decimal(10,2)</w:t>
            </w:r>
          </w:p>
        </w:tc>
        <w:tc>
          <w:tcPr>
            <w:tcW w:w="3005" w:type="dxa"/>
            <w:vAlign w:val="center"/>
          </w:tcPr>
          <w:p w14:paraId="35C8CBB5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Цена услуги,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721" w:type="dxa"/>
            <w:vAlign w:val="center"/>
          </w:tcPr>
          <w:p w14:paraId="5697AE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Больше 0; хранится без скидок</w:t>
            </w:r>
          </w:p>
        </w:tc>
      </w:tr>
      <w:tr w14:paraId="7730E1D3">
        <w:tc>
          <w:tcPr>
            <w:tcW w:w="1814" w:type="dxa"/>
            <w:vAlign w:val="center"/>
          </w:tcPr>
          <w:p w14:paraId="376BA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duration_min</w:t>
            </w:r>
          </w:p>
        </w:tc>
        <w:tc>
          <w:tcPr>
            <w:tcW w:w="1587" w:type="dxa"/>
            <w:vAlign w:val="center"/>
          </w:tcPr>
          <w:p w14:paraId="0FD41E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integer</w:t>
            </w:r>
          </w:p>
        </w:tc>
        <w:tc>
          <w:tcPr>
            <w:tcW w:w="3005" w:type="dxa"/>
            <w:vAlign w:val="center"/>
          </w:tcPr>
          <w:p w14:paraId="52586D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Длительность услуги, мин.</w:t>
            </w:r>
          </w:p>
        </w:tc>
        <w:tc>
          <w:tcPr>
            <w:tcW w:w="2721" w:type="dxa"/>
            <w:vAlign w:val="center"/>
          </w:tcPr>
          <w:p w14:paraId="32F8AC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Кратно 15 минутам</w:t>
            </w:r>
          </w:p>
        </w:tc>
      </w:tr>
      <w:tr w14:paraId="311798C8">
        <w:tc>
          <w:tcPr>
            <w:tcW w:w="1814" w:type="dxa"/>
            <w:vAlign w:val="center"/>
          </w:tcPr>
          <w:p w14:paraId="60258A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description</w:t>
            </w:r>
          </w:p>
        </w:tc>
        <w:tc>
          <w:tcPr>
            <w:tcW w:w="1587" w:type="dxa"/>
            <w:vAlign w:val="center"/>
          </w:tcPr>
          <w:p w14:paraId="5E81C1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varchar(500)</w:t>
            </w:r>
          </w:p>
        </w:tc>
        <w:tc>
          <w:tcPr>
            <w:tcW w:w="3005" w:type="dxa"/>
            <w:vAlign w:val="center"/>
          </w:tcPr>
          <w:p w14:paraId="2DCFD9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Описание услуги для пациента</w:t>
            </w:r>
          </w:p>
        </w:tc>
        <w:tc>
          <w:tcPr>
            <w:tcW w:w="2721" w:type="dxa"/>
            <w:vAlign w:val="center"/>
          </w:tcPr>
          <w:p w14:paraId="791AAA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 500 символов</w:t>
            </w:r>
          </w:p>
        </w:tc>
      </w:tr>
    </w:tbl>
    <w:p w14:paraId="17E7EEA0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3.17 – Описание таблицы appointments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587"/>
        <w:gridCol w:w="3005"/>
        <w:gridCol w:w="2721"/>
      </w:tblGrid>
      <w:tr w14:paraId="469EEC67">
        <w:tc>
          <w:tcPr>
            <w:tcW w:w="1814" w:type="dxa"/>
            <w:vAlign w:val="center"/>
          </w:tcPr>
          <w:p w14:paraId="0F06CA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234365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06B273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65CF47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65508C85">
        <w:tc>
          <w:tcPr>
            <w:tcW w:w="1814" w:type="dxa"/>
            <w:vAlign w:val="center"/>
          </w:tcPr>
          <w:p w14:paraId="2AE25E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2D60C5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6D1A58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записи</w:t>
            </w:r>
          </w:p>
        </w:tc>
        <w:tc>
          <w:tcPr>
            <w:tcW w:w="2721" w:type="dxa"/>
            <w:vAlign w:val="center"/>
          </w:tcPr>
          <w:p w14:paraId="7EB96A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</w:t>
            </w:r>
          </w:p>
        </w:tc>
      </w:tr>
      <w:tr w14:paraId="4E50288C">
        <w:tc>
          <w:tcPr>
            <w:tcW w:w="1814" w:type="dxa"/>
            <w:vAlign w:val="center"/>
          </w:tcPr>
          <w:p w14:paraId="051C7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user_id</w:t>
            </w:r>
          </w:p>
        </w:tc>
        <w:tc>
          <w:tcPr>
            <w:tcW w:w="1587" w:type="dxa"/>
            <w:vAlign w:val="center"/>
          </w:tcPr>
          <w:p w14:paraId="1773AF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27A096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</w:t>
            </w:r>
          </w:p>
        </w:tc>
        <w:tc>
          <w:tcPr>
            <w:tcW w:w="2721" w:type="dxa"/>
            <w:vAlign w:val="center"/>
          </w:tcPr>
          <w:p w14:paraId="3DA1C3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users.id</w:t>
            </w:r>
          </w:p>
        </w:tc>
      </w:tr>
      <w:tr w14:paraId="46DF38C4">
        <w:tc>
          <w:tcPr>
            <w:tcW w:w="1814" w:type="dxa"/>
            <w:vAlign w:val="center"/>
          </w:tcPr>
          <w:p w14:paraId="5A3CD3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doctor_id</w:t>
            </w:r>
          </w:p>
        </w:tc>
        <w:tc>
          <w:tcPr>
            <w:tcW w:w="1587" w:type="dxa"/>
            <w:vAlign w:val="center"/>
          </w:tcPr>
          <w:p w14:paraId="41BB69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3F96A7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Врач</w:t>
            </w:r>
          </w:p>
        </w:tc>
        <w:tc>
          <w:tcPr>
            <w:tcW w:w="2721" w:type="dxa"/>
            <w:vAlign w:val="center"/>
          </w:tcPr>
          <w:p w14:paraId="586232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doctors.id</w:t>
            </w:r>
          </w:p>
        </w:tc>
      </w:tr>
      <w:tr w14:paraId="4C54B53F">
        <w:tc>
          <w:tcPr>
            <w:tcW w:w="1814" w:type="dxa"/>
            <w:vAlign w:val="center"/>
          </w:tcPr>
          <w:p w14:paraId="090CD9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clinic_id</w:t>
            </w:r>
          </w:p>
        </w:tc>
        <w:tc>
          <w:tcPr>
            <w:tcW w:w="1587" w:type="dxa"/>
            <w:vAlign w:val="center"/>
          </w:tcPr>
          <w:p w14:paraId="0143B9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24F520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Клиника</w:t>
            </w:r>
          </w:p>
        </w:tc>
        <w:tc>
          <w:tcPr>
            <w:tcW w:w="2721" w:type="dxa"/>
            <w:vAlign w:val="center"/>
          </w:tcPr>
          <w:p w14:paraId="3BD2ED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clinics.id</w:t>
            </w:r>
          </w:p>
        </w:tc>
      </w:tr>
      <w:tr w14:paraId="35EF8CC4">
        <w:tc>
          <w:tcPr>
            <w:tcW w:w="1814" w:type="dxa"/>
            <w:vAlign w:val="center"/>
          </w:tcPr>
          <w:p w14:paraId="13F364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service_id</w:t>
            </w:r>
          </w:p>
        </w:tc>
        <w:tc>
          <w:tcPr>
            <w:tcW w:w="1587" w:type="dxa"/>
            <w:vAlign w:val="center"/>
          </w:tcPr>
          <w:p w14:paraId="4567CA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21B5F3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Услуга</w:t>
            </w:r>
          </w:p>
        </w:tc>
        <w:tc>
          <w:tcPr>
            <w:tcW w:w="2721" w:type="dxa"/>
            <w:vAlign w:val="center"/>
          </w:tcPr>
          <w:p w14:paraId="2F597F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services.id</w:t>
            </w:r>
          </w:p>
        </w:tc>
      </w:tr>
      <w:tr w14:paraId="0B0077C1">
        <w:tc>
          <w:tcPr>
            <w:tcW w:w="1814" w:type="dxa"/>
            <w:vAlign w:val="center"/>
          </w:tcPr>
          <w:p w14:paraId="3FE91A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start_at</w:t>
            </w:r>
          </w:p>
        </w:tc>
        <w:tc>
          <w:tcPr>
            <w:tcW w:w="1587" w:type="dxa"/>
            <w:vAlign w:val="center"/>
          </w:tcPr>
          <w:p w14:paraId="359269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timestamptz</w:t>
            </w:r>
          </w:p>
        </w:tc>
        <w:tc>
          <w:tcPr>
            <w:tcW w:w="3005" w:type="dxa"/>
            <w:vAlign w:val="center"/>
          </w:tcPr>
          <w:p w14:paraId="7AA12F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Дата и время начала приёма</w:t>
            </w:r>
          </w:p>
        </w:tc>
        <w:tc>
          <w:tcPr>
            <w:tcW w:w="2721" w:type="dxa"/>
            <w:vAlign w:val="center"/>
          </w:tcPr>
          <w:p w14:paraId="725C3B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в прошлом; шаг 15 минут</w:t>
            </w:r>
          </w:p>
        </w:tc>
      </w:tr>
      <w:tr w14:paraId="0F7E54A4">
        <w:tc>
          <w:tcPr>
            <w:tcW w:w="1814" w:type="dxa"/>
            <w:vAlign w:val="center"/>
          </w:tcPr>
          <w:p w14:paraId="1E43C2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status</w:t>
            </w:r>
          </w:p>
        </w:tc>
        <w:tc>
          <w:tcPr>
            <w:tcW w:w="1587" w:type="dxa"/>
            <w:vAlign w:val="center"/>
          </w:tcPr>
          <w:p w14:paraId="18F7F5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varchar(30)</w:t>
            </w:r>
          </w:p>
        </w:tc>
        <w:tc>
          <w:tcPr>
            <w:tcW w:w="3005" w:type="dxa"/>
            <w:vAlign w:val="center"/>
          </w:tcPr>
          <w:p w14:paraId="5ADB53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Статус записи</w:t>
            </w:r>
          </w:p>
        </w:tc>
        <w:tc>
          <w:tcPr>
            <w:tcW w:w="2721" w:type="dxa"/>
            <w:vAlign w:val="center"/>
          </w:tcPr>
          <w:p w14:paraId="610474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scheduled / confirmed / cancelled / completed / no_show</w:t>
            </w:r>
          </w:p>
        </w:tc>
      </w:tr>
      <w:tr w14:paraId="2A10268C">
        <w:tc>
          <w:tcPr>
            <w:tcW w:w="1814" w:type="dxa"/>
            <w:vAlign w:val="center"/>
          </w:tcPr>
          <w:p w14:paraId="2BD2A1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reminder_sent_at</w:t>
            </w:r>
          </w:p>
        </w:tc>
        <w:tc>
          <w:tcPr>
            <w:tcW w:w="1587" w:type="dxa"/>
            <w:vAlign w:val="center"/>
          </w:tcPr>
          <w:p w14:paraId="3C8C7D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timestamptz</w:t>
            </w:r>
          </w:p>
        </w:tc>
        <w:tc>
          <w:tcPr>
            <w:tcW w:w="3005" w:type="dxa"/>
            <w:vAlign w:val="center"/>
          </w:tcPr>
          <w:p w14:paraId="31338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Время последнего напоминания</w:t>
            </w:r>
          </w:p>
        </w:tc>
        <w:tc>
          <w:tcPr>
            <w:tcW w:w="2721" w:type="dxa"/>
            <w:vAlign w:val="center"/>
          </w:tcPr>
          <w:p w14:paraId="068C59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Заполняется воркером напоминаний</w:t>
            </w:r>
          </w:p>
        </w:tc>
      </w:tr>
    </w:tbl>
    <w:p w14:paraId="281AB254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3.18 – Описание таблицы tax_certificate_requests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587"/>
        <w:gridCol w:w="3005"/>
        <w:gridCol w:w="2721"/>
      </w:tblGrid>
      <w:tr w14:paraId="73EFA3E9">
        <w:tc>
          <w:tcPr>
            <w:tcW w:w="1814" w:type="dxa"/>
            <w:vAlign w:val="center"/>
          </w:tcPr>
          <w:p w14:paraId="203902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587" w:type="dxa"/>
            <w:vAlign w:val="center"/>
          </w:tcPr>
          <w:p w14:paraId="3EDE43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данных в БД</w:t>
            </w:r>
          </w:p>
        </w:tc>
        <w:tc>
          <w:tcPr>
            <w:tcW w:w="3005" w:type="dxa"/>
            <w:vAlign w:val="center"/>
          </w:tcPr>
          <w:p w14:paraId="090FED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W w:w="2721" w:type="dxa"/>
            <w:vAlign w:val="center"/>
          </w:tcPr>
          <w:p w14:paraId="48F599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Ограничения</w:t>
            </w:r>
          </w:p>
        </w:tc>
      </w:tr>
      <w:tr w14:paraId="37A7DED3">
        <w:tc>
          <w:tcPr>
            <w:tcW w:w="1814" w:type="dxa"/>
            <w:vAlign w:val="center"/>
          </w:tcPr>
          <w:p w14:paraId="451161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id</w:t>
            </w:r>
          </w:p>
        </w:tc>
        <w:tc>
          <w:tcPr>
            <w:tcW w:w="1587" w:type="dxa"/>
            <w:vAlign w:val="center"/>
          </w:tcPr>
          <w:p w14:paraId="1DFAAF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5AF630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Идентификатор заявки</w:t>
            </w:r>
          </w:p>
        </w:tc>
        <w:tc>
          <w:tcPr>
            <w:tcW w:w="2721" w:type="dxa"/>
            <w:vAlign w:val="center"/>
          </w:tcPr>
          <w:p w14:paraId="3ACA02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Первичный ключ</w:t>
            </w:r>
          </w:p>
        </w:tc>
      </w:tr>
      <w:tr w14:paraId="197915B8">
        <w:tc>
          <w:tcPr>
            <w:tcW w:w="1814" w:type="dxa"/>
            <w:vAlign w:val="center"/>
          </w:tcPr>
          <w:p w14:paraId="711750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user_id</w:t>
            </w:r>
          </w:p>
        </w:tc>
        <w:tc>
          <w:tcPr>
            <w:tcW w:w="1587" w:type="dxa"/>
            <w:vAlign w:val="center"/>
          </w:tcPr>
          <w:p w14:paraId="72846A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380131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Пациент-заявитель</w:t>
            </w:r>
          </w:p>
        </w:tc>
        <w:tc>
          <w:tcPr>
            <w:tcW w:w="2721" w:type="dxa"/>
            <w:vAlign w:val="center"/>
          </w:tcPr>
          <w:p w14:paraId="48C670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Внешний ключ к users.id</w:t>
            </w:r>
          </w:p>
        </w:tc>
      </w:tr>
      <w:tr w14:paraId="6A583977">
        <w:tc>
          <w:tcPr>
            <w:tcW w:w="1814" w:type="dxa"/>
            <w:vAlign w:val="center"/>
          </w:tcPr>
          <w:p w14:paraId="2E4D8C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period_start</w:t>
            </w:r>
          </w:p>
        </w:tc>
        <w:tc>
          <w:tcPr>
            <w:tcW w:w="1587" w:type="dxa"/>
            <w:vAlign w:val="center"/>
          </w:tcPr>
          <w:p w14:paraId="54AA8E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date</w:t>
            </w:r>
          </w:p>
        </w:tc>
        <w:tc>
          <w:tcPr>
            <w:tcW w:w="3005" w:type="dxa"/>
            <w:vAlign w:val="center"/>
          </w:tcPr>
          <w:p w14:paraId="1ED9E4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Начало налогового периода</w:t>
            </w:r>
          </w:p>
        </w:tc>
        <w:tc>
          <w:tcPr>
            <w:tcW w:w="2721" w:type="dxa"/>
            <w:vAlign w:val="center"/>
          </w:tcPr>
          <w:p w14:paraId="121BB5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01 января выбранного года</w:t>
            </w:r>
          </w:p>
        </w:tc>
      </w:tr>
      <w:tr w14:paraId="5C7213AE">
        <w:tc>
          <w:tcPr>
            <w:tcW w:w="1814" w:type="dxa"/>
            <w:vAlign w:val="center"/>
          </w:tcPr>
          <w:p w14:paraId="7FE903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period_end</w:t>
            </w:r>
          </w:p>
        </w:tc>
        <w:tc>
          <w:tcPr>
            <w:tcW w:w="1587" w:type="dxa"/>
            <w:vAlign w:val="center"/>
          </w:tcPr>
          <w:p w14:paraId="05599F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date</w:t>
            </w:r>
          </w:p>
        </w:tc>
        <w:tc>
          <w:tcPr>
            <w:tcW w:w="3005" w:type="dxa"/>
            <w:vAlign w:val="center"/>
          </w:tcPr>
          <w:p w14:paraId="3D83F1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Окончание налогового периода</w:t>
            </w:r>
          </w:p>
        </w:tc>
        <w:tc>
          <w:tcPr>
            <w:tcW w:w="2721" w:type="dxa"/>
            <w:vAlign w:val="center"/>
          </w:tcPr>
          <w:p w14:paraId="0DFEEE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31 декабря выбранного года</w:t>
            </w:r>
          </w:p>
        </w:tc>
      </w:tr>
      <w:tr w14:paraId="6ED7F23B">
        <w:tc>
          <w:tcPr>
            <w:tcW w:w="1814" w:type="dxa"/>
            <w:vAlign w:val="center"/>
          </w:tcPr>
          <w:p w14:paraId="3FCC63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recipient_type</w:t>
            </w:r>
          </w:p>
        </w:tc>
        <w:tc>
          <w:tcPr>
            <w:tcW w:w="1587" w:type="dxa"/>
            <w:vAlign w:val="center"/>
          </w:tcPr>
          <w:p w14:paraId="7944F7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varchar(20)</w:t>
            </w:r>
          </w:p>
        </w:tc>
        <w:tc>
          <w:tcPr>
            <w:tcW w:w="3005" w:type="dxa"/>
            <w:vAlign w:val="center"/>
          </w:tcPr>
          <w:p w14:paraId="5F07A9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Получатель вычета</w:t>
            </w:r>
          </w:p>
        </w:tc>
        <w:tc>
          <w:tcPr>
            <w:tcW w:w="2721" w:type="dxa"/>
            <w:vAlign w:val="center"/>
          </w:tcPr>
          <w:p w14:paraId="691EBA2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taxpayer / relative</w:t>
            </w:r>
          </w:p>
        </w:tc>
      </w:tr>
      <w:tr w14:paraId="5D8094BC">
        <w:tc>
          <w:tcPr>
            <w:tcW w:w="1814" w:type="dxa"/>
            <w:vAlign w:val="center"/>
          </w:tcPr>
          <w:p w14:paraId="76CE40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inn</w:t>
            </w:r>
          </w:p>
        </w:tc>
        <w:tc>
          <w:tcPr>
            <w:tcW w:w="1587" w:type="dxa"/>
            <w:vAlign w:val="center"/>
          </w:tcPr>
          <w:p w14:paraId="75F857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char(12)</w:t>
            </w:r>
          </w:p>
        </w:tc>
        <w:tc>
          <w:tcPr>
            <w:tcW w:w="3005" w:type="dxa"/>
            <w:vAlign w:val="center"/>
          </w:tcPr>
          <w:p w14:paraId="0B19D8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ИНН получателя</w:t>
            </w:r>
          </w:p>
        </w:tc>
        <w:tc>
          <w:tcPr>
            <w:tcW w:w="2721" w:type="dxa"/>
            <w:vAlign w:val="center"/>
          </w:tcPr>
          <w:p w14:paraId="75B11A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 цифр; проверка контрольного разряда</w:t>
            </w:r>
          </w:p>
        </w:tc>
      </w:tr>
      <w:tr w14:paraId="7EE2BB3C">
        <w:tc>
          <w:tcPr>
            <w:tcW w:w="1814" w:type="dxa"/>
            <w:vAlign w:val="center"/>
          </w:tcPr>
          <w:p w14:paraId="56BF4D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email</w:t>
            </w:r>
          </w:p>
        </w:tc>
        <w:tc>
          <w:tcPr>
            <w:tcW w:w="1587" w:type="dxa"/>
            <w:vAlign w:val="center"/>
          </w:tcPr>
          <w:p w14:paraId="6AFC1E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varchar(50)</w:t>
            </w:r>
          </w:p>
        </w:tc>
        <w:tc>
          <w:tcPr>
            <w:tcW w:w="3005" w:type="dxa"/>
            <w:vAlign w:val="center"/>
          </w:tcPr>
          <w:p w14:paraId="58E6D8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Электронная почта для справки</w:t>
            </w:r>
          </w:p>
        </w:tc>
        <w:tc>
          <w:tcPr>
            <w:tcW w:w="2721" w:type="dxa"/>
            <w:vAlign w:val="center"/>
          </w:tcPr>
          <w:p w14:paraId="03E27A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Валидируется по RFC 5322</w:t>
            </w:r>
          </w:p>
        </w:tc>
      </w:tr>
      <w:tr w14:paraId="7481968B">
        <w:tc>
          <w:tcPr>
            <w:tcW w:w="1814" w:type="dxa"/>
            <w:vAlign w:val="center"/>
          </w:tcPr>
          <w:p w14:paraId="4B54D0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status</w:t>
            </w:r>
          </w:p>
        </w:tc>
        <w:tc>
          <w:tcPr>
            <w:tcW w:w="1587" w:type="dxa"/>
            <w:vAlign w:val="center"/>
          </w:tcPr>
          <w:p w14:paraId="6BB573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varchar(30)</w:t>
            </w:r>
          </w:p>
        </w:tc>
        <w:tc>
          <w:tcPr>
            <w:tcW w:w="3005" w:type="dxa"/>
            <w:vAlign w:val="center"/>
          </w:tcPr>
          <w:p w14:paraId="54AD41C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Статус заявки</w:t>
            </w:r>
          </w:p>
        </w:tc>
        <w:tc>
          <w:tcPr>
            <w:tcW w:w="2721" w:type="dxa"/>
            <w:vAlign w:val="center"/>
          </w:tcPr>
          <w:p w14:paraId="5BFD29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new / in_progress / ready / rejected</w:t>
            </w:r>
          </w:p>
        </w:tc>
      </w:tr>
      <w:tr w14:paraId="634F4AC7">
        <w:tc>
          <w:tcPr>
            <w:tcW w:w="1814" w:type="dxa"/>
            <w:vAlign w:val="center"/>
          </w:tcPr>
          <w:p w14:paraId="74E4C8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created_at</w:t>
            </w:r>
          </w:p>
        </w:tc>
        <w:tc>
          <w:tcPr>
            <w:tcW w:w="1587" w:type="dxa"/>
            <w:vAlign w:val="center"/>
          </w:tcPr>
          <w:p w14:paraId="201131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timestamptz</w:t>
            </w:r>
          </w:p>
        </w:tc>
        <w:tc>
          <w:tcPr>
            <w:tcW w:w="3005" w:type="dxa"/>
            <w:vAlign w:val="center"/>
          </w:tcPr>
          <w:p w14:paraId="27D86F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Время создания заявки</w:t>
            </w:r>
          </w:p>
        </w:tc>
        <w:tc>
          <w:tcPr>
            <w:tcW w:w="2721" w:type="dxa"/>
            <w:vAlign w:val="center"/>
          </w:tcPr>
          <w:p w14:paraId="6566547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Заполняется автоматически</w:t>
            </w:r>
          </w:p>
        </w:tc>
      </w:tr>
    </w:tbl>
    <w:p w14:paraId="3C7E328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Связи между сущностями организованы по схеме «один-ко-многим». Таблица appointments хранит внешние ключи на пациента, клинику, врача и услугу; при удалении справочных сущностей применяется политика ON DELETE RESTRICT, что защищает историю визитов от потери данных. Таблица tax_certificate_requests ссылается только на пациента: состав визитов определяется выборкой по периоду запроса. Индексы созданы на поля phone_number (users), start_at (appointments) и created_at (tax_certificate_requests) для ускорения характерных выборок.</w:t>
      </w:r>
    </w:p>
    <w:p w14:paraId="441214D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Модель данных покрывает пациентский контур MVP и задаёт точки расширения для плана лечения и карты зубов формата FDI, которые относятся к последующим вехам. Схема согласована с функциональными требованиями записи, истории визитов и оформления справки для налогового вычета.</w:t>
      </w:r>
    </w:p>
    <w:p w14:paraId="1301C924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3.6 Кликабельный прототип интерфейса</w:t>
      </w:r>
    </w:p>
    <w:p w14:paraId="660AF92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Кликабельный прототип собран на стеке HTML, CSS и ванильного JavaScript и запускается локально в контейнере Nginx на адресе localhost:8080. Данные экранов — статические и не связаны с серверной частью: прототип предназначен для отработки маршрута записи и визуальной проверки гипотез до начала разработки боевого бэкенда. Это позволяет проверять пользовательский опыт без зависимостей от МИС и платёжного шлюза.</w:t>
      </w:r>
    </w:p>
    <w:p w14:paraId="73A1959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Маршрут записи в прототипе состоит из шести шагов: (1) главный экран с поисковой строкой и блоком «Ближайшая запись»; (2) каталог услуг с фильтрами по категориям; (3) карточка выбранной услуги с ценой и длительностью; (4) список подходящих врачей с рейтингом и ближайшим свободным слотом; (5) календарная сетка свободного расписания выбранного врача; (6) экран подтверждения записи со сводкой параметров. После подтверждения запись отображается в разделе «Ближайшая запись» на главном экране, где пациент может её отменить или перенести.</w:t>
      </w:r>
    </w:p>
    <w:p w14:paraId="49067CE5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250F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3.3 – Главный экран: поиск, ближайшая запись, быстрые действия</w:t>
      </w:r>
    </w:p>
    <w:p w14:paraId="05FDFDE4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61AC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3.4 – Экран выбора услуги с категорией, ценой и длительностью</w:t>
      </w:r>
    </w:p>
    <w:p w14:paraId="134DC8C0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F1CD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3.5 – Экран выбора врача со специализацией и ближайшим слотом</w:t>
      </w:r>
    </w:p>
    <w:p w14:paraId="5240CBE1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09D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3.6 – Экран подтверждения записи со сводкой параметров</w:t>
      </w:r>
    </w:p>
    <w:p w14:paraId="06CCB848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B560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3.7 – Экран профиля пациента с гарантиями и историей визитов</w:t>
      </w:r>
    </w:p>
    <w:p w14:paraId="1DB1840D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1B62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3.8 – Мокап интерфейса карты зубов FDI (вне MVP)</w:t>
      </w:r>
    </w:p>
    <w:p w14:paraId="62797035">
      <w:pPr>
        <w:keepNext/>
        <w:spacing w:before="0" w:after="0" w:line="360" w:lineRule="auto"/>
        <w:ind w:firstLine="0"/>
        <w:jc w:val="center"/>
      </w:pPr>
      <w:r>
        <w:drawing>
          <wp:inline distT="0" distB="0" distL="114300" distR="114300">
            <wp:extent cx="2519680" cy="5456555"/>
            <wp:effectExtent l="0" t="0" r="203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071D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3.9 – Мокап формы заявки на справку для налогового вычета</w:t>
      </w:r>
    </w:p>
    <w:p w14:paraId="2DB411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Прототип покрывает пациентские экраны, включённые в MVP, а также мокапы двух интерфейсов (карта зубов формата FDI и форма налогового вычета), перенесённых в последующие вехи. Совокупный набор экранов используется для валидации сценариев на пользовательских интервью до начала полноценной разработки.</w:t>
      </w:r>
    </w:p>
    <w:p w14:paraId="31710A17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3.7 Внешние интеграции, информационная безопасность и законодательная рамка</w:t>
      </w:r>
    </w:p>
    <w:p w14:paraId="7C97DF6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Продукт интегрируется с внешними сервисами по четырём направлениям: платежи, уведомления, электронный документооборот и данные медицинской информационной системы клиники. Каждое направление реализовано через отдельный доменный сервис, вызывающий внешние API по контракту, зафиксированному в OpenAPI-описании. Такой подход снижает сцепленность с конкретными поставщиками и упрощает замену провайдера при изменении коммерческих условий.</w:t>
      </w:r>
    </w:p>
    <w:p w14:paraId="25D4763A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3.19 – Внешние сервисы и API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685"/>
        <w:gridCol w:w="3061"/>
      </w:tblGrid>
      <w:tr w14:paraId="319C0C07">
        <w:tc>
          <w:tcPr>
            <w:tcW w:w="2608" w:type="dxa"/>
            <w:vAlign w:val="center"/>
          </w:tcPr>
          <w:p w14:paraId="5FE992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Сервис</w:t>
            </w:r>
          </w:p>
        </w:tc>
        <w:tc>
          <w:tcPr>
            <w:tcW w:w="3685" w:type="dxa"/>
            <w:vAlign w:val="center"/>
          </w:tcPr>
          <w:p w14:paraId="6AF553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Назначение</w:t>
            </w:r>
          </w:p>
        </w:tc>
        <w:tc>
          <w:tcPr>
            <w:tcW w:w="3061" w:type="dxa"/>
            <w:vAlign w:val="center"/>
          </w:tcPr>
          <w:p w14:paraId="016952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 интеграции</w:t>
            </w:r>
          </w:p>
        </w:tc>
      </w:tr>
      <w:tr w14:paraId="46A6C5AA">
        <w:tc>
          <w:tcPr>
            <w:tcW w:w="2608" w:type="dxa"/>
            <w:vAlign w:val="center"/>
          </w:tcPr>
          <w:p w14:paraId="602C0B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Система быстрых платежей (СБП)</w:t>
            </w:r>
          </w:p>
        </w:tc>
        <w:tc>
          <w:tcPr>
            <w:tcW w:w="3685" w:type="dxa"/>
            <w:vAlign w:val="center"/>
          </w:tcPr>
          <w:p w14:paraId="2F404B6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Оплата визита по QR</w:t>
            </w:r>
          </w:p>
        </w:tc>
        <w:tc>
          <w:tcPr>
            <w:tcW w:w="3061" w:type="dxa"/>
            <w:vAlign w:val="center"/>
          </w:tcPr>
          <w:p w14:paraId="523E8C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API, webhooks</w:t>
            </w:r>
          </w:p>
        </w:tc>
      </w:tr>
      <w:tr w14:paraId="5821D580">
        <w:tc>
          <w:tcPr>
            <w:tcW w:w="2608" w:type="dxa"/>
            <w:vAlign w:val="center"/>
          </w:tcPr>
          <w:p w14:paraId="4D6BC2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ЮKassa</w:t>
            </w:r>
          </w:p>
        </w:tc>
        <w:tc>
          <w:tcPr>
            <w:tcW w:w="3685" w:type="dxa"/>
            <w:vAlign w:val="center"/>
          </w:tcPr>
          <w:p w14:paraId="5D8C9F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Приём карточных платежей</w:t>
            </w:r>
          </w:p>
        </w:tc>
        <w:tc>
          <w:tcPr>
            <w:tcW w:w="3061" w:type="dxa"/>
            <w:vAlign w:val="center"/>
          </w:tcPr>
          <w:p w14:paraId="3CDB17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API, webhooks</w:t>
            </w:r>
          </w:p>
        </w:tc>
      </w:tr>
      <w:tr w14:paraId="13B0C352">
        <w:tc>
          <w:tcPr>
            <w:tcW w:w="2608" w:type="dxa"/>
            <w:vAlign w:val="center"/>
          </w:tcPr>
          <w:p w14:paraId="17A946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CloudPayments</w:t>
            </w:r>
          </w:p>
        </w:tc>
        <w:tc>
          <w:tcPr>
            <w:tcW w:w="3685" w:type="dxa"/>
            <w:vAlign w:val="center"/>
          </w:tcPr>
          <w:p w14:paraId="4E8BC4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Резервный эквайринг</w:t>
            </w:r>
          </w:p>
        </w:tc>
        <w:tc>
          <w:tcPr>
            <w:tcW w:w="3061" w:type="dxa"/>
            <w:vAlign w:val="center"/>
          </w:tcPr>
          <w:p w14:paraId="76F3D1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API, webhooks</w:t>
            </w:r>
          </w:p>
        </w:tc>
      </w:tr>
      <w:tr w14:paraId="7EF2DC2B">
        <w:tc>
          <w:tcPr>
            <w:tcW w:w="2608" w:type="dxa"/>
            <w:vAlign w:val="center"/>
          </w:tcPr>
          <w:p w14:paraId="60FB33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SMSC</w:t>
            </w:r>
          </w:p>
        </w:tc>
        <w:tc>
          <w:tcPr>
            <w:tcW w:w="3685" w:type="dxa"/>
            <w:vAlign w:val="center"/>
          </w:tcPr>
          <w:p w14:paraId="2F624C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Доставка SMS-сообщений</w:t>
            </w:r>
          </w:p>
        </w:tc>
        <w:tc>
          <w:tcPr>
            <w:tcW w:w="3061" w:type="dxa"/>
            <w:vAlign w:val="center"/>
          </w:tcPr>
          <w:p w14:paraId="14A773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HTTP API, отложенные статусы</w:t>
            </w:r>
          </w:p>
        </w:tc>
      </w:tr>
      <w:tr w14:paraId="37F24836">
        <w:tc>
          <w:tcPr>
            <w:tcW w:w="2608" w:type="dxa"/>
            <w:vAlign w:val="center"/>
          </w:tcPr>
          <w:p w14:paraId="683A5A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Firebase Cloud Messaging</w:t>
            </w:r>
          </w:p>
        </w:tc>
        <w:tc>
          <w:tcPr>
            <w:tcW w:w="3685" w:type="dxa"/>
            <w:vAlign w:val="center"/>
          </w:tcPr>
          <w:p w14:paraId="496E5C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Push-уведомления Android</w:t>
            </w:r>
          </w:p>
        </w:tc>
        <w:tc>
          <w:tcPr>
            <w:tcW w:w="3061" w:type="dxa"/>
            <w:vAlign w:val="center"/>
          </w:tcPr>
          <w:p w14:paraId="073DC1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SDK, серверные вызовы</w:t>
            </w:r>
          </w:p>
        </w:tc>
      </w:tr>
      <w:tr w14:paraId="13D0849D">
        <w:tc>
          <w:tcPr>
            <w:tcW w:w="2608" w:type="dxa"/>
            <w:vAlign w:val="center"/>
          </w:tcPr>
          <w:p w14:paraId="1D440E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Apple Push Notification Service</w:t>
            </w:r>
          </w:p>
        </w:tc>
        <w:tc>
          <w:tcPr>
            <w:tcW w:w="3685" w:type="dxa"/>
            <w:vAlign w:val="center"/>
          </w:tcPr>
          <w:p w14:paraId="0271A7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Push-уведомления iOS</w:t>
            </w:r>
          </w:p>
        </w:tc>
        <w:tc>
          <w:tcPr>
            <w:tcW w:w="3061" w:type="dxa"/>
            <w:vAlign w:val="center"/>
          </w:tcPr>
          <w:p w14:paraId="6F0561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HTTP/2 с сертификатной аутентификацией</w:t>
            </w:r>
          </w:p>
        </w:tc>
      </w:tr>
      <w:tr w14:paraId="05507870">
        <w:tc>
          <w:tcPr>
            <w:tcW w:w="2608" w:type="dxa"/>
            <w:vAlign w:val="center"/>
          </w:tcPr>
          <w:p w14:paraId="55763E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ЭДО Диадок</w:t>
            </w:r>
          </w:p>
        </w:tc>
        <w:tc>
          <w:tcPr>
            <w:tcW w:w="3685" w:type="dxa"/>
            <w:vAlign w:val="center"/>
          </w:tcPr>
          <w:p w14:paraId="374301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Электронный документооборот</w:t>
            </w:r>
          </w:p>
        </w:tc>
        <w:tc>
          <w:tcPr>
            <w:tcW w:w="3061" w:type="dxa"/>
            <w:vAlign w:val="center"/>
          </w:tcPr>
          <w:p w14:paraId="2EFCB11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SOAP API, сертификат УКЭП</w:t>
            </w:r>
          </w:p>
        </w:tc>
      </w:tr>
      <w:tr w14:paraId="2882998E">
        <w:tc>
          <w:tcPr>
            <w:tcW w:w="2608" w:type="dxa"/>
            <w:vAlign w:val="center"/>
          </w:tcPr>
          <w:p w14:paraId="3A5922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ЭДО СБИС</w:t>
            </w:r>
          </w:p>
        </w:tc>
        <w:tc>
          <w:tcPr>
            <w:tcW w:w="3685" w:type="dxa"/>
            <w:vAlign w:val="center"/>
          </w:tcPr>
          <w:p w14:paraId="71301E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Электронный документооборот</w:t>
            </w:r>
          </w:p>
        </w:tc>
        <w:tc>
          <w:tcPr>
            <w:tcW w:w="3061" w:type="dxa"/>
            <w:vAlign w:val="center"/>
          </w:tcPr>
          <w:p w14:paraId="224E82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API, сертификат УКЭП</w:t>
            </w:r>
          </w:p>
        </w:tc>
      </w:tr>
      <w:tr w14:paraId="61E8391C">
        <w:tc>
          <w:tcPr>
            <w:tcW w:w="2608" w:type="dxa"/>
            <w:vAlign w:val="center"/>
          </w:tcPr>
          <w:p w14:paraId="558266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ЕСИА (Госуслуги)</w:t>
            </w:r>
          </w:p>
        </w:tc>
        <w:tc>
          <w:tcPr>
            <w:tcW w:w="3685" w:type="dxa"/>
            <w:vAlign w:val="center"/>
          </w:tcPr>
          <w:p w14:paraId="313A5D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Верификация пациента</w:t>
            </w:r>
          </w:p>
        </w:tc>
        <w:tc>
          <w:tcPr>
            <w:tcW w:w="3061" w:type="dxa"/>
            <w:vAlign w:val="center"/>
          </w:tcPr>
          <w:p w14:paraId="1D4A14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OAuth 2.0 [9], OpenID Connect</w:t>
            </w:r>
          </w:p>
        </w:tc>
      </w:tr>
      <w:tr w14:paraId="4110257A">
        <w:tc>
          <w:tcPr>
            <w:tcW w:w="2608" w:type="dxa"/>
            <w:vAlign w:val="center"/>
          </w:tcPr>
          <w:p w14:paraId="63F814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МИС 1С-Стоматология</w:t>
            </w:r>
          </w:p>
        </w:tc>
        <w:tc>
          <w:tcPr>
            <w:tcW w:w="3685" w:type="dxa"/>
            <w:vAlign w:val="center"/>
          </w:tcPr>
          <w:p w14:paraId="2A0638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Расписание врачей, визиты</w:t>
            </w:r>
          </w:p>
        </w:tc>
        <w:tc>
          <w:tcPr>
            <w:tcW w:w="3061" w:type="dxa"/>
            <w:vAlign w:val="center"/>
          </w:tcPr>
          <w:p w14:paraId="779A55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 поставщика</w:t>
            </w:r>
          </w:p>
        </w:tc>
      </w:tr>
      <w:tr w14:paraId="4529AD33">
        <w:tc>
          <w:tcPr>
            <w:tcW w:w="2608" w:type="dxa"/>
            <w:vAlign w:val="center"/>
          </w:tcPr>
          <w:p w14:paraId="058F02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МИС IDENT</w:t>
            </w:r>
          </w:p>
        </w:tc>
        <w:tc>
          <w:tcPr>
            <w:tcW w:w="3685" w:type="dxa"/>
            <w:vAlign w:val="center"/>
          </w:tcPr>
          <w:p w14:paraId="54D8E9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Расписание врачей, визиты</w:t>
            </w:r>
          </w:p>
        </w:tc>
        <w:tc>
          <w:tcPr>
            <w:tcW w:w="3061" w:type="dxa"/>
            <w:vAlign w:val="center"/>
          </w:tcPr>
          <w:p w14:paraId="43E6D4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 поставщика</w:t>
            </w:r>
          </w:p>
        </w:tc>
      </w:tr>
      <w:tr w14:paraId="7A1904BA">
        <w:tc>
          <w:tcPr>
            <w:tcW w:w="2608" w:type="dxa"/>
            <w:vAlign w:val="center"/>
          </w:tcPr>
          <w:p w14:paraId="15CBB7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МИС StomX</w:t>
            </w:r>
          </w:p>
        </w:tc>
        <w:tc>
          <w:tcPr>
            <w:tcW w:w="3685" w:type="dxa"/>
            <w:vAlign w:val="center"/>
          </w:tcPr>
          <w:p w14:paraId="43F093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Расписание врачей, визиты</w:t>
            </w:r>
          </w:p>
        </w:tc>
        <w:tc>
          <w:tcPr>
            <w:tcW w:w="3061" w:type="dxa"/>
            <w:vAlign w:val="center"/>
          </w:tcPr>
          <w:p w14:paraId="1F37C8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 API поставщика</w:t>
            </w:r>
          </w:p>
        </w:tc>
      </w:tr>
      <w:tr w14:paraId="52FFEABA">
        <w:tc>
          <w:tcPr>
            <w:tcW w:w="2608" w:type="dxa"/>
            <w:vAlign w:val="center"/>
          </w:tcPr>
          <w:p w14:paraId="23EAD3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Шина N3.Health</w:t>
            </w:r>
          </w:p>
        </w:tc>
        <w:tc>
          <w:tcPr>
            <w:tcW w:w="3685" w:type="dxa"/>
            <w:vAlign w:val="center"/>
          </w:tcPr>
          <w:p w14:paraId="292395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Передача сведений о факте оказания медицинской помощи</w:t>
            </w:r>
          </w:p>
        </w:tc>
        <w:tc>
          <w:tcPr>
            <w:tcW w:w="3061" w:type="dxa"/>
            <w:vAlign w:val="center"/>
          </w:tcPr>
          <w:p w14:paraId="180B97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ЕГИСЗ-совместимый шлюз</w:t>
            </w:r>
          </w:p>
        </w:tc>
      </w:tr>
    </w:tbl>
    <w:p w14:paraId="414E024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Правовая рамка продукта определяется тремя основными актами: 152-ФЗ «О персональных данных» [10], 323-ФЗ «Об основах охраны здоровья граждан» [11] и статьёй 219 Налогового кодекса [12]. Отдельные требования к материалам о медицинских услугах устанавливает статья 24 Федерального закона «О рекламе» [13]. Ниже в таблице 3.20 представлены нормативные требования и способы их закрытия в продукте.</w:t>
      </w:r>
    </w:p>
    <w:p w14:paraId="6EFAF876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3.20 – Законодательные и нормативные требования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231"/>
        <w:gridCol w:w="3515"/>
      </w:tblGrid>
      <w:tr w14:paraId="25AE61FF">
        <w:tc>
          <w:tcPr>
            <w:tcW w:w="2608" w:type="dxa"/>
            <w:vAlign w:val="center"/>
          </w:tcPr>
          <w:p w14:paraId="7AE90A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Нормативный акт</w:t>
            </w:r>
          </w:p>
        </w:tc>
        <w:tc>
          <w:tcPr>
            <w:tcW w:w="3231" w:type="dxa"/>
            <w:vAlign w:val="center"/>
          </w:tcPr>
          <w:p w14:paraId="542F49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Требование</w:t>
            </w:r>
          </w:p>
        </w:tc>
        <w:tc>
          <w:tcPr>
            <w:tcW w:w="3515" w:type="dxa"/>
            <w:vAlign w:val="center"/>
          </w:tcPr>
          <w:p w14:paraId="472FC1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Как закрывается в продукте</w:t>
            </w:r>
          </w:p>
        </w:tc>
      </w:tr>
      <w:tr w14:paraId="156EC188">
        <w:tc>
          <w:tcPr>
            <w:tcW w:w="2608" w:type="dxa"/>
            <w:vAlign w:val="center"/>
          </w:tcPr>
          <w:p w14:paraId="1DC7BB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152-ФЗ «О персональных данных»</w:t>
            </w:r>
          </w:p>
        </w:tc>
        <w:tc>
          <w:tcPr>
            <w:tcW w:w="3231" w:type="dxa"/>
            <w:vAlign w:val="center"/>
          </w:tcPr>
          <w:p w14:paraId="00E1AD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Обработка и хранение персональных данных на серверах на территории России, согласие пациента, меры защиты уровня УЗ-3.</w:t>
            </w:r>
          </w:p>
        </w:tc>
        <w:tc>
          <w:tcPr>
            <w:tcW w:w="3515" w:type="dxa"/>
            <w:vAlign w:val="center"/>
          </w:tcPr>
          <w:p w14:paraId="7E7C77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Инфраструктура размещена в Yandex Cloud (регион Москва). Получение и отзыв согласий — через экран в приложении и журнал событий. Меры защиты УЗ-3 реализованы в подразделе об информационной безопасности.</w:t>
            </w:r>
          </w:p>
        </w:tc>
      </w:tr>
      <w:tr w14:paraId="3B5F2CD9">
        <w:tc>
          <w:tcPr>
            <w:tcW w:w="2608" w:type="dxa"/>
            <w:vAlign w:val="center"/>
          </w:tcPr>
          <w:p w14:paraId="5C2C2C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323-ФЗ «Об основах охраны здоровья граждан»</w:t>
            </w:r>
          </w:p>
        </w:tc>
        <w:tc>
          <w:tcPr>
            <w:tcW w:w="3231" w:type="dxa"/>
            <w:vAlign w:val="center"/>
          </w:tcPr>
          <w:p w14:paraId="6DE1E4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Сохранение врачебной тайны, ограничение доступа к данным о здоровье.</w:t>
            </w:r>
          </w:p>
        </w:tc>
        <w:tc>
          <w:tcPr>
            <w:tcW w:w="3515" w:type="dxa"/>
            <w:vAlign w:val="center"/>
          </w:tcPr>
          <w:p w14:paraId="7B26A3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Данные о диагнозах и назначениях шифруются на уровне приложения (pgcrypto). Доступ врачей ограничен политиками Row Level Security PostgreSQL по принципу наименьших привилегий.</w:t>
            </w:r>
          </w:p>
        </w:tc>
      </w:tr>
      <w:tr w14:paraId="1764C817">
        <w:tc>
          <w:tcPr>
            <w:tcW w:w="2608" w:type="dxa"/>
            <w:vAlign w:val="center"/>
          </w:tcPr>
          <w:p w14:paraId="2E65BC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Статья 219 НК РФ</w:t>
            </w:r>
          </w:p>
        </w:tc>
        <w:tc>
          <w:tcPr>
            <w:tcW w:w="3231" w:type="dxa"/>
            <w:vAlign w:val="center"/>
          </w:tcPr>
          <w:p w14:paraId="108B66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Выдача справки об оплате медицинских услуг для социального налогового вычета.</w:t>
            </w:r>
          </w:p>
        </w:tc>
        <w:tc>
          <w:tcPr>
            <w:tcW w:w="3515" w:type="dxa"/>
            <w:vAlign w:val="center"/>
          </w:tcPr>
          <w:p w14:paraId="171D53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Форма заявки в приложении собирает период, получателя и ИНН. Справка формируется и направляется пациенту по ЭДО в течение 5 рабочих дней.</w:t>
            </w:r>
          </w:p>
        </w:tc>
      </w:tr>
      <w:tr w14:paraId="46B57D61">
        <w:tc>
          <w:tcPr>
            <w:tcW w:w="2608" w:type="dxa"/>
            <w:vAlign w:val="center"/>
          </w:tcPr>
          <w:p w14:paraId="746887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Статья 24 ФЗ «О рекламе»</w:t>
            </w:r>
          </w:p>
        </w:tc>
        <w:tc>
          <w:tcPr>
            <w:tcW w:w="3231" w:type="dxa"/>
            <w:vAlign w:val="center"/>
          </w:tcPr>
          <w:p w14:paraId="76B26F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Требования к рекламе медицинских услуг, запрет гарантий выздоровления и сравнений с конкурентами.</w:t>
            </w:r>
          </w:p>
        </w:tc>
        <w:tc>
          <w:tcPr>
            <w:tcW w:w="3515" w:type="dxa"/>
            <w:vAlign w:val="center"/>
          </w:tcPr>
          <w:p w14:paraId="57236C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Маркетинговые блоки приложения проходят ручной юридический pre-review. Шаблоны напоминаний и уведомлений не содержат рекламных формулировок.</w:t>
            </w:r>
          </w:p>
        </w:tc>
      </w:tr>
      <w:tr w14:paraId="78AE03D1">
        <w:tc>
          <w:tcPr>
            <w:tcW w:w="2608" w:type="dxa"/>
            <w:vAlign w:val="center"/>
          </w:tcPr>
          <w:p w14:paraId="4CF4D0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ГОСТ Р 7.0.100-2018</w:t>
            </w:r>
          </w:p>
        </w:tc>
        <w:tc>
          <w:tcPr>
            <w:tcW w:w="3231" w:type="dxa"/>
            <w:vAlign w:val="center"/>
          </w:tcPr>
          <w:p w14:paraId="0D0C1F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Правила оформления библиографических записей для документации продукта.</w:t>
            </w:r>
          </w:p>
        </w:tc>
        <w:tc>
          <w:tcPr>
            <w:tcW w:w="3515" w:type="dxa"/>
            <w:vAlign w:val="center"/>
          </w:tcPr>
          <w:p w14:paraId="140A49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Список литературы и внутренняя техническая документация оформляются по ГОСТ [14].</w:t>
            </w:r>
          </w:p>
        </w:tc>
      </w:tr>
    </w:tbl>
    <w:p w14:paraId="2815BDF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Информационная безопасность обеспечивается набором мер, соответствующих уровню защищённости УЗ-3 по постановлению Правительства Российской Федерации № 1119 [15] и составу технических мер по приказу ФСТЭК № 21 [16]. Поля, содержащие персональные и медицинские данные, шифруются алгоритмом AES-256 через расширение pgcrypto; ключи хранятся в Hashicorp Vault с ротацией раз в 180 дней. Транспортный уровень защищён TLS 1.2+ с форсированной перенастройкой на TLS 1.3 при поддержке клиентом. Журналы аудита фиксируют вход, выдачу ролей, доступ к данным пациента и действия супер-администратора сети. Перечень проверок для ручного код-ревью и динамического тестирования дополняется рисками OWASP Top 10 [17]; общая модель процессов ИБ выстраивается по требованиям ISO/IEC 27001:2022 [18]. Ежегодно проводится внешний тест на проникновение, результаты оформляются отдельным отчётом с планом устранения выявленных слабостей.</w:t>
      </w:r>
    </w:p>
    <w:p w14:paraId="2BB1A07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Продукт не относится к медицинским изделиям по 323-ФЗ и не подлежит регистрации в Росздравнадзоре. Такой вывод сделан из перечня функциональных требований: приложение не выполняет постановку диагноза, не формирует назначения лечения, не интерпретирует медицинские изображения и не автоматизирует принятие решений, влияющих на медицинскую помощь. Все медицинские действия совершает врач клиники в собственной информационной системе, а приложение служит лишь средством связи пациента с клиникой и оформления документов.</w:t>
      </w:r>
    </w:p>
    <w:p w14:paraId="5576A7E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Перечислены 13 внешних интеграций по четырём направлениям и пять основных нормативных требований, закрываемых в продукте. Меры информационной безопасности соответствуют уровню защищённости УЗ-3; статус «не медицинское изделие» обоснован отсутствием функций диагностики и назначения лечения.</w:t>
      </w:r>
    </w:p>
    <w:p w14:paraId="03B81781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3.8 Экономическая эффективность и прогнозный ROI</w:t>
      </w:r>
    </w:p>
    <w:p w14:paraId="2C12A4D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 экономической эффективности выполнен в форме прогноза для базового сценария внедрения продукта в одной клинике сети. Входные параметры разделены на две группы: отраслевые метрики, подтверждённые открытыми публикациями [19] [20] [21] (см. таблицу 3.21), и модельные допущения о профиле клиники, которые помечены отдельно и требуют валидации в пилоте продолжительностью 2–3 месяца. Цель раздела — показать, что при базовых значениях параметров проект окупается за срок, сопоставимый с длительностью разработки, а итог расчёта чувствителен к величинам удержания и среднего LTV.</w:t>
      </w:r>
    </w:p>
    <w:p w14:paraId="1523D5C5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3.21 – Исходные данные расчёта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721"/>
        <w:gridCol w:w="3118"/>
      </w:tblGrid>
      <w:tr w14:paraId="5B7CFCB0">
        <w:tc>
          <w:tcPr>
            <w:tcW w:w="3515" w:type="dxa"/>
            <w:vAlign w:val="center"/>
          </w:tcPr>
          <w:p w14:paraId="65D7A6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Метрика</w:t>
            </w:r>
          </w:p>
        </w:tc>
        <w:tc>
          <w:tcPr>
            <w:tcW w:w="2721" w:type="dxa"/>
            <w:vAlign w:val="center"/>
          </w:tcPr>
          <w:p w14:paraId="3045B4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Значение (базовый сценарий)</w:t>
            </w:r>
          </w:p>
        </w:tc>
        <w:tc>
          <w:tcPr>
            <w:tcW w:w="3118" w:type="dxa"/>
            <w:vAlign w:val="center"/>
          </w:tcPr>
          <w:p w14:paraId="1AF5C7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Источник / статус</w:t>
            </w:r>
          </w:p>
        </w:tc>
      </w:tr>
      <w:tr w14:paraId="267576AB">
        <w:tc>
          <w:tcPr>
            <w:tcW w:w="3515" w:type="dxa"/>
            <w:vAlign w:val="center"/>
          </w:tcPr>
          <w:p w14:paraId="383F05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No-show, %</w:t>
            </w:r>
          </w:p>
        </w:tc>
        <w:tc>
          <w:tcPr>
            <w:tcW w:w="2721" w:type="dxa"/>
            <w:vAlign w:val="center"/>
          </w:tcPr>
          <w:p w14:paraId="2AEB8F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18,0 %</w:t>
            </w:r>
          </w:p>
        </w:tc>
        <w:tc>
          <w:tcPr>
            <w:tcW w:w="3118" w:type="dxa"/>
            <w:vAlign w:val="center"/>
          </w:tcPr>
          <w:p w14:paraId="51549E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industry_report, verified</w:t>
            </w:r>
          </w:p>
        </w:tc>
      </w:tr>
      <w:tr w14:paraId="7F3EC5E2">
        <w:tc>
          <w:tcPr>
            <w:tcW w:w="3515" w:type="dxa"/>
            <w:vAlign w:val="center"/>
          </w:tcPr>
          <w:p w14:paraId="02EBD613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Средний чек первичного приёма,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721" w:type="dxa"/>
            <w:vAlign w:val="center"/>
          </w:tcPr>
          <w:p w14:paraId="50892081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5 000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3118" w:type="dxa"/>
            <w:vAlign w:val="center"/>
          </w:tcPr>
          <w:p w14:paraId="2C68D2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industry_report, verified</w:t>
            </w:r>
          </w:p>
        </w:tc>
      </w:tr>
      <w:tr w14:paraId="369B2BDE">
        <w:tc>
          <w:tcPr>
            <w:tcW w:w="3515" w:type="dxa"/>
            <w:vAlign w:val="center"/>
          </w:tcPr>
          <w:p w14:paraId="671E79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Доля повторных визитов, %</w:t>
            </w:r>
          </w:p>
        </w:tc>
        <w:tc>
          <w:tcPr>
            <w:tcW w:w="2721" w:type="dxa"/>
            <w:vAlign w:val="center"/>
          </w:tcPr>
          <w:p w14:paraId="5588AA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57,0 %</w:t>
            </w:r>
          </w:p>
        </w:tc>
        <w:tc>
          <w:tcPr>
            <w:tcW w:w="3118" w:type="dxa"/>
            <w:vAlign w:val="center"/>
          </w:tcPr>
          <w:p w14:paraId="7FBD3F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industry_report, verified</w:t>
            </w:r>
          </w:p>
        </w:tc>
      </w:tr>
      <w:tr w14:paraId="7766FDC3">
        <w:tc>
          <w:tcPr>
            <w:tcW w:w="3515" w:type="dxa"/>
            <w:vAlign w:val="center"/>
          </w:tcPr>
          <w:p w14:paraId="3FA8E5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Снижение no-show от SMS-напоминаний, %</w:t>
            </w:r>
          </w:p>
        </w:tc>
        <w:tc>
          <w:tcPr>
            <w:tcW w:w="2721" w:type="dxa"/>
            <w:vAlign w:val="center"/>
          </w:tcPr>
          <w:p w14:paraId="11B33A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29,0 %</w:t>
            </w:r>
          </w:p>
        </w:tc>
        <w:tc>
          <w:tcPr>
            <w:tcW w:w="3118" w:type="dxa"/>
            <w:vAlign w:val="center"/>
          </w:tcPr>
          <w:p w14:paraId="431C0E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meta_analysis, verified</w:t>
            </w:r>
          </w:p>
        </w:tc>
      </w:tr>
      <w:tr w14:paraId="4DFD215D">
        <w:tc>
          <w:tcPr>
            <w:tcW w:w="3515" w:type="dxa"/>
            <w:vAlign w:val="center"/>
          </w:tcPr>
          <w:p w14:paraId="79D33578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Средний LTV пациента,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721" w:type="dxa"/>
            <w:vAlign w:val="center"/>
          </w:tcPr>
          <w:p w14:paraId="4884046A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120 000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3118" w:type="dxa"/>
            <w:vAlign w:val="center"/>
          </w:tcPr>
          <w:p w14:paraId="0B71CC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hypothesis, hypothesis</w:t>
            </w:r>
          </w:p>
        </w:tc>
      </w:tr>
      <w:tr w14:paraId="3D8BD697">
        <w:tc>
          <w:tcPr>
            <w:tcW w:w="3515" w:type="dxa"/>
            <w:vAlign w:val="center"/>
          </w:tcPr>
          <w:p w14:paraId="74B98B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Инфраструктурные затраты,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/мес</w:t>
            </w:r>
          </w:p>
        </w:tc>
        <w:tc>
          <w:tcPr>
            <w:tcW w:w="2721" w:type="dxa"/>
            <w:vAlign w:val="center"/>
          </w:tcPr>
          <w:p w14:paraId="066B330B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21 000 </w:t>
            </w:r>
            <w:bookmarkStart w:id="0" w:name="_GoBack"/>
            <w:bookmarkEnd w:id="0"/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3118" w:type="dxa"/>
            <w:vAlign w:val="center"/>
          </w:tcPr>
          <w:p w14:paraId="4A9C7A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vendor_pricing, verified [22] [23]</w:t>
            </w:r>
          </w:p>
        </w:tc>
      </w:tr>
      <w:tr w14:paraId="4252F724">
        <w:tc>
          <w:tcPr>
            <w:tcW w:w="3515" w:type="dxa"/>
            <w:vAlign w:val="center"/>
          </w:tcPr>
          <w:p w14:paraId="4EC397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Активные пациенты одной клиники в год, чел.</w:t>
            </w:r>
          </w:p>
        </w:tc>
        <w:tc>
          <w:tcPr>
            <w:tcW w:w="2721" w:type="dxa"/>
            <w:vAlign w:val="center"/>
          </w:tcPr>
          <w:p w14:paraId="4D658D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6 000</w:t>
            </w:r>
          </w:p>
        </w:tc>
        <w:tc>
          <w:tcPr>
            <w:tcW w:w="3118" w:type="dxa"/>
            <w:vAlign w:val="center"/>
          </w:tcPr>
          <w:p w14:paraId="3861C9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оценка, требует валидации в пилоте</w:t>
            </w:r>
          </w:p>
        </w:tc>
      </w:tr>
      <w:tr w14:paraId="10A82156">
        <w:tc>
          <w:tcPr>
            <w:tcW w:w="3515" w:type="dxa"/>
            <w:vAlign w:val="center"/>
          </w:tcPr>
          <w:p w14:paraId="125EA7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Визитов на активного пациента в год</w:t>
            </w:r>
          </w:p>
        </w:tc>
        <w:tc>
          <w:tcPr>
            <w:tcW w:w="2721" w:type="dxa"/>
            <w:vAlign w:val="center"/>
          </w:tcPr>
          <w:p w14:paraId="76B915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2,5</w:t>
            </w:r>
          </w:p>
        </w:tc>
        <w:tc>
          <w:tcPr>
            <w:tcW w:w="3118" w:type="dxa"/>
            <w:vAlign w:val="center"/>
          </w:tcPr>
          <w:p w14:paraId="320F8C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отраслевым бенчмаркам</w:t>
            </w:r>
          </w:p>
        </w:tc>
      </w:tr>
      <w:tr w14:paraId="4110E52D">
        <w:tc>
          <w:tcPr>
            <w:tcW w:w="3515" w:type="dxa"/>
            <w:vAlign w:val="center"/>
          </w:tcPr>
          <w:p w14:paraId="612EBE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Плановый рост удержания за счёт приложения, п.п.</w:t>
            </w:r>
          </w:p>
        </w:tc>
        <w:tc>
          <w:tcPr>
            <w:tcW w:w="2721" w:type="dxa"/>
            <w:vAlign w:val="center"/>
          </w:tcPr>
          <w:p w14:paraId="570EE9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+3,0 п.п.</w:t>
            </w:r>
          </w:p>
        </w:tc>
        <w:tc>
          <w:tcPr>
            <w:tcW w:w="3118" w:type="dxa"/>
            <w:vAlign w:val="center"/>
          </w:tcPr>
          <w:p w14:paraId="30CC54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оценка, требует валидации в пилоте</w:t>
            </w:r>
          </w:p>
        </w:tc>
      </w:tr>
    </w:tbl>
    <w:p w14:paraId="36764B80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3.22 – Структура капитальных затрат (CAPEX) на 9 месяцев разработки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1465"/>
        <w:gridCol w:w="2551"/>
      </w:tblGrid>
      <w:tr w14:paraId="7D577D9B">
        <w:tc>
          <w:tcPr>
            <w:tcW w:w="5386" w:type="dxa"/>
            <w:vAlign w:val="center"/>
          </w:tcPr>
          <w:p w14:paraId="15D5A7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Статья</w:t>
            </w:r>
          </w:p>
        </w:tc>
        <w:tc>
          <w:tcPr>
            <w:tcW w:w="1417" w:type="dxa"/>
            <w:vAlign w:val="center"/>
          </w:tcPr>
          <w:p w14:paraId="00655205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Значение, млн </w:t>
            </w:r>
            <w:r>
              <w:rPr>
                <w:rFonts w:cs="Times New Roman"/>
                <w:b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551" w:type="dxa"/>
            <w:vAlign w:val="center"/>
          </w:tcPr>
          <w:p w14:paraId="2C1A13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Источник / статус</w:t>
            </w:r>
          </w:p>
        </w:tc>
      </w:tr>
      <w:tr w14:paraId="290146E9">
        <w:tc>
          <w:tcPr>
            <w:tcW w:w="5386" w:type="dxa"/>
            <w:vAlign w:val="center"/>
          </w:tcPr>
          <w:p w14:paraId="22819C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M1 (месяцы 1–3): детальный ТЗ, архитектура, дизайн, инфраструктура</w:t>
            </w:r>
          </w:p>
        </w:tc>
        <w:tc>
          <w:tcPr>
            <w:tcW w:w="1417" w:type="dxa"/>
            <w:vAlign w:val="center"/>
          </w:tcPr>
          <w:p w14:paraId="1CDF99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7,0</w:t>
            </w:r>
          </w:p>
        </w:tc>
        <w:tc>
          <w:tcPr>
            <w:tcW w:w="2551" w:type="dxa"/>
            <w:vAlign w:val="center"/>
          </w:tcPr>
          <w:p w14:paraId="6297FA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ставкам рынка (команда 5–6 чел.)</w:t>
            </w:r>
          </w:p>
        </w:tc>
      </w:tr>
      <w:tr w14:paraId="22290931">
        <w:tc>
          <w:tcPr>
            <w:tcW w:w="5386" w:type="dxa"/>
            <w:vAlign w:val="center"/>
          </w:tcPr>
          <w:p w14:paraId="18D646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M2 (месяцы 4–6): разработка пациентского контура и админ-кабинета сотрудника</w:t>
            </w:r>
          </w:p>
        </w:tc>
        <w:tc>
          <w:tcPr>
            <w:tcW w:w="1417" w:type="dxa"/>
            <w:vAlign w:val="center"/>
          </w:tcPr>
          <w:p w14:paraId="04A903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11,0</w:t>
            </w:r>
          </w:p>
        </w:tc>
        <w:tc>
          <w:tcPr>
            <w:tcW w:w="2551" w:type="dxa"/>
            <w:vAlign w:val="center"/>
          </w:tcPr>
          <w:p w14:paraId="1B5EA5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ставкам рынка</w:t>
            </w:r>
          </w:p>
        </w:tc>
      </w:tr>
      <w:tr w14:paraId="2B8882C4">
        <w:tc>
          <w:tcPr>
            <w:tcW w:w="5386" w:type="dxa"/>
            <w:vAlign w:val="center"/>
          </w:tcPr>
          <w:p w14:paraId="3625BF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M3 (месяцы 7–9): интеграции, стабилизация, пилот одной клиники сети</w:t>
            </w:r>
          </w:p>
        </w:tc>
        <w:tc>
          <w:tcPr>
            <w:tcW w:w="1417" w:type="dxa"/>
            <w:vAlign w:val="center"/>
          </w:tcPr>
          <w:p w14:paraId="4E32C8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5,5</w:t>
            </w:r>
          </w:p>
        </w:tc>
        <w:tc>
          <w:tcPr>
            <w:tcW w:w="2551" w:type="dxa"/>
            <w:vAlign w:val="center"/>
          </w:tcPr>
          <w:p w14:paraId="6E3C92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ставкам рынка</w:t>
            </w:r>
          </w:p>
        </w:tc>
      </w:tr>
      <w:tr w14:paraId="08BB792B">
        <w:tc>
          <w:tcPr>
            <w:tcW w:w="5386" w:type="dxa"/>
            <w:vAlign w:val="center"/>
          </w:tcPr>
          <w:p w14:paraId="31F4CC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Непрямые расходы: HR, менеджмент, юридическое сопровождение</w:t>
            </w:r>
          </w:p>
        </w:tc>
        <w:tc>
          <w:tcPr>
            <w:tcW w:w="1417" w:type="dxa"/>
            <w:vAlign w:val="center"/>
          </w:tcPr>
          <w:p w14:paraId="7CECD5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1,5</w:t>
            </w:r>
          </w:p>
        </w:tc>
        <w:tc>
          <w:tcPr>
            <w:tcW w:w="2551" w:type="dxa"/>
            <w:vAlign w:val="center"/>
          </w:tcPr>
          <w:p w14:paraId="6245CE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(до 6 % от прямых затрат)</w:t>
            </w:r>
          </w:p>
        </w:tc>
      </w:tr>
      <w:tr w14:paraId="1021CEA9">
        <w:tc>
          <w:tcPr>
            <w:tcW w:w="5386" w:type="dxa"/>
            <w:vAlign w:val="center"/>
          </w:tcPr>
          <w:p w14:paraId="31AC2E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Резерв 10 %</w:t>
            </w:r>
          </w:p>
        </w:tc>
        <w:tc>
          <w:tcPr>
            <w:tcW w:w="1417" w:type="dxa"/>
            <w:vAlign w:val="center"/>
          </w:tcPr>
          <w:p w14:paraId="139BA8E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</w:t>
            </w:r>
          </w:p>
        </w:tc>
        <w:tc>
          <w:tcPr>
            <w:tcW w:w="2551" w:type="dxa"/>
            <w:vAlign w:val="center"/>
          </w:tcPr>
          <w:p w14:paraId="053FFD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</w:t>
            </w:r>
          </w:p>
        </w:tc>
      </w:tr>
      <w:tr w14:paraId="5F142992">
        <w:tc>
          <w:tcPr>
            <w:tcW w:w="5386" w:type="dxa"/>
            <w:vAlign w:val="center"/>
          </w:tcPr>
          <w:p w14:paraId="2A443E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CAPEX</w:t>
            </w:r>
          </w:p>
        </w:tc>
        <w:tc>
          <w:tcPr>
            <w:tcW w:w="1417" w:type="dxa"/>
            <w:vAlign w:val="center"/>
          </w:tcPr>
          <w:p w14:paraId="3FEC67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26,0</w:t>
            </w:r>
          </w:p>
        </w:tc>
        <w:tc>
          <w:tcPr>
            <w:tcW w:w="2551" w:type="dxa"/>
            <w:vAlign w:val="center"/>
          </w:tcPr>
          <w:p w14:paraId="775039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Сумма строк выше</w:t>
            </w:r>
          </w:p>
        </w:tc>
      </w:tr>
    </w:tbl>
    <w:p w14:paraId="54498B3D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3.23 – Структура операционных затрат (OPEX) после запуска, </w:t>
      </w:r>
      <w:r>
        <w:rPr>
          <w:rFonts w:cs="Times New Roman"/>
          <w:color w:val="000000"/>
          <w:sz w:val="28"/>
          <w:lang w:val="ru-RU"/>
        </w:rPr>
        <w:t>руб.</w:t>
      </w:r>
      <w:r>
        <w:rPr>
          <w:rFonts w:ascii="Times New Roman" w:hAnsi="Times New Roman" w:eastAsia="Times New Roman" w:cs="Times New Roman"/>
          <w:color w:val="000000"/>
          <w:sz w:val="28"/>
        </w:rPr>
        <w:t>/месяц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984"/>
        <w:gridCol w:w="2835"/>
      </w:tblGrid>
      <w:tr w14:paraId="45F57386">
        <w:tc>
          <w:tcPr>
            <w:tcW w:w="4535" w:type="dxa"/>
            <w:vAlign w:val="center"/>
          </w:tcPr>
          <w:p w14:paraId="1FA60B7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Статья</w:t>
            </w:r>
          </w:p>
        </w:tc>
        <w:tc>
          <w:tcPr>
            <w:tcW w:w="1984" w:type="dxa"/>
            <w:vAlign w:val="center"/>
          </w:tcPr>
          <w:p w14:paraId="5BDC215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Значение, </w:t>
            </w:r>
            <w:r>
              <w:rPr>
                <w:rFonts w:cs="Times New Roman"/>
                <w:b/>
                <w:color w:val="000000"/>
                <w:sz w:val="28"/>
                <w:lang w:val="ru-RU"/>
              </w:rPr>
              <w:t>руб.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/мес</w:t>
            </w:r>
          </w:p>
        </w:tc>
        <w:tc>
          <w:tcPr>
            <w:tcW w:w="2835" w:type="dxa"/>
            <w:vAlign w:val="center"/>
          </w:tcPr>
          <w:p w14:paraId="6A8DAB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Источник / статус</w:t>
            </w:r>
          </w:p>
        </w:tc>
      </w:tr>
      <w:tr w14:paraId="32316BC8">
        <w:tc>
          <w:tcPr>
            <w:tcW w:w="4535" w:type="dxa"/>
            <w:vAlign w:val="center"/>
          </w:tcPr>
          <w:p w14:paraId="33E0C1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Инфраструктура (Yandex Cloud, Selectel)</w:t>
            </w:r>
          </w:p>
        </w:tc>
        <w:tc>
          <w:tcPr>
            <w:tcW w:w="1984" w:type="dxa"/>
            <w:vAlign w:val="center"/>
          </w:tcPr>
          <w:p w14:paraId="14BE3CAB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21 000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19D905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vendor_pricing, verified</w:t>
            </w:r>
          </w:p>
        </w:tc>
      </w:tr>
      <w:tr w14:paraId="4070C459">
        <w:tc>
          <w:tcPr>
            <w:tcW w:w="4535" w:type="dxa"/>
            <w:vAlign w:val="center"/>
          </w:tcPr>
          <w:p w14:paraId="31D207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SMS-шлюз (SMSC)</w:t>
            </w:r>
          </w:p>
        </w:tc>
        <w:tc>
          <w:tcPr>
            <w:tcW w:w="1984" w:type="dxa"/>
            <w:vAlign w:val="center"/>
          </w:tcPr>
          <w:p w14:paraId="6AD6CCCF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45 000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2D5C51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тарифам SMSC</w:t>
            </w:r>
          </w:p>
        </w:tc>
      </w:tr>
      <w:tr w14:paraId="3A9B8F65">
        <w:tc>
          <w:tcPr>
            <w:tcW w:w="4535" w:type="dxa"/>
            <w:vAlign w:val="center"/>
          </w:tcPr>
          <w:p w14:paraId="24A699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ЭДО (Диадок/СБИС)</w:t>
            </w:r>
          </w:p>
        </w:tc>
        <w:tc>
          <w:tcPr>
            <w:tcW w:w="1984" w:type="dxa"/>
            <w:vAlign w:val="center"/>
          </w:tcPr>
          <w:p w14:paraId="4BFFABCA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12 000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7E105A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публичным тарифам</w:t>
            </w:r>
          </w:p>
        </w:tc>
      </w:tr>
      <w:tr w14:paraId="798C3E6D">
        <w:tc>
          <w:tcPr>
            <w:tcW w:w="4535" w:type="dxa"/>
            <w:vAlign w:val="center"/>
          </w:tcPr>
          <w:p w14:paraId="318F90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Команда поддержки (Middle + 0,5 Senior)</w:t>
            </w:r>
          </w:p>
        </w:tc>
        <w:tc>
          <w:tcPr>
            <w:tcW w:w="1984" w:type="dxa"/>
            <w:vAlign w:val="center"/>
          </w:tcPr>
          <w:p w14:paraId="62B62E3E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600 000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52DE13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 по рыночным ставкам</w:t>
            </w:r>
          </w:p>
        </w:tc>
      </w:tr>
      <w:tr w14:paraId="513658A8">
        <w:tc>
          <w:tcPr>
            <w:tcW w:w="4535" w:type="dxa"/>
            <w:vAlign w:val="center"/>
          </w:tcPr>
          <w:p w14:paraId="60FA92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Compliance (пентесты, ротация ключей)</w:t>
            </w:r>
          </w:p>
        </w:tc>
        <w:tc>
          <w:tcPr>
            <w:tcW w:w="1984" w:type="dxa"/>
            <w:vAlign w:val="center"/>
          </w:tcPr>
          <w:p w14:paraId="19E18F9C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20 000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62B839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</w:t>
            </w:r>
          </w:p>
        </w:tc>
      </w:tr>
      <w:tr w14:paraId="5F60420E">
        <w:tc>
          <w:tcPr>
            <w:tcW w:w="4535" w:type="dxa"/>
            <w:vAlign w:val="center"/>
          </w:tcPr>
          <w:p w14:paraId="5B8C54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Резерв 10 %</w:t>
            </w:r>
          </w:p>
        </w:tc>
        <w:tc>
          <w:tcPr>
            <w:tcW w:w="1984" w:type="dxa"/>
            <w:vAlign w:val="center"/>
          </w:tcPr>
          <w:p w14:paraId="2F9F1A40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69 800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6079E8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</w:t>
            </w:r>
          </w:p>
        </w:tc>
      </w:tr>
      <w:tr w14:paraId="521B0E0D">
        <w:tc>
          <w:tcPr>
            <w:tcW w:w="4535" w:type="dxa"/>
            <w:vAlign w:val="center"/>
          </w:tcPr>
          <w:p w14:paraId="64F205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OPEX</w:t>
            </w:r>
          </w:p>
        </w:tc>
        <w:tc>
          <w:tcPr>
            <w:tcW w:w="1984" w:type="dxa"/>
            <w:vAlign w:val="center"/>
          </w:tcPr>
          <w:p w14:paraId="2F7C8993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767 800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2835" w:type="dxa"/>
            <w:vAlign w:val="center"/>
          </w:tcPr>
          <w:p w14:paraId="15C913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Сумма строк выше</w:t>
            </w:r>
          </w:p>
        </w:tc>
      </w:tr>
    </w:tbl>
    <w:p w14:paraId="3D023E8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количественной оценки экономического эффекта приняты следующие формулы. Экономия на сокращении неявок Economy_no_show равна числу визитов за год, умноженному на базовый уровень неявок, относительное снижение от напоминаний и средний чек первичного приёма. Прирост выручки от удержания ΔRevenue_retention равен числу активных пациентов, умноженному на прирост доли удержания и средний LTV. Срок окупаемости Payback рассчитывается как отношение капитальных затрат к сумме годовых экономий и прироста выручки за вычетом годовых операционных затрат. ROI за 24 месяца учитывает возвращённую и прирастающую выручку относительно капитальных и операционных затрат:</w:t>
      </w:r>
    </w:p>
    <w:p w14:paraId="34AA5292">
      <w:pPr>
        <w:tabs>
          <w:tab w:val="center" w:pos="4677"/>
          <w:tab w:val="right" w:pos="9355"/>
        </w:tabs>
        <w:spacing w:before="0" w:after="0" w:line="360" w:lineRule="auto"/>
        <w:ind w:firstLine="0"/>
        <w:jc w:val="center"/>
      </w:pPr>
      <w:r>
        <w:tab/>
      </w:r>
      <m:oMath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Economy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noshow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=</m:t>
        </m:r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N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visits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×</m:t>
        </m:r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r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noshow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×</m:t>
        </m:r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reminder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×AvgTicket</m:t>
        </m:r>
      </m:oMath>
      <w: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(3.1)</w:t>
      </w:r>
    </w:p>
    <w:p w14:paraId="2198F126">
      <w:pPr>
        <w:tabs>
          <w:tab w:val="center" w:pos="4677"/>
          <w:tab w:val="right" w:pos="9355"/>
        </w:tabs>
        <w:spacing w:before="0" w:after="0" w:line="360" w:lineRule="auto"/>
        <w:ind w:firstLine="0"/>
        <w:jc w:val="center"/>
      </w:pPr>
      <w:r>
        <w:tab/>
      </w:r>
      <m:oMath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ΔRevenue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retention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=</m:t>
        </m:r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N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active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×ΔRetention×AvgLTV</m:t>
        </m:r>
      </m:oMath>
      <w: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(3.2)</w:t>
      </w:r>
    </w:p>
    <w:p w14:paraId="28E7AA6B">
      <w:pPr>
        <w:tabs>
          <w:tab w:val="center" w:pos="4677"/>
          <w:tab w:val="right" w:pos="9355"/>
        </w:tabs>
        <w:spacing w:before="0" w:after="0" w:line="360" w:lineRule="auto"/>
        <w:ind w:firstLine="0"/>
        <w:jc w:val="center"/>
      </w:pPr>
      <w:r>
        <w:tab/>
      </w:r>
      <m:oMath>
        <m:r>
          <m:rPr/>
          <w:rPr>
            <w:rFonts w:ascii="Cambria Math" w:hAnsi="Cambria Math" w:eastAsia="Cambria Math"/>
            <w:sz w:val="28"/>
            <w:szCs w:val="28"/>
          </w:rPr>
          <m:t>Payback=</m:t>
        </m:r>
        <m:f>
          <m:fPr/>
          <m:num>
            <m:r>
              <m:rPr/>
              <w:rPr>
                <w:rFonts w:ascii="Cambria Math" w:hAnsi="Cambria Math" w:eastAsia="Cambria Math"/>
                <w:sz w:val="28"/>
                <w:szCs w:val="28"/>
              </w:rPr>
              <m:t>CAPEX</m:t>
            </m:r>
          </m:num>
          <m:den>
            <m:r>
              <m:rPr/>
              <w:rPr>
                <w:rFonts w:ascii="Cambria Math" w:hAnsi="Cambria Math" w:eastAsia="Cambria Math"/>
                <w:sz w:val="28"/>
                <w:szCs w:val="28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Economy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noshow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ΔRevenue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retention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−12×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OPEX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monthly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)</m:t>
            </m:r>
          </m:den>
        </m:f>
      </m:oMath>
      <w: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(3.3)</w:t>
      </w:r>
    </w:p>
    <w:p w14:paraId="58421F1B">
      <w:pPr>
        <w:tabs>
          <w:tab w:val="center" w:pos="4677"/>
          <w:tab w:val="right" w:pos="9355"/>
        </w:tabs>
        <w:spacing w:before="0" w:after="0" w:line="360" w:lineRule="auto"/>
        <w:ind w:firstLine="0"/>
        <w:jc w:val="center"/>
      </w:pPr>
      <w:r>
        <w:tab/>
      </w:r>
      <m:oMath>
        <m:sSub>
          <m:sSubPr/>
          <m:e>
            <m:r>
              <m:rPr/>
              <w:rPr>
                <w:rFonts w:ascii="Cambria Math" w:hAnsi="Cambria Math" w:eastAsia="Cambria Math"/>
                <w:sz w:val="28"/>
                <w:szCs w:val="28"/>
              </w:rPr>
              <m:t>ROI</m:t>
            </m:r>
          </m:e>
          <m: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24mo</m:t>
            </m:r>
          </m:sub>
        </m:sSub>
        <m:r>
          <m:rPr/>
          <w:rPr>
            <w:rFonts w:ascii="Cambria Math" w:hAnsi="Cambria Math" w:eastAsia="Cambria Math"/>
            <w:sz w:val="28"/>
            <w:szCs w:val="28"/>
          </w:rPr>
          <m:t>=</m:t>
        </m:r>
        <m:f>
          <m:fPr/>
          <m:num>
            <m:r>
              <m:rPr/>
              <w:rPr>
                <w:rFonts w:ascii="Cambria Math" w:hAnsi="Cambria Math" w:eastAsia="Cambria Math"/>
                <w:sz w:val="28"/>
                <w:szCs w:val="28"/>
              </w:rPr>
              <m:t>(2×(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Economy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noshow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ΔRevenue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retention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)−CAPEX−24×</m:t>
            </m:r>
            <m:sSub>
              <m:sSubPr/>
              <m:e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OPEX</m:t>
                </m:r>
              </m:e>
              <m:sub>
                <m:r>
                  <m:rPr/>
                  <w:rPr>
                    <w:rFonts w:ascii="Cambria Math" w:hAnsi="Cambria Math" w:eastAsia="Cambria Math"/>
                    <w:sz w:val="28"/>
                    <w:szCs w:val="28"/>
                  </w:rPr>
                  <m:t>monthly</m:t>
                </m:r>
              </m:sub>
            </m:sSub>
            <m:r>
              <m:rPr/>
              <w:rPr>
                <w:rFonts w:ascii="Cambria Math" w:hAnsi="Cambria Math" w:eastAsia="Cambria Math"/>
                <w:sz w:val="28"/>
                <w:szCs w:val="28"/>
              </w:rPr>
              <m:t>)</m:t>
            </m:r>
          </m:num>
          <m:den>
            <m:r>
              <m:rPr/>
              <w:rPr>
                <w:rFonts w:ascii="Cambria Math" w:hAnsi="Cambria Math" w:eastAsia="Cambria Math"/>
                <w:sz w:val="28"/>
                <w:szCs w:val="28"/>
              </w:rPr>
              <m:t>CAPEX</m:t>
            </m:r>
          </m:den>
        </m:f>
      </m:oMath>
      <w: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(3.4)</w:t>
      </w:r>
    </w:p>
    <w:p w14:paraId="090D4093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где Economy_noshow — годовая экономия от сокращения неявок; N_visits — число визитов за год; r_noshow — базовый уровень неявок; k_reminder — относительное снижение неявок за счёт напоминаний; AvgTicket — средний чек первичного приёма; ΔRevenue_retention — прирост выручки за счёт удержания; N_active — число активных пациентов; ΔRetention — прирост удержания; AvgLTV — средний жизненный доход от пациента; CAPEX — капитальные затраты; OPEX_monthly — ежемесячные операционные затраты.</w:t>
      </w:r>
    </w:p>
    <w:p w14:paraId="5C3C31DA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3.24 – Чувствительность периода окупаемости к ключевым допущениям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2348"/>
        <w:gridCol w:w="1278"/>
        <w:gridCol w:w="2277"/>
        <w:gridCol w:w="1907"/>
      </w:tblGrid>
      <w:tr w14:paraId="094EE69E">
        <w:tc>
          <w:tcPr>
            <w:tcW w:w="2608" w:type="dxa"/>
            <w:vAlign w:val="center"/>
          </w:tcPr>
          <w:p w14:paraId="158AEA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Параметр</w:t>
            </w:r>
          </w:p>
        </w:tc>
        <w:tc>
          <w:tcPr>
            <w:tcW w:w="1587" w:type="dxa"/>
            <w:vAlign w:val="center"/>
          </w:tcPr>
          <w:p w14:paraId="0C7913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Пессимистичный</w:t>
            </w:r>
          </w:p>
        </w:tc>
        <w:tc>
          <w:tcPr>
            <w:tcW w:w="1587" w:type="dxa"/>
            <w:vAlign w:val="center"/>
          </w:tcPr>
          <w:p w14:paraId="4A22BE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Базовый</w:t>
            </w:r>
          </w:p>
        </w:tc>
        <w:tc>
          <w:tcPr>
            <w:tcW w:w="1587" w:type="dxa"/>
            <w:vAlign w:val="center"/>
          </w:tcPr>
          <w:p w14:paraId="13019A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Оптимистичный</w:t>
            </w:r>
          </w:p>
        </w:tc>
        <w:tc>
          <w:tcPr>
            <w:tcW w:w="1984" w:type="dxa"/>
            <w:vAlign w:val="center"/>
          </w:tcPr>
          <w:p w14:paraId="30C38A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Комментарий</w:t>
            </w:r>
          </w:p>
        </w:tc>
      </w:tr>
      <w:tr w14:paraId="1A7A30CF">
        <w:tc>
          <w:tcPr>
            <w:tcW w:w="2608" w:type="dxa"/>
            <w:vAlign w:val="center"/>
          </w:tcPr>
          <w:p w14:paraId="0AF613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No-show до внедрения, %</w:t>
            </w:r>
          </w:p>
        </w:tc>
        <w:tc>
          <w:tcPr>
            <w:tcW w:w="1587" w:type="dxa"/>
            <w:vAlign w:val="center"/>
          </w:tcPr>
          <w:p w14:paraId="5FFD8B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12,0 %</w:t>
            </w:r>
          </w:p>
        </w:tc>
        <w:tc>
          <w:tcPr>
            <w:tcW w:w="1587" w:type="dxa"/>
            <w:vAlign w:val="center"/>
          </w:tcPr>
          <w:p w14:paraId="59A5FF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18,0 %</w:t>
            </w:r>
          </w:p>
        </w:tc>
        <w:tc>
          <w:tcPr>
            <w:tcW w:w="1587" w:type="dxa"/>
            <w:vAlign w:val="center"/>
          </w:tcPr>
          <w:p w14:paraId="474DD0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25,0 %</w:t>
            </w:r>
          </w:p>
        </w:tc>
        <w:tc>
          <w:tcPr>
            <w:tcW w:w="1984" w:type="dxa"/>
            <w:vAlign w:val="center"/>
          </w:tcPr>
          <w:p w14:paraId="540935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Диапазон по отраслевым данным</w:t>
            </w:r>
          </w:p>
        </w:tc>
      </w:tr>
      <w:tr w14:paraId="189797D6">
        <w:tc>
          <w:tcPr>
            <w:tcW w:w="2608" w:type="dxa"/>
            <w:vAlign w:val="center"/>
          </w:tcPr>
          <w:p w14:paraId="72FD5F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Прирост удержания ΔRetention, п.п.</w:t>
            </w:r>
          </w:p>
        </w:tc>
        <w:tc>
          <w:tcPr>
            <w:tcW w:w="1587" w:type="dxa"/>
            <w:vAlign w:val="center"/>
          </w:tcPr>
          <w:p w14:paraId="31B3C4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+1,5</w:t>
            </w:r>
          </w:p>
        </w:tc>
        <w:tc>
          <w:tcPr>
            <w:tcW w:w="1587" w:type="dxa"/>
            <w:vAlign w:val="center"/>
          </w:tcPr>
          <w:p w14:paraId="3FC4F1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+3,0</w:t>
            </w:r>
          </w:p>
        </w:tc>
        <w:tc>
          <w:tcPr>
            <w:tcW w:w="1587" w:type="dxa"/>
            <w:vAlign w:val="center"/>
          </w:tcPr>
          <w:p w14:paraId="39FF86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+5,0</w:t>
            </w:r>
          </w:p>
        </w:tc>
        <w:tc>
          <w:tcPr>
            <w:tcW w:w="1984" w:type="dxa"/>
            <w:vAlign w:val="center"/>
          </w:tcPr>
          <w:p w14:paraId="61A412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Модельная оценка, валидация в пилоте</w:t>
            </w:r>
          </w:p>
        </w:tc>
      </w:tr>
      <w:tr w14:paraId="57DC50D9">
        <w:tc>
          <w:tcPr>
            <w:tcW w:w="2608" w:type="dxa"/>
            <w:vAlign w:val="center"/>
          </w:tcPr>
          <w:p w14:paraId="2DDC547D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Средний LTV пациента,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1587" w:type="dxa"/>
            <w:vAlign w:val="center"/>
          </w:tcPr>
          <w:p w14:paraId="17A0EE4A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80 000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1587" w:type="dxa"/>
            <w:vAlign w:val="center"/>
          </w:tcPr>
          <w:p w14:paraId="33B7191C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120 000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1587" w:type="dxa"/>
            <w:vAlign w:val="center"/>
          </w:tcPr>
          <w:p w14:paraId="691D917F">
            <w:pPr>
              <w:spacing w:before="0" w:after="0" w:line="240" w:lineRule="auto"/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180 000 </w:t>
            </w:r>
            <w:r>
              <w:rPr>
                <w:rFonts w:cs="Times New Roman"/>
                <w:b w:val="0"/>
                <w:color w:val="000000"/>
                <w:sz w:val="28"/>
                <w:lang w:val="ru-RU"/>
              </w:rPr>
              <w:t>руб.</w:t>
            </w:r>
          </w:p>
        </w:tc>
        <w:tc>
          <w:tcPr>
            <w:tcW w:w="1984" w:type="dxa"/>
            <w:vAlign w:val="center"/>
          </w:tcPr>
          <w:p w14:paraId="13D13E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Гипотеза, требует валидации</w:t>
            </w:r>
          </w:p>
        </w:tc>
      </w:tr>
      <w:tr w14:paraId="2611FAD7">
        <w:tc>
          <w:tcPr>
            <w:tcW w:w="2608" w:type="dxa"/>
            <w:vAlign w:val="center"/>
          </w:tcPr>
          <w:p w14:paraId="07F23C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Срок окупаемости</w:t>
            </w:r>
          </w:p>
        </w:tc>
        <w:tc>
          <w:tcPr>
            <w:tcW w:w="1587" w:type="dxa"/>
            <w:vAlign w:val="center"/>
          </w:tcPr>
          <w:p w14:paraId="781A03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достигается</w:t>
            </w:r>
          </w:p>
        </w:tc>
        <w:tc>
          <w:tcPr>
            <w:tcW w:w="1587" w:type="dxa"/>
            <w:vAlign w:val="center"/>
          </w:tcPr>
          <w:p w14:paraId="2A064A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19,1 мес.</w:t>
            </w:r>
          </w:p>
        </w:tc>
        <w:tc>
          <w:tcPr>
            <w:tcW w:w="1587" w:type="dxa"/>
            <w:vAlign w:val="center"/>
          </w:tcPr>
          <w:p w14:paraId="570EDB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5,7 мес.</w:t>
            </w:r>
          </w:p>
        </w:tc>
        <w:tc>
          <w:tcPr>
            <w:tcW w:w="1984" w:type="dxa"/>
            <w:vAlign w:val="center"/>
          </w:tcPr>
          <w:p w14:paraId="15C1EB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Расчёт по формуле Payback выше</w:t>
            </w:r>
          </w:p>
        </w:tc>
      </w:tr>
    </w:tbl>
    <w:p w14:paraId="49C6639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базовом сценарии годовая экономия на неявках составляет 3,92 млн </w:t>
      </w:r>
      <w:r>
        <w:rPr>
          <w:rFonts w:cs="Times New Roman"/>
          <w:color w:val="000000"/>
          <w:sz w:val="28"/>
          <w:lang w:val="ru-RU"/>
        </w:rPr>
        <w:t>руб.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а прогнозируемый прирост выручки от удержания — 21,60 млн </w:t>
      </w:r>
      <w:r>
        <w:rPr>
          <w:rFonts w:cs="Times New Roman"/>
          <w:color w:val="000000"/>
          <w:sz w:val="28"/>
          <w:lang w:val="ru-RU"/>
        </w:rPr>
        <w:t>руб.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При годовых операционных затратах 9,21 млн </w:t>
      </w:r>
      <w:r>
        <w:rPr>
          <w:rFonts w:cs="Times New Roman"/>
          <w:color w:val="000000"/>
          <w:sz w:val="28"/>
          <w:lang w:val="ru-RU"/>
        </w:rPr>
        <w:t>руб.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чистый годовой эффект равен 16,30 млн </w:t>
      </w:r>
      <w:r>
        <w:rPr>
          <w:rFonts w:cs="Times New Roman"/>
          <w:color w:val="000000"/>
          <w:sz w:val="28"/>
          <w:lang w:val="ru-RU"/>
        </w:rPr>
        <w:t>руб.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Прогнозный срок окупаемости в базовом сценарии — 19,1 мес., а ROI за 24 месяца равен 25 %. Все цифры носят прогнозный характер: окончательные значения уточняются по результатам пилота одной клиники сети и пересматриваются при подтверждении фактических LTV, доли no-show и прироста удержания.</w:t>
      </w:r>
    </w:p>
    <w:p w14:paraId="7D05F64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Выводы по подразделу. </w:t>
      </w:r>
      <w:r>
        <w:rPr>
          <w:rFonts w:ascii="Times New Roman" w:hAnsi="Times New Roman" w:eastAsia="Times New Roman" w:cs="Times New Roman"/>
          <w:color w:val="000000"/>
          <w:sz w:val="28"/>
        </w:rPr>
        <w:t>Прогноз экономической эффективности построен на проверяемых отраслевых метриках и явно помеченных модельных допущениях. Базовый сценарий показывает окупаемость за 19 месяцев; чувствительность расчёта концентрируется на LTV и приросте удержания, валидируемых в пилоте.</w:t>
      </w:r>
    </w:p>
    <w:p w14:paraId="0F62C880"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Выводы по главе 3</w:t>
      </w:r>
    </w:p>
    <w:p w14:paraId="6DBBCE3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Сформирован концепт мобильного приложения для сети стоматологических клиник с тремя опорными направлениями ценности — запись без звонка, единый профиль пациента и оформление социального налогового вычета — и заданными границами MVP.</w:t>
      </w:r>
    </w:p>
    <w:p w14:paraId="4C7A058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Сформулированы 12 функциональных и 7 нефункциональных требований, образующих техническую рамку для разработки первой версии продукта и набор приёмочных условий.</w:t>
      </w:r>
    </w:p>
    <w:p w14:paraId="5A55A89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Проработаны три роли пользователей, четыре пользовательские истории и три варианта использования, покрывающие основные пути взаимодействия пациента с продуктом.</w:t>
      </w:r>
    </w:p>
    <w:p w14:paraId="67C9267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Предложена архитектура с разделением клиентского, шлюзового, сервисного и хранительного слоёв и фоновой очередью; технологический стек обоснован по каждому слою.</w:t>
      </w:r>
    </w:p>
    <w:p w14:paraId="37DF76C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5. Спроектирована модель данных из шести базовых сущностей и смежных связей, образующая фундамент для последующего расширения схемы (план лечения, карта зубов формата FDI).</w:t>
      </w:r>
    </w:p>
    <w:p w14:paraId="39C3AEB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6. Продемонстрирован кликабельный прототип ключевых экранов и мокапы недостающих интерфейсов, фиксирующие пользовательский опыт до начала полноценной разработки.</w:t>
      </w:r>
    </w:p>
    <w:p w14:paraId="0787CA1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7. Описаны 13 внешних интеграций, перечислены 5 основных законодательных требований и меры информационной безопасности уровня защищённости УЗ-3; обоснован статус «не медицинское изделие» по 323-ФЗ.</w:t>
      </w:r>
    </w:p>
    <w:p w14:paraId="6AA3569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8. Построен прогнозный расчёт экономической эффективности для базового сценария внедрения в одной клинике сети с явно помеченным набором модельных допущений, требующих валидации в пилоте продолжительностью 2–3 месяца.</w:t>
      </w:r>
    </w:p>
    <w:p w14:paraId="25E270AF">
      <w:r>
        <w:br w:type="page"/>
      </w:r>
    </w:p>
    <w:p w14:paraId="4726901C">
      <w:pPr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СПИСОК ИСПОЛЬЗОВАННЫХ ИСТОЧНИКОВ</w:t>
      </w:r>
    </w:p>
    <w:p w14:paraId="1B83D7E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Анализ рынка стоматологических услуг в России в 2021–2025 гг., прогноз на 2026–2030 гг. : отраслевой отчёт / BusinesStat. – Москва, 2025. – 90 с. – URL: https://businesstat.ru/catalog/id1971/ (дата обращения: 20.04.2026).</w:t>
      </w:r>
    </w:p>
    <w:p w14:paraId="1F0EFAE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Москва : Издательство стандартов, 1990. – 12 с.</w:t>
      </w:r>
    </w:p>
    <w:p w14:paraId="1856BD2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ISO/IEC 25010:2011. Systems and software engineering — Systems and software Quality Requirements and Evaluation (SQuaRE) — System and software quality models. – Geneva : ISO, 2011. – 34 p.</w:t>
      </w:r>
    </w:p>
    <w:p w14:paraId="1793D06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жизнедеятельности. – Москва : Стандартинформ, 2019. – 28 с.</w:t>
      </w:r>
    </w:p>
    <w:p w14:paraId="6B9AB0B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5. PostgreSQL 16 Documentation. Chapter 5. Data Definition. Row Security Policies. – URL: https://www.postgresql.org/docs/16/ddl-rowsecurity.html (дата обращения: 20.04.2026).</w:t>
      </w:r>
    </w:p>
    <w:p w14:paraId="7CA3442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6. Redis Documentation. Redlock — distributed lock manager. – URL: https://redis.io/docs/latest/develop/use/patterns/distributed-locks/ (дата обращения: 20.04.2026).</w:t>
      </w:r>
    </w:p>
    <w:p w14:paraId="0DACF58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7. React Native Documentation. The React Native Architecture. – Meta Platforms, Inc., 2025. – URL: https://reactnative.dev/architecture/overview (дата обращения: 20.04.2026).</w:t>
      </w:r>
    </w:p>
    <w:p w14:paraId="151D578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8. NestJS Documentation. Fundamentals: Modules and Dependency Injection. – URL: https://docs.nestjs.com/fundamentals/custom-providers (дата обращения: 20.04.2026).</w:t>
      </w:r>
    </w:p>
    <w:p w14:paraId="466C353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9. The OAuth 2.0 Authorization Framework : RFC 6749 / ed. D. Hardt. – Internet Engineering Task Force, 2012. – 76 p. – URL: https://www.rfc-editor.org/rfc/rfc6749 (дата обращения: 20.04.2026).</w:t>
      </w:r>
    </w:p>
    <w:p w14:paraId="6434D88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10. О персональных данных : Федер. закон от 27.07.2006 № 152-ФЗ : принят Гос. Думой 8 июля 2006 г. : ред. от 24.06.2025 // Собрание законодательства Российской Федерации. – 2006. – № 31, ст. 3451.</w:t>
      </w:r>
    </w:p>
    <w:p w14:paraId="4BC036B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11. Об основах охраны здоровья граждан в Российской Федерации : Федер. закон от 21.11.2011 № 323-ФЗ : принят Гос. Думой 1 ноября 2011 г. : ред. от 29.12.2025 // Собрание законодательства Российской Федерации. – 2011. – № 48, ст. 6724.</w:t>
      </w:r>
    </w:p>
    <w:p w14:paraId="69D28AE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12. Налоговый кодекс Российской Федерации (часть вторая) от 05.08.2000 № 117-ФЗ. Статья 219. Социальные налоговые вычеты : ред. от 01.01.2026. – URL: http://www.consultant.ru/document/cons_doc_LAW_28165/ (дата обращения: 20.04.2026).</w:t>
      </w:r>
    </w:p>
    <w:p w14:paraId="181ED5A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13. О рекламе : Федер. закон от 13.03.2006 № 38-ФЗ : принят Гос. Думой 22 февраля 2006 г. : ред. от 27.10.2025. Статья 24. Реклама лекарственных средств, медицинских услуг, медицинских изделий // Собрание законодательства Российской Федерации. – 2006. – № 12, ст. 1232.</w:t>
      </w:r>
    </w:p>
    <w:p w14:paraId="3AB7A65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68 с.</w:t>
      </w:r>
    </w:p>
    <w:p w14:paraId="5EAF5AF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15. Об утверждении требований к защите персональных данных при их обработке в информационных системах персональных данных : постановление Правительства Российской Федерации от 01.11.2012 № 1119 : ред. от 29.12.2024 // Собрание законодательства Российской Федерации. – 2012. – № 45, ст. 6257.</w:t>
      </w:r>
    </w:p>
    <w:p w14:paraId="7DF9B46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16.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: приказ ФСТЭК России от 18.02.2013 № 21 : ред. от 14.05.2023. – URL: https://fstec.ru/dokumenty/vse-dokumenty/prikazy/prikaz-fstek-rossii-ot-18-fevralya-2013-g-n-21 (дата обращения: 20.04.2026).</w:t>
      </w:r>
    </w:p>
    <w:p w14:paraId="0DB5478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17. OWASP Top 10: The Ten Most Critical Web Application Security Risks. 2021 Edition. – URL: https://owasp.org/Top10/ (дата обращения: 20.04.2026).</w:t>
      </w:r>
    </w:p>
    <w:p w14:paraId="49D6511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18. ISO/IEC 27001:2022. Information security, cybersecurity and privacy protection — Information security management systems — Requirements. – Geneva : ISO, 2022. – 19 p.</w:t>
      </w:r>
    </w:p>
    <w:p w14:paraId="4572E12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19. Услуги стоматологов в России резко подорожали : обзор платёжной аналитики / Финансы Mail. – 2025. – 23 апреля. – URL: https://finance.mail.ru/2025-04-23/uslugi-stomatologov-v-rossii-rezko-podorozhali-65839897/ (дата обращения: 20.04.2026).</w:t>
      </w:r>
    </w:p>
    <w:p w14:paraId="6CDB197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20. The Effectiveness of SMS Reminders on Appointment Attendance : a Meta-Analysis / N. Boksmati, K. Butler-Henderson, K. Anderson, T. Sahama // Journal of Medical Systems. – 2016. – Vol. 40. – Art. 90. – URL: https://pubmed.ncbi.nlm.nih.gov/26852337/ (дата обращения: 20.04.2026).</w:t>
      </w:r>
    </w:p>
    <w:p w14:paraId="6BDFEAC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21. SMS reminders to improve outpatient attendance for public dental services: A retrospective study / N. Stormon, C. Sexton, C. Chen et al. // Health &amp; Social Care in the Community. – 2022. – Vol. 30, no. 5. – e2255–e2263. – URL: https://pubmed.ncbi.nlm.nih.gov/34850473/ (дата обращения: 20.04.2026).</w:t>
      </w:r>
    </w:p>
    <w:p w14:paraId="7B9DAA4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22. Yandex Cloud. Managed Service for PostgreSQL. Прайс-лист. – URL: https://yandex.cloud/ru/docs/managed-postgresql/pricing (дата обращения: 20.04.2026).</w:t>
      </w:r>
    </w:p>
    <w:p w14:paraId="6806ECA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23. Selectel. Облачные серверы и Managed Databases. Прайс-лист. – URL: https://selectel.ru/services/cloud/ (дата обращения: 20.04.2026).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50231">
    <w:pPr>
      <w:pStyle w:val="18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5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2026-04-21T06:56:57Z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DB240545948280FA2982E769CA57CDF2_42</vt:lpwstr>
  </property>
</Properties>
</file>