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7C4057"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ГЛАВА 3. ПРАКТИЧЕСКИЕ АСПЕКТЫ ПРОЕКТИРОВАНИЯ КОНЦЕПТА ПРОГРАММНОГО ПРОДУКТА</w:t>
      </w:r>
    </w:p>
    <w:p w14:paraId="24ECF852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В главе представлен концепт мобильного приложения для сети стоматологических клиник. Последовательно рассмотрены функциональные и нефункциональные требования, роли пользователей и сценарии их работы, целевая архитектура и технологический стек, модель данных и прототип интерфейса. Отдельно разобраны внешние интеграции, требования российского законодательства и прогноз экономической эффективности при пилотном внедрении в одной клинике сети.</w:t>
      </w:r>
    </w:p>
    <w:p w14:paraId="5975A393">
      <w:pPr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3.1 Концепт мобильного приложения и границы MVP</w:t>
      </w:r>
    </w:p>
    <w:p w14:paraId="33784188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Продукт — мобильное приложение единой сети стоматологических клиник. Пациент записывается на приём самостоятельно, хранит историю визитов и документы внутри приложения и подаёт заявку на справку для социального налогового вычета. Целевой рынок — частная стоматология; по отраслевой аналитике его объём в России превышает 700 млрд руб. в год [1].</w:t>
      </w:r>
    </w:p>
    <w:p w14:paraId="3E415A2F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Пользовательская ценность продукта связана с тремя задачами. Запись на приём выполняется без звонка: пациент сам подбирает услугу, клинику, врача и слот. Профиль пациента общий для всех филиалов сети и содержит историю визитов, сроки гарантии на работы и электронные копии чеков. Справку для социального налогового вычета пациент заказывает прямо в приложении и получает по электронному документообороту.</w:t>
      </w:r>
    </w:p>
    <w:p w14:paraId="6CBBDBEF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Границы первой версии заданы по принципу MVP. В неё входит пациентский контур: запись на приём, история визитов и заявка на налоговый вычет. Онлайн-консультация, полный интерфейс администратора клиники, ведение плана лечения и карта зубов формата FDI вынесены во вторую очередь; эти направления рассматриваются как расширение модели данных из подраздела 3.5.</w:t>
      </w:r>
    </w:p>
    <w:p w14:paraId="75A207F9"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Таблица 3.1 – Матрица функций, включаемых и исключаемых из минимально жизнеспособного продукта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3402"/>
        <w:gridCol w:w="3402"/>
      </w:tblGrid>
      <w:tr w14:paraId="275AAB12">
        <w:tc>
          <w:tcPr>
            <w:tcW w:w="2551" w:type="dxa"/>
            <w:vAlign w:val="center"/>
          </w:tcPr>
          <w:p w14:paraId="5B477B0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Направление</w:t>
            </w:r>
          </w:p>
        </w:tc>
        <w:tc>
          <w:tcPr>
            <w:tcW w:w="3402" w:type="dxa"/>
            <w:vAlign w:val="center"/>
          </w:tcPr>
          <w:p w14:paraId="564EED1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Включено в MVP</w:t>
            </w:r>
          </w:p>
        </w:tc>
        <w:tc>
          <w:tcPr>
            <w:tcW w:w="3402" w:type="dxa"/>
            <w:vAlign w:val="center"/>
          </w:tcPr>
          <w:p w14:paraId="73EF260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Перенесено в последующие вехи</w:t>
            </w:r>
          </w:p>
        </w:tc>
      </w:tr>
      <w:tr w14:paraId="038B7618">
        <w:tc>
          <w:tcPr>
            <w:tcW w:w="2551" w:type="dxa"/>
            <w:vAlign w:val="center"/>
          </w:tcPr>
          <w:p w14:paraId="16D346B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Запись на приём</w:t>
            </w:r>
          </w:p>
        </w:tc>
        <w:tc>
          <w:tcPr>
            <w:tcW w:w="3402" w:type="dxa"/>
            <w:vAlign w:val="center"/>
          </w:tcPr>
          <w:p w14:paraId="2D877EE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Выбор услуги, клиники, врача, слота; подтверждение</w:t>
            </w:r>
          </w:p>
        </w:tc>
        <w:tc>
          <w:tcPr>
            <w:tcW w:w="3402" w:type="dxa"/>
            <w:vAlign w:val="center"/>
          </w:tcPr>
          <w:p w14:paraId="42B5EBA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—</w:t>
            </w:r>
          </w:p>
        </w:tc>
      </w:tr>
      <w:tr w14:paraId="73565294">
        <w:tc>
          <w:tcPr>
            <w:tcW w:w="2551" w:type="dxa"/>
            <w:vAlign w:val="center"/>
          </w:tcPr>
          <w:p w14:paraId="1CDF536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Напоминания</w:t>
            </w:r>
          </w:p>
        </w:tc>
        <w:tc>
          <w:tcPr>
            <w:tcW w:w="3402" w:type="dxa"/>
            <w:vAlign w:val="center"/>
          </w:tcPr>
          <w:p w14:paraId="0AAD5E1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SMS и push за 24 и 2 часа до визита</w:t>
            </w:r>
          </w:p>
        </w:tc>
        <w:tc>
          <w:tcPr>
            <w:tcW w:w="3402" w:type="dxa"/>
            <w:vAlign w:val="center"/>
          </w:tcPr>
          <w:p w14:paraId="45786F4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Умное планирование серий напоминаний</w:t>
            </w:r>
          </w:p>
        </w:tc>
      </w:tr>
      <w:tr w14:paraId="66C4CB26">
        <w:tc>
          <w:tcPr>
            <w:tcW w:w="2551" w:type="dxa"/>
            <w:vAlign w:val="center"/>
          </w:tcPr>
          <w:p w14:paraId="523CD9F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Профиль</w:t>
            </w:r>
          </w:p>
        </w:tc>
        <w:tc>
          <w:tcPr>
            <w:tcW w:w="3402" w:type="dxa"/>
            <w:vAlign w:val="center"/>
          </w:tcPr>
          <w:p w14:paraId="0079834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Личные данные, профиль ребёнка, история визитов, гарантии</w:t>
            </w:r>
          </w:p>
        </w:tc>
        <w:tc>
          <w:tcPr>
            <w:tcW w:w="3402" w:type="dxa"/>
            <w:vAlign w:val="center"/>
          </w:tcPr>
          <w:p w14:paraId="7486C8E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План лечения, карта зубов FDI</w:t>
            </w:r>
          </w:p>
        </w:tc>
      </w:tr>
      <w:tr w14:paraId="4F33974A">
        <w:tc>
          <w:tcPr>
            <w:tcW w:w="2551" w:type="dxa"/>
            <w:vAlign w:val="center"/>
          </w:tcPr>
          <w:p w14:paraId="62C21BA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Документы и вычет</w:t>
            </w:r>
          </w:p>
        </w:tc>
        <w:tc>
          <w:tcPr>
            <w:tcW w:w="3402" w:type="dxa"/>
            <w:vAlign w:val="center"/>
          </w:tcPr>
          <w:p w14:paraId="1A6223A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Заявка на справку по ст. 219 НК РФ, выдача через ЭДО</w:t>
            </w:r>
          </w:p>
        </w:tc>
        <w:tc>
          <w:tcPr>
            <w:tcW w:w="3402" w:type="dxa"/>
            <w:vAlign w:val="center"/>
          </w:tcPr>
          <w:p w14:paraId="62FC9A6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Автоматический сбор чеков за период</w:t>
            </w:r>
          </w:p>
        </w:tc>
      </w:tr>
      <w:tr w14:paraId="77C3D290">
        <w:tc>
          <w:tcPr>
            <w:tcW w:w="2551" w:type="dxa"/>
            <w:vAlign w:val="center"/>
          </w:tcPr>
          <w:p w14:paraId="1494934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Оплата</w:t>
            </w:r>
          </w:p>
        </w:tc>
        <w:tc>
          <w:tcPr>
            <w:tcW w:w="3402" w:type="dxa"/>
            <w:vAlign w:val="center"/>
          </w:tcPr>
          <w:p w14:paraId="6F48C90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Редирект на ЮKassa и СБП</w:t>
            </w:r>
          </w:p>
        </w:tc>
        <w:tc>
          <w:tcPr>
            <w:tcW w:w="3402" w:type="dxa"/>
            <w:vAlign w:val="center"/>
          </w:tcPr>
          <w:p w14:paraId="5078ECF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Внутренний кошелёк, рассрочка</w:t>
            </w:r>
          </w:p>
        </w:tc>
      </w:tr>
      <w:tr w14:paraId="21DE2A85">
        <w:tc>
          <w:tcPr>
            <w:tcW w:w="2551" w:type="dxa"/>
            <w:vAlign w:val="center"/>
          </w:tcPr>
          <w:p w14:paraId="47BB1EE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Коммуникация с клиникой</w:t>
            </w:r>
          </w:p>
        </w:tc>
        <w:tc>
          <w:tcPr>
            <w:tcW w:w="3402" w:type="dxa"/>
            <w:vAlign w:val="center"/>
          </w:tcPr>
          <w:p w14:paraId="211B63D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Уведомления о статусе записи</w:t>
            </w:r>
          </w:p>
        </w:tc>
        <w:tc>
          <w:tcPr>
            <w:tcW w:w="3402" w:type="dxa"/>
            <w:vAlign w:val="center"/>
          </w:tcPr>
          <w:p w14:paraId="4580199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Онлайн-чат, телемедицинский звонок</w:t>
            </w:r>
          </w:p>
        </w:tc>
      </w:tr>
      <w:tr w14:paraId="6E0BC9C5">
        <w:tc>
          <w:tcPr>
            <w:tcW w:w="2551" w:type="dxa"/>
            <w:vAlign w:val="center"/>
          </w:tcPr>
          <w:p w14:paraId="45F85AF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Административный контур</w:t>
            </w:r>
          </w:p>
        </w:tc>
        <w:tc>
          <w:tcPr>
            <w:tcW w:w="3402" w:type="dxa"/>
            <w:vAlign w:val="center"/>
          </w:tcPr>
          <w:p w14:paraId="22C871D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Просмотр записей сотрудником клиники</w:t>
            </w:r>
          </w:p>
        </w:tc>
        <w:tc>
          <w:tcPr>
            <w:tcW w:w="3402" w:type="dxa"/>
            <w:vAlign w:val="center"/>
          </w:tcPr>
          <w:p w14:paraId="61ADB42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Полный админ-кабинет с аналитикой</w:t>
            </w:r>
          </w:p>
        </w:tc>
      </w:tr>
    </w:tbl>
    <w:p w14:paraId="4ECFB219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Выводы по подразделу. Концепт отвечает на три проблемы пациента и сети: ожидание телефонной записи, хранение документов в бумажном виде и трудоёмкое оформление налогового вычета. Состав MVP ограничен объёмом, пригодным для пилотного запуска в одной клинике; на этом же составе построены требования следующего подраздела.</w:t>
      </w:r>
    </w:p>
    <w:p w14:paraId="029714F5">
      <w:pPr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3.2 Функциональные и нефункциональные требования</w:t>
      </w:r>
    </w:p>
    <w:p w14:paraId="2CAA4303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Требования к продукту построены по структуре технического задания ГОСТ 34.602-89 [2] и модели качества программного обеспечения ISO/IEC 25010:2011 [3]. Функциональные требования (далее — FR) описывают поведение системы с точки зрения пациента и администратора клиники. Нефункциональные требования (далее — NFR) касаются производительности, безопасности, доступности и совместимости.</w:t>
      </w:r>
    </w:p>
    <w:p w14:paraId="7EA795FB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Доступность для пользователей с ограничениями жизнедеятельности закреплена требованиями ГОСТ Р 52872-2019 [4]: достаточный уровень контраста и возможность увеличения шрифта. Эти формулировки использованы и при разработке MVP, и при приёмке результатов каждой итерации.</w:t>
      </w:r>
    </w:p>
    <w:p w14:paraId="3883982D"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Таблица 3.2 – Функциональные требования к MVP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7"/>
        <w:gridCol w:w="8107"/>
      </w:tblGrid>
      <w:tr w14:paraId="12349334">
        <w:tc>
          <w:tcPr>
            <w:tcW w:w="1247" w:type="dxa"/>
            <w:vAlign w:val="center"/>
          </w:tcPr>
          <w:p w14:paraId="578951F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Код</w:t>
            </w:r>
          </w:p>
        </w:tc>
        <w:tc>
          <w:tcPr>
            <w:tcW w:w="8107" w:type="dxa"/>
            <w:vAlign w:val="center"/>
          </w:tcPr>
          <w:p w14:paraId="37F410E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Формулировка требования</w:t>
            </w:r>
          </w:p>
        </w:tc>
      </w:tr>
      <w:tr w14:paraId="63B06A2C">
        <w:tc>
          <w:tcPr>
            <w:tcW w:w="1247" w:type="dxa"/>
            <w:vAlign w:val="center"/>
          </w:tcPr>
          <w:p w14:paraId="244645F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FR-01</w:t>
            </w:r>
          </w:p>
        </w:tc>
        <w:tc>
          <w:tcPr>
            <w:tcW w:w="8107" w:type="dxa"/>
            <w:vAlign w:val="center"/>
          </w:tcPr>
          <w:p w14:paraId="5E24E14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Система должна позволять пациенту записаться на приём, выбрав услугу, клинику, врача, дату и время.</w:t>
            </w:r>
          </w:p>
        </w:tc>
      </w:tr>
      <w:tr w14:paraId="6C5E53C7">
        <w:tc>
          <w:tcPr>
            <w:tcW w:w="1247" w:type="dxa"/>
            <w:vAlign w:val="center"/>
          </w:tcPr>
          <w:p w14:paraId="0EDBC4A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FR-02</w:t>
            </w:r>
          </w:p>
        </w:tc>
        <w:tc>
          <w:tcPr>
            <w:tcW w:w="8107" w:type="dxa"/>
            <w:vAlign w:val="center"/>
          </w:tcPr>
          <w:p w14:paraId="49E34C8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Система должна отправлять SMS- и push-напоминания за 24 часа и за 2 часа до визита.</w:t>
            </w:r>
          </w:p>
        </w:tc>
      </w:tr>
      <w:tr w14:paraId="691103C9">
        <w:tc>
          <w:tcPr>
            <w:tcW w:w="1247" w:type="dxa"/>
            <w:vAlign w:val="center"/>
          </w:tcPr>
          <w:p w14:paraId="7868193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FR-03</w:t>
            </w:r>
          </w:p>
        </w:tc>
        <w:tc>
          <w:tcPr>
            <w:tcW w:w="8107" w:type="dxa"/>
            <w:vAlign w:val="center"/>
          </w:tcPr>
          <w:p w14:paraId="7C114D4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Система должна отображать единый профиль пациента во всех филиалах сети.</w:t>
            </w:r>
          </w:p>
        </w:tc>
      </w:tr>
      <w:tr w14:paraId="4A8EC9BB">
        <w:tc>
          <w:tcPr>
            <w:tcW w:w="1247" w:type="dxa"/>
            <w:vAlign w:val="center"/>
          </w:tcPr>
          <w:p w14:paraId="58B617E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FR-04</w:t>
            </w:r>
          </w:p>
        </w:tc>
        <w:tc>
          <w:tcPr>
            <w:tcW w:w="8107" w:type="dxa"/>
            <w:vAlign w:val="center"/>
          </w:tcPr>
          <w:p w14:paraId="50305EA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Система должна сохранять историю визитов с привязкой к врачу и клинике.</w:t>
            </w:r>
          </w:p>
        </w:tc>
      </w:tr>
      <w:tr w14:paraId="14E51D1E">
        <w:tc>
          <w:tcPr>
            <w:tcW w:w="1247" w:type="dxa"/>
            <w:vAlign w:val="center"/>
          </w:tcPr>
          <w:p w14:paraId="7AD0A34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FR-05</w:t>
            </w:r>
          </w:p>
        </w:tc>
        <w:tc>
          <w:tcPr>
            <w:tcW w:w="8107" w:type="dxa"/>
            <w:vAlign w:val="center"/>
          </w:tcPr>
          <w:p w14:paraId="135AA60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Система должна позволять оформить заявку на справку для социального налогового вычета.</w:t>
            </w:r>
          </w:p>
        </w:tc>
      </w:tr>
      <w:tr w14:paraId="4A5BB994">
        <w:tc>
          <w:tcPr>
            <w:tcW w:w="1247" w:type="dxa"/>
            <w:vAlign w:val="center"/>
          </w:tcPr>
          <w:p w14:paraId="4E0B736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FR-06</w:t>
            </w:r>
          </w:p>
        </w:tc>
        <w:tc>
          <w:tcPr>
            <w:tcW w:w="8107" w:type="dxa"/>
            <w:vAlign w:val="center"/>
          </w:tcPr>
          <w:p w14:paraId="0854A19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Система должна поддерживать оплату визита через ЮKassa и Систему быстрых платежей.</w:t>
            </w:r>
          </w:p>
        </w:tc>
      </w:tr>
      <w:tr w14:paraId="26110A68">
        <w:tc>
          <w:tcPr>
            <w:tcW w:w="1247" w:type="dxa"/>
            <w:vAlign w:val="center"/>
          </w:tcPr>
          <w:p w14:paraId="67802B3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FR-07</w:t>
            </w:r>
          </w:p>
        </w:tc>
        <w:tc>
          <w:tcPr>
            <w:tcW w:w="8107" w:type="dxa"/>
            <w:vAlign w:val="center"/>
          </w:tcPr>
          <w:p w14:paraId="7A1D286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Система должна обеспечивать поиск клиник, врачей и услуг с фильтрацией по специализации, цене и расписанию.</w:t>
            </w:r>
          </w:p>
        </w:tc>
      </w:tr>
      <w:tr w14:paraId="6A33B6EB">
        <w:tc>
          <w:tcPr>
            <w:tcW w:w="1247" w:type="dxa"/>
            <w:vAlign w:val="center"/>
          </w:tcPr>
          <w:p w14:paraId="18C0B59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FR-08</w:t>
            </w:r>
          </w:p>
        </w:tc>
        <w:tc>
          <w:tcPr>
            <w:tcW w:w="8107" w:type="dxa"/>
            <w:vAlign w:val="center"/>
          </w:tcPr>
          <w:p w14:paraId="19DF1F8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Система должна отображать сроки гарантии на выполненные работы.</w:t>
            </w:r>
          </w:p>
        </w:tc>
      </w:tr>
      <w:tr w14:paraId="36E44F0D">
        <w:tc>
          <w:tcPr>
            <w:tcW w:w="1247" w:type="dxa"/>
            <w:vAlign w:val="center"/>
          </w:tcPr>
          <w:p w14:paraId="1C7019A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FR-09</w:t>
            </w:r>
          </w:p>
        </w:tc>
        <w:tc>
          <w:tcPr>
            <w:tcW w:w="8107" w:type="dxa"/>
            <w:vAlign w:val="center"/>
          </w:tcPr>
          <w:p w14:paraId="7B84AEF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Система должна позволять вести профиль ребёнка в рамках основного аккаунта.</w:t>
            </w:r>
          </w:p>
        </w:tc>
      </w:tr>
      <w:tr w14:paraId="17C1CF5A">
        <w:tc>
          <w:tcPr>
            <w:tcW w:w="1247" w:type="dxa"/>
            <w:vAlign w:val="center"/>
          </w:tcPr>
          <w:p w14:paraId="42DC2A3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FR-10</w:t>
            </w:r>
          </w:p>
        </w:tc>
        <w:tc>
          <w:tcPr>
            <w:tcW w:w="8107" w:type="dxa"/>
            <w:vAlign w:val="center"/>
          </w:tcPr>
          <w:p w14:paraId="54F3D6E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Система должна позволять отменить запись не позднее чем за 2 часа до визита.</w:t>
            </w:r>
          </w:p>
        </w:tc>
      </w:tr>
      <w:tr w14:paraId="205F4CBB">
        <w:tc>
          <w:tcPr>
            <w:tcW w:w="1247" w:type="dxa"/>
            <w:vAlign w:val="center"/>
          </w:tcPr>
          <w:p w14:paraId="4C5F71F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FR-11</w:t>
            </w:r>
          </w:p>
        </w:tc>
        <w:tc>
          <w:tcPr>
            <w:tcW w:w="8107" w:type="dxa"/>
            <w:vAlign w:val="center"/>
          </w:tcPr>
          <w:p w14:paraId="71FD3B4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Система должна предлагать доступные слоты других врачей аналогичного профиля при отмене.</w:t>
            </w:r>
          </w:p>
        </w:tc>
      </w:tr>
      <w:tr w14:paraId="4EBEEBFA">
        <w:tc>
          <w:tcPr>
            <w:tcW w:w="1247" w:type="dxa"/>
            <w:vAlign w:val="center"/>
          </w:tcPr>
          <w:p w14:paraId="4FADBA6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FR-12</w:t>
            </w:r>
          </w:p>
        </w:tc>
        <w:tc>
          <w:tcPr>
            <w:tcW w:w="8107" w:type="dxa"/>
            <w:vAlign w:val="center"/>
          </w:tcPr>
          <w:p w14:paraId="5540EA2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Система должна использовать SMS-OTP для первичной аутентификации пациента.</w:t>
            </w:r>
          </w:p>
        </w:tc>
      </w:tr>
    </w:tbl>
    <w:p w14:paraId="5BFEA167"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Таблица 3.3 – Нефункциональные требования к MVP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2"/>
        <w:gridCol w:w="2357"/>
        <w:gridCol w:w="4512"/>
      </w:tblGrid>
      <w:tr w14:paraId="74EFD3B3">
        <w:tc>
          <w:tcPr>
            <w:tcW w:w="2041" w:type="dxa"/>
            <w:vAlign w:val="center"/>
          </w:tcPr>
          <w:p w14:paraId="2DDDD26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Категория</w:t>
            </w:r>
          </w:p>
        </w:tc>
        <w:tc>
          <w:tcPr>
            <w:tcW w:w="2154" w:type="dxa"/>
            <w:vAlign w:val="center"/>
          </w:tcPr>
          <w:p w14:paraId="46FEED9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Метрика</w:t>
            </w:r>
          </w:p>
        </w:tc>
        <w:tc>
          <w:tcPr>
            <w:tcW w:w="5159" w:type="dxa"/>
            <w:vAlign w:val="center"/>
          </w:tcPr>
          <w:p w14:paraId="6B4EBA1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Требование</w:t>
            </w:r>
          </w:p>
        </w:tc>
      </w:tr>
      <w:tr w14:paraId="728D63D6">
        <w:tc>
          <w:tcPr>
            <w:tcW w:w="2041" w:type="dxa"/>
            <w:vAlign w:val="center"/>
          </w:tcPr>
          <w:p w14:paraId="294F87D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Производительность</w:t>
            </w:r>
          </w:p>
        </w:tc>
        <w:tc>
          <w:tcPr>
            <w:tcW w:w="2154" w:type="dxa"/>
            <w:vAlign w:val="center"/>
          </w:tcPr>
          <w:p w14:paraId="04FF66B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Время отклика API</w:t>
            </w:r>
          </w:p>
        </w:tc>
        <w:tc>
          <w:tcPr>
            <w:tcW w:w="5159" w:type="dxa"/>
            <w:vAlign w:val="center"/>
          </w:tcPr>
          <w:p w14:paraId="145049D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Не более 500 мс для 95 % запросов при нагрузке до 100 RPS</w:t>
            </w:r>
          </w:p>
        </w:tc>
      </w:tr>
      <w:tr w14:paraId="56DD134C">
        <w:tc>
          <w:tcPr>
            <w:tcW w:w="2041" w:type="dxa"/>
            <w:vAlign w:val="center"/>
          </w:tcPr>
          <w:p w14:paraId="7A68E83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Безопасность</w:t>
            </w:r>
          </w:p>
        </w:tc>
        <w:tc>
          <w:tcPr>
            <w:tcW w:w="2154" w:type="dxa"/>
            <w:vAlign w:val="center"/>
          </w:tcPr>
          <w:p w14:paraId="4468414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Защита персональных данных</w:t>
            </w:r>
          </w:p>
        </w:tc>
        <w:tc>
          <w:tcPr>
            <w:tcW w:w="5159" w:type="dxa"/>
            <w:vAlign w:val="center"/>
          </w:tcPr>
          <w:p w14:paraId="253257F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Хранение по уровню защищённости УЗ-3, шифрование pgcrypto, TLS 1.2+</w:t>
            </w:r>
          </w:p>
        </w:tc>
      </w:tr>
      <w:tr w14:paraId="654C5A4C">
        <w:tc>
          <w:tcPr>
            <w:tcW w:w="2041" w:type="dxa"/>
            <w:vAlign w:val="center"/>
          </w:tcPr>
          <w:p w14:paraId="5A33ED1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Доступность сервиса</w:t>
            </w:r>
          </w:p>
        </w:tc>
        <w:tc>
          <w:tcPr>
            <w:tcW w:w="2154" w:type="dxa"/>
            <w:vAlign w:val="center"/>
          </w:tcPr>
          <w:p w14:paraId="073B23F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Целевой SLO</w:t>
            </w:r>
          </w:p>
        </w:tc>
        <w:tc>
          <w:tcPr>
            <w:tcW w:w="5159" w:type="dxa"/>
            <w:vAlign w:val="center"/>
          </w:tcPr>
          <w:p w14:paraId="14C8689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99 % в режиме 24/7, плановое окно обслуживания не более 4 часов в месяц</w:t>
            </w:r>
          </w:p>
        </w:tc>
      </w:tr>
      <w:tr w14:paraId="196D37BA">
        <w:tc>
          <w:tcPr>
            <w:tcW w:w="2041" w:type="dxa"/>
            <w:vAlign w:val="center"/>
          </w:tcPr>
          <w:p w14:paraId="79EF1B7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Локализация</w:t>
            </w:r>
          </w:p>
        </w:tc>
        <w:tc>
          <w:tcPr>
            <w:tcW w:w="2154" w:type="dxa"/>
            <w:vAlign w:val="center"/>
          </w:tcPr>
          <w:p w14:paraId="7AFF3FD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Язык и кодировка</w:t>
            </w:r>
          </w:p>
        </w:tc>
        <w:tc>
          <w:tcPr>
            <w:tcW w:w="5159" w:type="dxa"/>
            <w:vAlign w:val="center"/>
          </w:tcPr>
          <w:p w14:paraId="48AB17D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Русский язык интерфейса, UTF-8, часовой пояс клиники</w:t>
            </w:r>
          </w:p>
        </w:tc>
      </w:tr>
      <w:tr w14:paraId="2AF48A04">
        <w:tc>
          <w:tcPr>
            <w:tcW w:w="2041" w:type="dxa"/>
            <w:vAlign w:val="center"/>
          </w:tcPr>
          <w:p w14:paraId="30807A5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Масштабируемость</w:t>
            </w:r>
          </w:p>
        </w:tc>
        <w:tc>
          <w:tcPr>
            <w:tcW w:w="2154" w:type="dxa"/>
            <w:vAlign w:val="center"/>
          </w:tcPr>
          <w:p w14:paraId="49A88B0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Горизонтальное масштабирование</w:t>
            </w:r>
          </w:p>
        </w:tc>
        <w:tc>
          <w:tcPr>
            <w:tcW w:w="5159" w:type="dxa"/>
            <w:vAlign w:val="center"/>
          </w:tcPr>
          <w:p w14:paraId="52062CA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Добавление инстансов сервисов за балансировщиком без простоя</w:t>
            </w:r>
          </w:p>
        </w:tc>
      </w:tr>
      <w:tr w14:paraId="00C10215">
        <w:tc>
          <w:tcPr>
            <w:tcW w:w="2041" w:type="dxa"/>
            <w:vAlign w:val="center"/>
          </w:tcPr>
          <w:p w14:paraId="2A44690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Совместимость</w:t>
            </w:r>
          </w:p>
        </w:tc>
        <w:tc>
          <w:tcPr>
            <w:tcW w:w="2154" w:type="dxa"/>
            <w:vAlign w:val="center"/>
          </w:tcPr>
          <w:p w14:paraId="1A5C109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Поддерживаемые платформы</w:t>
            </w:r>
          </w:p>
        </w:tc>
        <w:tc>
          <w:tcPr>
            <w:tcW w:w="5159" w:type="dxa"/>
            <w:vAlign w:val="center"/>
          </w:tcPr>
          <w:p w14:paraId="19F6DB4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iOS 14+, Android 10+, актуальные версии Chrome, Safari, Firefox</w:t>
            </w:r>
          </w:p>
        </w:tc>
      </w:tr>
      <w:tr w14:paraId="60AC6C21">
        <w:tc>
          <w:tcPr>
            <w:tcW w:w="2041" w:type="dxa"/>
            <w:vAlign w:val="center"/>
          </w:tcPr>
          <w:p w14:paraId="7BAF5E1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Доступность интерфейса</w:t>
            </w:r>
          </w:p>
        </w:tc>
        <w:tc>
          <w:tcPr>
            <w:tcW w:w="2154" w:type="dxa"/>
            <w:vAlign w:val="center"/>
          </w:tcPr>
          <w:p w14:paraId="73D8C11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Уровень WCAG</w:t>
            </w:r>
          </w:p>
        </w:tc>
        <w:tc>
          <w:tcPr>
            <w:tcW w:w="5159" w:type="dxa"/>
            <w:vAlign w:val="center"/>
          </w:tcPr>
          <w:p w14:paraId="3D0F0CE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Контраст не ниже AA, поддержка увеличенного шрифта (ГОСТ Р 52872-2019)</w:t>
            </w:r>
          </w:p>
        </w:tc>
      </w:tr>
    </w:tbl>
    <w:p w14:paraId="11AF3202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Выводы по подразделу. Сформулированы 12 функциональных и 7 нефункциональных требований. FR описывают пациентские сценарии записи, ведения профиля и оформления налогового вычета. NFR проверяются нагрузочным и приёмочным тестированием до запуска пилота.</w:t>
      </w:r>
    </w:p>
    <w:p w14:paraId="659D72B6">
      <w:pPr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3.3 Роли пользователей, пользовательские истории и варианты использования</w:t>
      </w:r>
    </w:p>
    <w:p w14:paraId="4BEC65E6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Роли построены от заинтересованных сторон, участвующих в записи, оказании услуги и документальном сопровождении визита. Для каждой роли указан набор ключевых сценариев MVP. Работа продукта описана четырьмя пользовательскими историями и тремя вариантами использования — они покрывают основные ветки маршрута пациента.</w:t>
      </w:r>
    </w:p>
    <w:p w14:paraId="0E2ACFCB"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Таблица 3.4 – Роли пользователей приложения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3685"/>
        <w:gridCol w:w="3402"/>
      </w:tblGrid>
      <w:tr w14:paraId="68345777">
        <w:tc>
          <w:tcPr>
            <w:tcW w:w="2268" w:type="dxa"/>
            <w:vAlign w:val="center"/>
          </w:tcPr>
          <w:p w14:paraId="42B7AA8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Роль</w:t>
            </w:r>
          </w:p>
        </w:tc>
        <w:tc>
          <w:tcPr>
            <w:tcW w:w="3685" w:type="dxa"/>
            <w:vAlign w:val="center"/>
          </w:tcPr>
          <w:p w14:paraId="5B77EF5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Описание</w:t>
            </w:r>
          </w:p>
        </w:tc>
        <w:tc>
          <w:tcPr>
            <w:tcW w:w="3402" w:type="dxa"/>
            <w:vAlign w:val="center"/>
          </w:tcPr>
          <w:p w14:paraId="291B0FE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Ключевые сценарии</w:t>
            </w:r>
          </w:p>
        </w:tc>
      </w:tr>
      <w:tr w14:paraId="4B17E8EE">
        <w:tc>
          <w:tcPr>
            <w:tcW w:w="2268" w:type="dxa"/>
            <w:vAlign w:val="center"/>
          </w:tcPr>
          <w:p w14:paraId="7F10E77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Пациент</w:t>
            </w:r>
          </w:p>
        </w:tc>
        <w:tc>
          <w:tcPr>
            <w:tcW w:w="3685" w:type="dxa"/>
            <w:vAlign w:val="center"/>
          </w:tcPr>
          <w:p w14:paraId="6FAD510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Совершеннолетний пользователь, самостоятельно записывается на приём, ведёт профиль (в том числе профиль ребёнка), просматривает историю визитов и оформляет налоговый вычет.</w:t>
            </w:r>
          </w:p>
        </w:tc>
        <w:tc>
          <w:tcPr>
            <w:tcW w:w="3402" w:type="dxa"/>
            <w:vAlign w:val="center"/>
          </w:tcPr>
          <w:p w14:paraId="004D039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Запись на приём; управление профилем; просмотр истории и гарантий; заявка на налоговый вычет.</w:t>
            </w:r>
          </w:p>
        </w:tc>
      </w:tr>
      <w:tr w14:paraId="43D949EA">
        <w:tc>
          <w:tcPr>
            <w:tcW w:w="2268" w:type="dxa"/>
            <w:vAlign w:val="center"/>
          </w:tcPr>
          <w:p w14:paraId="4A1068D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Администратор клиники</w:t>
            </w:r>
          </w:p>
        </w:tc>
        <w:tc>
          <w:tcPr>
            <w:tcW w:w="3685" w:type="dxa"/>
            <w:vAlign w:val="center"/>
          </w:tcPr>
          <w:p w14:paraId="2D7B15A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Сотрудник регистратуры филиала, принимает записи пациентов в интерфейсе МИС, подтверждает приход и перенос, формирует справки.</w:t>
            </w:r>
          </w:p>
        </w:tc>
        <w:tc>
          <w:tcPr>
            <w:tcW w:w="3402" w:type="dxa"/>
            <w:vAlign w:val="center"/>
          </w:tcPr>
          <w:p w14:paraId="475CBC9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Подтверждение записи; перенос и отмена визита; выдача справки по ЭДО.</w:t>
            </w:r>
          </w:p>
        </w:tc>
      </w:tr>
      <w:tr w14:paraId="178EB347">
        <w:tc>
          <w:tcPr>
            <w:tcW w:w="2268" w:type="dxa"/>
            <w:vAlign w:val="center"/>
          </w:tcPr>
          <w:p w14:paraId="00E9E2A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Супер-администратор сети</w:t>
            </w:r>
          </w:p>
        </w:tc>
        <w:tc>
          <w:tcPr>
            <w:tcW w:w="3685" w:type="dxa"/>
            <w:vAlign w:val="center"/>
          </w:tcPr>
          <w:p w14:paraId="4355583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Сотрудник управляющей компании сети клиник, ведёт каталог услуг, расписания, гарантийную политику и права доступа сотрудников.</w:t>
            </w:r>
          </w:p>
        </w:tc>
        <w:tc>
          <w:tcPr>
            <w:tcW w:w="3402" w:type="dxa"/>
            <w:vAlign w:val="center"/>
          </w:tcPr>
          <w:p w14:paraId="21E43B7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Ведение каталога; управление филиалами и правами; отчётность по записям и no-show.</w:t>
            </w:r>
          </w:p>
        </w:tc>
      </w:tr>
    </w:tbl>
    <w:p w14:paraId="3FB72635"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Таблица 3.5 – Пользовательская история US-1 «Запись на приём без звонка»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6803"/>
      </w:tblGrid>
      <w:tr w14:paraId="0E76B1E3">
        <w:tc>
          <w:tcPr>
            <w:tcW w:w="2551" w:type="dxa"/>
            <w:vAlign w:val="center"/>
          </w:tcPr>
          <w:p w14:paraId="12E08BC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Поле</w:t>
            </w:r>
          </w:p>
        </w:tc>
        <w:tc>
          <w:tcPr>
            <w:tcW w:w="6803" w:type="dxa"/>
            <w:vAlign w:val="center"/>
          </w:tcPr>
          <w:p w14:paraId="0840854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Содержание</w:t>
            </w:r>
          </w:p>
        </w:tc>
      </w:tr>
      <w:tr w14:paraId="2CCCAECF">
        <w:tc>
          <w:tcPr>
            <w:tcW w:w="2551" w:type="dxa"/>
            <w:vAlign w:val="center"/>
          </w:tcPr>
          <w:p w14:paraId="4350371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Наименование</w:t>
            </w:r>
          </w:p>
        </w:tc>
        <w:tc>
          <w:tcPr>
            <w:tcW w:w="6803" w:type="dxa"/>
            <w:vAlign w:val="center"/>
          </w:tcPr>
          <w:p w14:paraId="7103278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Запись на приём без звонка</w:t>
            </w:r>
          </w:p>
        </w:tc>
      </w:tr>
      <w:tr w14:paraId="6CEF425E">
        <w:tc>
          <w:tcPr>
            <w:tcW w:w="2551" w:type="dxa"/>
            <w:vAlign w:val="center"/>
          </w:tcPr>
          <w:p w14:paraId="64F6915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Описание пользовательской истории</w:t>
            </w:r>
          </w:p>
        </w:tc>
        <w:tc>
          <w:tcPr>
            <w:tcW w:w="6803" w:type="dxa"/>
            <w:vAlign w:val="center"/>
          </w:tcPr>
          <w:p w14:paraId="565560F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Как пациент сети стоматологических клиник,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я хочу записаться на приём к выбранному врачу без телефонного звонка,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чтобы не ждать ответа регистратора и выбрать удобное время самостоятельно.</w:t>
            </w:r>
          </w:p>
        </w:tc>
      </w:tr>
      <w:tr w14:paraId="41B2F38D">
        <w:tc>
          <w:tcPr>
            <w:tcW w:w="2551" w:type="dxa"/>
            <w:vAlign w:val="center"/>
          </w:tcPr>
          <w:p w14:paraId="5ABB073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Критерии приёмки</w:t>
            </w:r>
          </w:p>
        </w:tc>
        <w:tc>
          <w:tcPr>
            <w:tcW w:w="6803" w:type="dxa"/>
            <w:vAlign w:val="center"/>
          </w:tcPr>
          <w:p w14:paraId="3162FC8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1. Маршрут записи занимает не более 90 секунд от открытия приложения до подтверждения.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2. Пациент видит доступные слоты выбранного врача на 14 дней вперёд.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3. После подтверждения запись появляется в разделе «Ближайшая запись» на главном экране.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4. SMS-подтверждение приходит не позднее 30 секунд после подтверждения записи.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5. Запись отображается во всех филиалах сети, где ведёт приём выбранный врач.</w:t>
            </w:r>
          </w:p>
        </w:tc>
      </w:tr>
    </w:tbl>
    <w:p w14:paraId="4771238F"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Таблица 3.6 – Пользовательская история US-2 «Единый профиль с документами и гарантиями»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6803"/>
      </w:tblGrid>
      <w:tr w14:paraId="221ACAAC">
        <w:tc>
          <w:tcPr>
            <w:tcW w:w="2551" w:type="dxa"/>
            <w:vAlign w:val="center"/>
          </w:tcPr>
          <w:p w14:paraId="74BBEDB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Поле</w:t>
            </w:r>
          </w:p>
        </w:tc>
        <w:tc>
          <w:tcPr>
            <w:tcW w:w="6803" w:type="dxa"/>
            <w:vAlign w:val="center"/>
          </w:tcPr>
          <w:p w14:paraId="0715E44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Содержание</w:t>
            </w:r>
          </w:p>
        </w:tc>
      </w:tr>
      <w:tr w14:paraId="55D07B94">
        <w:tc>
          <w:tcPr>
            <w:tcW w:w="2551" w:type="dxa"/>
            <w:vAlign w:val="center"/>
          </w:tcPr>
          <w:p w14:paraId="6F98653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Наименование</w:t>
            </w:r>
          </w:p>
        </w:tc>
        <w:tc>
          <w:tcPr>
            <w:tcW w:w="6803" w:type="dxa"/>
            <w:vAlign w:val="center"/>
          </w:tcPr>
          <w:p w14:paraId="7A372DE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Единый профиль с документами и гарантиями</w:t>
            </w:r>
          </w:p>
        </w:tc>
      </w:tr>
      <w:tr w14:paraId="52ADBB53">
        <w:tc>
          <w:tcPr>
            <w:tcW w:w="2551" w:type="dxa"/>
            <w:vAlign w:val="center"/>
          </w:tcPr>
          <w:p w14:paraId="27276D6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Описание пользовательской истории</w:t>
            </w:r>
          </w:p>
        </w:tc>
        <w:tc>
          <w:tcPr>
            <w:tcW w:w="6803" w:type="dxa"/>
            <w:vAlign w:val="center"/>
          </w:tcPr>
          <w:p w14:paraId="539B1E0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Как пациент сети,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я хочу иметь единый профиль с историей визитов, чеками и сроками гарантии,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чтобы не запрашивать документы в регистратуре и отслеживать действующие гарантии.</w:t>
            </w:r>
          </w:p>
        </w:tc>
      </w:tr>
      <w:tr w14:paraId="1E553954">
        <w:tc>
          <w:tcPr>
            <w:tcW w:w="2551" w:type="dxa"/>
            <w:vAlign w:val="center"/>
          </w:tcPr>
          <w:p w14:paraId="71FE526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Критерии приёмки</w:t>
            </w:r>
          </w:p>
        </w:tc>
        <w:tc>
          <w:tcPr>
            <w:tcW w:w="6803" w:type="dxa"/>
            <w:vAlign w:val="center"/>
          </w:tcPr>
          <w:p w14:paraId="37CBEDB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1. В разделе «История» отображаются все визиты пациента во всех филиалах сети.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2. Для каждого визита доступны заключение врача, перечень услуг и электронная копия чека.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3. Для услуг с гарантией отображается дата окончания действия гарантии.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4. Карточка визита открывается не дольше 1 секунды при стабильном соединении.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5. В профиль можно добавить ребёнка и вести его историю визитов в той же учётной записи.</w:t>
            </w:r>
          </w:p>
        </w:tc>
      </w:tr>
    </w:tbl>
    <w:p w14:paraId="360FBA8F"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Таблица 3.7 – Пользовательская история US-3 «Быстрый поиск по врачу, клинике или услуге»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6803"/>
      </w:tblGrid>
      <w:tr w14:paraId="23E674F7">
        <w:tc>
          <w:tcPr>
            <w:tcW w:w="2551" w:type="dxa"/>
            <w:vAlign w:val="center"/>
          </w:tcPr>
          <w:p w14:paraId="1697C28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Поле</w:t>
            </w:r>
          </w:p>
        </w:tc>
        <w:tc>
          <w:tcPr>
            <w:tcW w:w="6803" w:type="dxa"/>
            <w:vAlign w:val="center"/>
          </w:tcPr>
          <w:p w14:paraId="30CB7F5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Содержание</w:t>
            </w:r>
          </w:p>
        </w:tc>
      </w:tr>
      <w:tr w14:paraId="6F30449A">
        <w:tc>
          <w:tcPr>
            <w:tcW w:w="2551" w:type="dxa"/>
            <w:vAlign w:val="center"/>
          </w:tcPr>
          <w:p w14:paraId="059AFE1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Наименование</w:t>
            </w:r>
          </w:p>
        </w:tc>
        <w:tc>
          <w:tcPr>
            <w:tcW w:w="6803" w:type="dxa"/>
            <w:vAlign w:val="center"/>
          </w:tcPr>
          <w:p w14:paraId="08D7389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Быстрый поиск по врачу, клинике или услуге</w:t>
            </w:r>
          </w:p>
        </w:tc>
      </w:tr>
      <w:tr w14:paraId="1FBEF37D">
        <w:tc>
          <w:tcPr>
            <w:tcW w:w="2551" w:type="dxa"/>
            <w:vAlign w:val="center"/>
          </w:tcPr>
          <w:p w14:paraId="0E1F76A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Описание пользовательской истории</w:t>
            </w:r>
          </w:p>
        </w:tc>
        <w:tc>
          <w:tcPr>
            <w:tcW w:w="6803" w:type="dxa"/>
            <w:vAlign w:val="center"/>
          </w:tcPr>
          <w:p w14:paraId="5B57A14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Как пациент, знающий желаемый тип услуги или конкретного врача,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я хочу найти подходящую клинику, врача и ближайший свободный слот по одному запросу,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чтобы не изучать расписание каждого филиала сети вручную.</w:t>
            </w:r>
          </w:p>
        </w:tc>
      </w:tr>
      <w:tr w14:paraId="3C52C6DF">
        <w:tc>
          <w:tcPr>
            <w:tcW w:w="2551" w:type="dxa"/>
            <w:vAlign w:val="center"/>
          </w:tcPr>
          <w:p w14:paraId="627B319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Критерии приёмки</w:t>
            </w:r>
          </w:p>
        </w:tc>
        <w:tc>
          <w:tcPr>
            <w:tcW w:w="6803" w:type="dxa"/>
            <w:vAlign w:val="center"/>
          </w:tcPr>
          <w:p w14:paraId="786A667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1. Поиск находит врачей, клиники и услуги по одной поисковой строке с автодополнением.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2. Результаты упорядочены по расстоянию до пациента и по ближайшему свободному слоту.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3. У каждого результата отображается ближайший свободный слот записи.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4. Фильтры по цене, специализации и рейтингу применяются без перезагрузки экрана.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5. Переход от результата поиска к оформлению записи занимает не более двух нажатий.</w:t>
            </w:r>
          </w:p>
        </w:tc>
      </w:tr>
    </w:tbl>
    <w:p w14:paraId="160D98A7"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Таблица 3.8 – Пользовательская история US-4 «Заявка на справку о налоговом вычете»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6803"/>
      </w:tblGrid>
      <w:tr w14:paraId="6C157F70">
        <w:tc>
          <w:tcPr>
            <w:tcW w:w="2551" w:type="dxa"/>
            <w:vAlign w:val="center"/>
          </w:tcPr>
          <w:p w14:paraId="39AF1A9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Поле</w:t>
            </w:r>
          </w:p>
        </w:tc>
        <w:tc>
          <w:tcPr>
            <w:tcW w:w="6803" w:type="dxa"/>
            <w:vAlign w:val="center"/>
          </w:tcPr>
          <w:p w14:paraId="0753DB1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Содержание</w:t>
            </w:r>
          </w:p>
        </w:tc>
      </w:tr>
      <w:tr w14:paraId="13714D00">
        <w:tc>
          <w:tcPr>
            <w:tcW w:w="2551" w:type="dxa"/>
            <w:vAlign w:val="center"/>
          </w:tcPr>
          <w:p w14:paraId="5EFAFB1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Наименование</w:t>
            </w:r>
          </w:p>
        </w:tc>
        <w:tc>
          <w:tcPr>
            <w:tcW w:w="6803" w:type="dxa"/>
            <w:vAlign w:val="center"/>
          </w:tcPr>
          <w:p w14:paraId="551C7BB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Заявка на справку о налоговом вычете</w:t>
            </w:r>
          </w:p>
        </w:tc>
      </w:tr>
      <w:tr w14:paraId="50531B31">
        <w:tc>
          <w:tcPr>
            <w:tcW w:w="2551" w:type="dxa"/>
            <w:vAlign w:val="center"/>
          </w:tcPr>
          <w:p w14:paraId="47362EF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Описание пользовательской истории</w:t>
            </w:r>
          </w:p>
        </w:tc>
        <w:tc>
          <w:tcPr>
            <w:tcW w:w="6803" w:type="dxa"/>
            <w:vAlign w:val="center"/>
          </w:tcPr>
          <w:p w14:paraId="2C2FD6A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Как пациент, оплативший стоматологические услуги за календарный год,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я хочу подать заявку на справку об оплате медицинских услуг, не посещая регистратуру,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чтобы приложить её к декларации 3-НДФЛ и получить налоговый вычет.</w:t>
            </w:r>
          </w:p>
        </w:tc>
      </w:tr>
      <w:tr w14:paraId="6E0B4538">
        <w:tc>
          <w:tcPr>
            <w:tcW w:w="2551" w:type="dxa"/>
            <w:vAlign w:val="center"/>
          </w:tcPr>
          <w:p w14:paraId="7F41303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Критерии приёмки</w:t>
            </w:r>
          </w:p>
        </w:tc>
        <w:tc>
          <w:tcPr>
            <w:tcW w:w="6803" w:type="dxa"/>
            <w:vAlign w:val="center"/>
          </w:tcPr>
          <w:p w14:paraId="2767FEE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1. Пациент выбирает период, получателя (налогоплательщик или родственник) и указывает ИНН.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2. Приложение валидирует 12-значный ИНН до отправки заявки.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3. После отправки заявка отображается в разделе «Документы» со статусом обработки.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4. Справка направляется по электронному документообороту и доступна для скачивания в приложении.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5. Срок рассмотрения заявки не превышает 5 рабочих дней.</w:t>
            </w:r>
          </w:p>
        </w:tc>
      </w:tr>
    </w:tbl>
    <w:p w14:paraId="0B693FD6"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Таблица 3.9 – Вариант использования UC-1 «Оформление записи»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6803"/>
      </w:tblGrid>
      <w:tr w14:paraId="439E0352">
        <w:tc>
          <w:tcPr>
            <w:tcW w:w="2551" w:type="dxa"/>
            <w:vAlign w:val="center"/>
          </w:tcPr>
          <w:p w14:paraId="7BEB353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Поле</w:t>
            </w:r>
          </w:p>
        </w:tc>
        <w:tc>
          <w:tcPr>
            <w:tcW w:w="6803" w:type="dxa"/>
            <w:vAlign w:val="center"/>
          </w:tcPr>
          <w:p w14:paraId="3838D5D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Содержание</w:t>
            </w:r>
          </w:p>
        </w:tc>
      </w:tr>
      <w:tr w14:paraId="1EF79A41">
        <w:tc>
          <w:tcPr>
            <w:tcW w:w="2551" w:type="dxa"/>
            <w:vAlign w:val="center"/>
          </w:tcPr>
          <w:p w14:paraId="6F2F549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Название</w:t>
            </w:r>
          </w:p>
        </w:tc>
        <w:tc>
          <w:tcPr>
            <w:tcW w:w="6803" w:type="dxa"/>
            <w:vAlign w:val="center"/>
          </w:tcPr>
          <w:p w14:paraId="1FA6EF6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Оформление записи</w:t>
            </w:r>
          </w:p>
        </w:tc>
      </w:tr>
      <w:tr w14:paraId="029F275B">
        <w:tc>
          <w:tcPr>
            <w:tcW w:w="2551" w:type="dxa"/>
            <w:vAlign w:val="center"/>
          </w:tcPr>
          <w:p w14:paraId="70F6E5B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Акторы</w:t>
            </w:r>
          </w:p>
        </w:tc>
        <w:tc>
          <w:tcPr>
            <w:tcW w:w="6803" w:type="dxa"/>
            <w:vAlign w:val="center"/>
          </w:tcPr>
          <w:p w14:paraId="63A66C7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Пациент, система записи, МИС клиники</w:t>
            </w:r>
          </w:p>
        </w:tc>
      </w:tr>
      <w:tr w14:paraId="24D64C8B">
        <w:tc>
          <w:tcPr>
            <w:tcW w:w="2551" w:type="dxa"/>
            <w:vAlign w:val="center"/>
          </w:tcPr>
          <w:p w14:paraId="1E247C8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Предусловия</w:t>
            </w:r>
          </w:p>
        </w:tc>
        <w:tc>
          <w:tcPr>
            <w:tcW w:w="6803" w:type="dxa"/>
            <w:vAlign w:val="center"/>
          </w:tcPr>
          <w:p w14:paraId="0219D47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Пациент авторизован в приложении по SMS-OTP. Каталог клиник, врачей и услуг загружен.</w:t>
            </w:r>
          </w:p>
        </w:tc>
      </w:tr>
      <w:tr w14:paraId="7B79341A">
        <w:tc>
          <w:tcPr>
            <w:tcW w:w="2551" w:type="dxa"/>
            <w:vAlign w:val="center"/>
          </w:tcPr>
          <w:p w14:paraId="7C32D5F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Постусловие</w:t>
            </w:r>
          </w:p>
        </w:tc>
        <w:tc>
          <w:tcPr>
            <w:tcW w:w="6803" w:type="dxa"/>
            <w:vAlign w:val="center"/>
          </w:tcPr>
          <w:p w14:paraId="6643B8F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 расписании врача появляется новая запись. Пациент получает SMS-подтверждение, запись отображается на главном экране.</w:t>
            </w:r>
          </w:p>
        </w:tc>
      </w:tr>
      <w:tr w14:paraId="4C5156FC">
        <w:tc>
          <w:tcPr>
            <w:tcW w:w="2551" w:type="dxa"/>
            <w:vAlign w:val="center"/>
          </w:tcPr>
          <w:p w14:paraId="7895772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Триггер</w:t>
            </w:r>
          </w:p>
        </w:tc>
        <w:tc>
          <w:tcPr>
            <w:tcW w:w="6803" w:type="dxa"/>
            <w:vAlign w:val="center"/>
          </w:tcPr>
          <w:p w14:paraId="4BBFB87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Пациент нажимает «Записаться» на главном экране приложения.</w:t>
            </w:r>
          </w:p>
        </w:tc>
      </w:tr>
      <w:tr w14:paraId="2147FA59">
        <w:tc>
          <w:tcPr>
            <w:tcW w:w="2551" w:type="dxa"/>
            <w:vAlign w:val="center"/>
          </w:tcPr>
          <w:p w14:paraId="16AF7B9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Нормальный сценарий</w:t>
            </w:r>
          </w:p>
        </w:tc>
        <w:tc>
          <w:tcPr>
            <w:tcW w:w="6803" w:type="dxa"/>
            <w:vAlign w:val="center"/>
          </w:tcPr>
          <w:p w14:paraId="4D25C94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1. Пациент выбирает услугу.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2. Приложение предлагает подходящие клиники и врачей.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3. Пациент выбирает врача и видит свободные слоты на 14 дней.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4. Пациент выбирает слот и подтверждает запись.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5. Система бронирует слот в МИС клиники и сохраняет запись в БД.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6. Пациенту приходит SMS-подтверждение; запись появляется на главном экране.</w:t>
            </w:r>
          </w:p>
        </w:tc>
      </w:tr>
      <w:tr w14:paraId="43472823">
        <w:tc>
          <w:tcPr>
            <w:tcW w:w="2551" w:type="dxa"/>
            <w:vAlign w:val="center"/>
          </w:tcPr>
          <w:p w14:paraId="2F7FFB4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Альтернативный сценарий 1</w:t>
            </w:r>
          </w:p>
        </w:tc>
        <w:tc>
          <w:tcPr>
            <w:tcW w:w="6803" w:type="dxa"/>
            <w:vAlign w:val="center"/>
          </w:tcPr>
          <w:p w14:paraId="6FF3BDA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3а. Выбранный слот занят другим пациентом.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3а.1. Система блокирует подтверждение и предлагает ближайшие альтернативные слоты.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3а.2. Пациент выбирает другой слот и возвращается к шагу 4.</w:t>
            </w:r>
          </w:p>
        </w:tc>
      </w:tr>
      <w:tr w14:paraId="1E275CD8">
        <w:tc>
          <w:tcPr>
            <w:tcW w:w="2551" w:type="dxa"/>
            <w:vAlign w:val="center"/>
          </w:tcPr>
          <w:p w14:paraId="3CB7FD7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Альтернативный сценарий 2</w:t>
            </w:r>
          </w:p>
        </w:tc>
        <w:tc>
          <w:tcPr>
            <w:tcW w:w="6803" w:type="dxa"/>
            <w:vAlign w:val="center"/>
          </w:tcPr>
          <w:p w14:paraId="45281C2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5а. МИС клиники недоступна.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5а.1. Система сохраняет запись в очереди и показывает пациенту статус «Подтверждается».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5а.2. После восстановления связи запись синхронизируется с МИС, пациенту приходит SMS-подтверждение.</w:t>
            </w:r>
          </w:p>
        </w:tc>
      </w:tr>
    </w:tbl>
    <w:p w14:paraId="79F0FF0F"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Таблица 3.10 – Вариант использования UC-2 «Поиск врача и просмотр окон записи»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6803"/>
      </w:tblGrid>
      <w:tr w14:paraId="14D5FBFC">
        <w:tc>
          <w:tcPr>
            <w:tcW w:w="2551" w:type="dxa"/>
            <w:vAlign w:val="center"/>
          </w:tcPr>
          <w:p w14:paraId="191CDD8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Поле</w:t>
            </w:r>
          </w:p>
        </w:tc>
        <w:tc>
          <w:tcPr>
            <w:tcW w:w="6803" w:type="dxa"/>
            <w:vAlign w:val="center"/>
          </w:tcPr>
          <w:p w14:paraId="69E34B8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Содержание</w:t>
            </w:r>
          </w:p>
        </w:tc>
      </w:tr>
      <w:tr w14:paraId="12B3C1C6">
        <w:tc>
          <w:tcPr>
            <w:tcW w:w="2551" w:type="dxa"/>
            <w:vAlign w:val="center"/>
          </w:tcPr>
          <w:p w14:paraId="6EC039B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Название</w:t>
            </w:r>
          </w:p>
        </w:tc>
        <w:tc>
          <w:tcPr>
            <w:tcW w:w="6803" w:type="dxa"/>
            <w:vAlign w:val="center"/>
          </w:tcPr>
          <w:p w14:paraId="3BD63CA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Поиск врача и просмотр окон записи</w:t>
            </w:r>
          </w:p>
        </w:tc>
      </w:tr>
      <w:tr w14:paraId="5EF94BD3">
        <w:tc>
          <w:tcPr>
            <w:tcW w:w="2551" w:type="dxa"/>
            <w:vAlign w:val="center"/>
          </w:tcPr>
          <w:p w14:paraId="6CCF260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Акторы</w:t>
            </w:r>
          </w:p>
        </w:tc>
        <w:tc>
          <w:tcPr>
            <w:tcW w:w="6803" w:type="dxa"/>
            <w:vAlign w:val="center"/>
          </w:tcPr>
          <w:p w14:paraId="45D92EB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Пациент, поисковый сервис, сервис расписаний</w:t>
            </w:r>
          </w:p>
        </w:tc>
      </w:tr>
      <w:tr w14:paraId="32594957">
        <w:tc>
          <w:tcPr>
            <w:tcW w:w="2551" w:type="dxa"/>
            <w:vAlign w:val="center"/>
          </w:tcPr>
          <w:p w14:paraId="4210953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Предусловия</w:t>
            </w:r>
          </w:p>
        </w:tc>
        <w:tc>
          <w:tcPr>
            <w:tcW w:w="6803" w:type="dxa"/>
            <w:vAlign w:val="center"/>
          </w:tcPr>
          <w:p w14:paraId="3A6335A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Пациент авторизован. Приложение имеет доступ к интернету.</w:t>
            </w:r>
          </w:p>
        </w:tc>
      </w:tr>
      <w:tr w14:paraId="0D11A41C">
        <w:tc>
          <w:tcPr>
            <w:tcW w:w="2551" w:type="dxa"/>
            <w:vAlign w:val="center"/>
          </w:tcPr>
          <w:p w14:paraId="41B6BC5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Постусловие</w:t>
            </w:r>
          </w:p>
        </w:tc>
        <w:tc>
          <w:tcPr>
            <w:tcW w:w="6803" w:type="dxa"/>
            <w:vAlign w:val="center"/>
          </w:tcPr>
          <w:p w14:paraId="7380BF6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На экране отображается список врачей с ближайшими свободными слотами; выбор врача ведёт к оформлению записи.</w:t>
            </w:r>
          </w:p>
        </w:tc>
      </w:tr>
      <w:tr w14:paraId="04C80DCF">
        <w:tc>
          <w:tcPr>
            <w:tcW w:w="2551" w:type="dxa"/>
            <w:vAlign w:val="center"/>
          </w:tcPr>
          <w:p w14:paraId="261CD92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Триггер</w:t>
            </w:r>
          </w:p>
        </w:tc>
        <w:tc>
          <w:tcPr>
            <w:tcW w:w="6803" w:type="dxa"/>
            <w:vAlign w:val="center"/>
          </w:tcPr>
          <w:p w14:paraId="7D942FB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Пациент открывает поиск на главном экране и вводит имя врача или специализацию.</w:t>
            </w:r>
          </w:p>
        </w:tc>
      </w:tr>
      <w:tr w14:paraId="01959469">
        <w:tc>
          <w:tcPr>
            <w:tcW w:w="2551" w:type="dxa"/>
            <w:vAlign w:val="center"/>
          </w:tcPr>
          <w:p w14:paraId="3C5508C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Нормальный сценарий</w:t>
            </w:r>
          </w:p>
        </w:tc>
        <w:tc>
          <w:tcPr>
            <w:tcW w:w="6803" w:type="dxa"/>
            <w:vAlign w:val="center"/>
          </w:tcPr>
          <w:p w14:paraId="716021F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1. Пациент вводит запрос в поисковой строке.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2. Приложение показывает подсказки автодополнения.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3. Пациент выбирает нужный результат (врач, клиника, услуга).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4. Система отображает карточку врача с рейтингом, специализацией и ближайшим свободным слотом.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5. Пациент переходит к оформлению записи по варианту использования 1.</w:t>
            </w:r>
          </w:p>
        </w:tc>
      </w:tr>
      <w:tr w14:paraId="4C04AB17">
        <w:tc>
          <w:tcPr>
            <w:tcW w:w="2551" w:type="dxa"/>
            <w:vAlign w:val="center"/>
          </w:tcPr>
          <w:p w14:paraId="042170A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Альтернативный сценарий 1</w:t>
            </w:r>
          </w:p>
        </w:tc>
        <w:tc>
          <w:tcPr>
            <w:tcW w:w="6803" w:type="dxa"/>
            <w:vAlign w:val="center"/>
          </w:tcPr>
          <w:p w14:paraId="728ACF9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1а. Пациент не уверен в точной специализации врача.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1а.1. Пациент открывает каталог услуг и выбирает категорию.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1а.2. Приложение отображает врачей соответствующей специализации с ближайшими слотами.</w:t>
            </w:r>
          </w:p>
        </w:tc>
      </w:tr>
      <w:tr w14:paraId="4D1924E3">
        <w:tc>
          <w:tcPr>
            <w:tcW w:w="2551" w:type="dxa"/>
            <w:vAlign w:val="center"/>
          </w:tcPr>
          <w:p w14:paraId="2B9FB1F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Альтернативный сценарий 2</w:t>
            </w:r>
          </w:p>
        </w:tc>
        <w:tc>
          <w:tcPr>
            <w:tcW w:w="6803" w:type="dxa"/>
            <w:vAlign w:val="center"/>
          </w:tcPr>
          <w:p w14:paraId="7605B5D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4а. У выбранного врача нет свободных слотов на 14 дней.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4а.1. Система предлагает врачей с аналогичной специализацией в той же клинике.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4а.2. Пациент выбирает альтернативного врача и возвращается к шагу 4.</w:t>
            </w:r>
          </w:p>
        </w:tc>
      </w:tr>
    </w:tbl>
    <w:p w14:paraId="736014CB"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Таблица 3.11 – Вариант использования UC-3 «Оформление заявки на налоговый вычет»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6803"/>
      </w:tblGrid>
      <w:tr w14:paraId="203ED806">
        <w:tc>
          <w:tcPr>
            <w:tcW w:w="2551" w:type="dxa"/>
            <w:vAlign w:val="center"/>
          </w:tcPr>
          <w:p w14:paraId="00A52F6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Поле</w:t>
            </w:r>
          </w:p>
        </w:tc>
        <w:tc>
          <w:tcPr>
            <w:tcW w:w="6803" w:type="dxa"/>
            <w:vAlign w:val="center"/>
          </w:tcPr>
          <w:p w14:paraId="42DC4ED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Содержание</w:t>
            </w:r>
          </w:p>
        </w:tc>
      </w:tr>
      <w:tr w14:paraId="5E17ECFA">
        <w:tc>
          <w:tcPr>
            <w:tcW w:w="2551" w:type="dxa"/>
            <w:vAlign w:val="center"/>
          </w:tcPr>
          <w:p w14:paraId="3328C3A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Название</w:t>
            </w:r>
          </w:p>
        </w:tc>
        <w:tc>
          <w:tcPr>
            <w:tcW w:w="6803" w:type="dxa"/>
            <w:vAlign w:val="center"/>
          </w:tcPr>
          <w:p w14:paraId="325B524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Оформление заявки на налоговый вычет</w:t>
            </w:r>
          </w:p>
        </w:tc>
      </w:tr>
      <w:tr w14:paraId="6D7E21DE">
        <w:tc>
          <w:tcPr>
            <w:tcW w:w="2551" w:type="dxa"/>
            <w:vAlign w:val="center"/>
          </w:tcPr>
          <w:p w14:paraId="2918540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Акторы</w:t>
            </w:r>
          </w:p>
        </w:tc>
        <w:tc>
          <w:tcPr>
            <w:tcW w:w="6803" w:type="dxa"/>
            <w:vAlign w:val="center"/>
          </w:tcPr>
          <w:p w14:paraId="596BFBE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Пациент, сервис документов, ЭДО клиники</w:t>
            </w:r>
          </w:p>
        </w:tc>
      </w:tr>
      <w:tr w14:paraId="0A1F237E">
        <w:tc>
          <w:tcPr>
            <w:tcW w:w="2551" w:type="dxa"/>
            <w:vAlign w:val="center"/>
          </w:tcPr>
          <w:p w14:paraId="7BF35FB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Предусловия</w:t>
            </w:r>
          </w:p>
        </w:tc>
        <w:tc>
          <w:tcPr>
            <w:tcW w:w="6803" w:type="dxa"/>
            <w:vAlign w:val="center"/>
          </w:tcPr>
          <w:p w14:paraId="3A7971F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Пациент авторизован. В учётной записи есть оплаченные визиты за выбранный период.</w:t>
            </w:r>
          </w:p>
        </w:tc>
      </w:tr>
      <w:tr w14:paraId="5D29091E">
        <w:tc>
          <w:tcPr>
            <w:tcW w:w="2551" w:type="dxa"/>
            <w:vAlign w:val="center"/>
          </w:tcPr>
          <w:p w14:paraId="24B22DA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Постусловие</w:t>
            </w:r>
          </w:p>
        </w:tc>
        <w:tc>
          <w:tcPr>
            <w:tcW w:w="6803" w:type="dxa"/>
            <w:vAlign w:val="center"/>
          </w:tcPr>
          <w:p w14:paraId="403D1AC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Заявка зарегистрирована, справка об оплате медицинских услуг по ст. 219 НК РФ направлена пациенту по ЭДО.</w:t>
            </w:r>
          </w:p>
        </w:tc>
      </w:tr>
      <w:tr w14:paraId="430A3017">
        <w:tc>
          <w:tcPr>
            <w:tcW w:w="2551" w:type="dxa"/>
            <w:vAlign w:val="center"/>
          </w:tcPr>
          <w:p w14:paraId="00F8B1A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Триггер</w:t>
            </w:r>
          </w:p>
        </w:tc>
        <w:tc>
          <w:tcPr>
            <w:tcW w:w="6803" w:type="dxa"/>
            <w:vAlign w:val="center"/>
          </w:tcPr>
          <w:p w14:paraId="542EC7A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Пациент открывает раздел «Документы» и нажимает «Получить справку для налогового вычета».</w:t>
            </w:r>
          </w:p>
        </w:tc>
      </w:tr>
      <w:tr w14:paraId="14B2CA5C">
        <w:tc>
          <w:tcPr>
            <w:tcW w:w="2551" w:type="dxa"/>
            <w:vAlign w:val="center"/>
          </w:tcPr>
          <w:p w14:paraId="35B6036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Нормальный сценарий</w:t>
            </w:r>
          </w:p>
        </w:tc>
        <w:tc>
          <w:tcPr>
            <w:tcW w:w="6803" w:type="dxa"/>
            <w:vAlign w:val="center"/>
          </w:tcPr>
          <w:p w14:paraId="40D8507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1. Пациент выбирает налоговый период (год).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2. Пациент указывает получателя (налогоплательщик или родственник) и вводит ИНН.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3. Приложение проверяет формат ИНН и наличие оплаченных визитов в выбранном периоде.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4. Пациент подтверждает отправку заявки.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5. Сервис документов формирует справку установленной формы и направляет её по ЭДО.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6. Заявка переходит в статус «Готово», справка доступна для скачивания в приложении.</w:t>
            </w:r>
          </w:p>
        </w:tc>
      </w:tr>
      <w:tr w14:paraId="70194065">
        <w:tc>
          <w:tcPr>
            <w:tcW w:w="2551" w:type="dxa"/>
            <w:vAlign w:val="center"/>
          </w:tcPr>
          <w:p w14:paraId="46A415C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Альтернативный сценарий 1</w:t>
            </w:r>
          </w:p>
        </w:tc>
        <w:tc>
          <w:tcPr>
            <w:tcW w:w="6803" w:type="dxa"/>
            <w:vAlign w:val="center"/>
          </w:tcPr>
          <w:p w14:paraId="7C05B7C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3а. В выбранном периоде нет оплаченных визитов.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3а.1. Приложение сообщает пациенту об отсутствии данных для справки и предлагает выбрать другой период.</w:t>
            </w:r>
          </w:p>
        </w:tc>
      </w:tr>
      <w:tr w14:paraId="716A7349">
        <w:tc>
          <w:tcPr>
            <w:tcW w:w="2551" w:type="dxa"/>
            <w:vAlign w:val="center"/>
          </w:tcPr>
          <w:p w14:paraId="69C82C2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Альтернативный сценарий 2</w:t>
            </w:r>
          </w:p>
        </w:tc>
        <w:tc>
          <w:tcPr>
            <w:tcW w:w="6803" w:type="dxa"/>
            <w:vAlign w:val="center"/>
          </w:tcPr>
          <w:p w14:paraId="4E33954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5а. Канал ЭДО временно недоступен.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5а.1. Система сохраняет заявку в очереди и информирует пациента о статусе «В обработке».</w:t>
            </w:r>
            <w:r>
              <w:br w:type="textWrapping"/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5а.2. После восстановления канала справка отправляется автоматически, пациенту приходит push-уведомление.</w:t>
            </w:r>
          </w:p>
        </w:tc>
      </w:tr>
    </w:tbl>
    <w:p w14:paraId="1971B7FE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Выводы по подразделу. Описаны три роли, четыре пользовательские истории и три варианта использования. Перечень покрывает пациентские сценарии записи, поиска и оформления налогового вычета и соответствует функциональным требованиям из подраздела 3.2. Этот набор используется как приёмочный документ для сборки первой версии продукта.</w:t>
      </w:r>
    </w:p>
    <w:p w14:paraId="28283A4B">
      <w:pPr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3.4 Архитектура и технологический стек</w:t>
      </w:r>
    </w:p>
    <w:p w14:paraId="162DC6DC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Целевая архитектура разделяет ответственность между клиентским слоем, шлюзом API, доменными сервисами и слоем хранения. Клиенты системы — мобильные приложения iOS и Android и веб-клиент административного контура. Запросы проходят через шлюз Nginx с терминацией TLS 1.2+. За шлюзом работают доменные сервисы: аутентификация и SMS-OTP, профиль пациента, запись на приём, уведомления, документы и платежи.</w:t>
      </w:r>
    </w:p>
    <w:p w14:paraId="428A73B3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Хранилища первого уровня — PostgreSQL 16 с политиками Row Level Security для разграничения доступа между клиниками [5], Redis для распределённой блокировки слотов при одновременной записи [6] и S3-совместимое объектное хранилище для чеков и справок. Отправка SMS, push-уведомлений и обмен с ЭДО вынесены в фоновую очередь. За счёт этого доменные сервисы остаются слабо связанными, а пиковые нагрузки не ломают API записи на приём.</w:t>
      </w:r>
    </w:p>
    <w:p w14:paraId="2AA3DEA5">
      <w:pPr>
        <w:keepNext/>
        <w:spacing w:before="0" w:after="0" w:line="360" w:lineRule="auto"/>
        <w:ind w:firstLine="0"/>
        <w:jc w:val="center"/>
      </w:pPr>
      <w:r>
        <w:drawing>
          <wp:inline distT="0" distB="0" distL="114300" distR="114300">
            <wp:extent cx="5759450" cy="5446395"/>
            <wp:effectExtent l="0" t="0" r="6350" b="146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4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6B082"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sz w:val="28"/>
        </w:rPr>
        <w:t>Рисунок 3.1 – Архитектура целевого продукта</w:t>
      </w:r>
    </w:p>
    <w:p w14:paraId="4A1ADBB3"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Таблица 3.12 – Технологический стек по слоям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4"/>
        <w:gridCol w:w="2381"/>
        <w:gridCol w:w="4819"/>
      </w:tblGrid>
      <w:tr w14:paraId="076659D9">
        <w:tc>
          <w:tcPr>
            <w:tcW w:w="2154" w:type="dxa"/>
            <w:vAlign w:val="center"/>
          </w:tcPr>
          <w:p w14:paraId="6B88A0C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Слой</w:t>
            </w:r>
          </w:p>
        </w:tc>
        <w:tc>
          <w:tcPr>
            <w:tcW w:w="2381" w:type="dxa"/>
            <w:vAlign w:val="center"/>
          </w:tcPr>
          <w:p w14:paraId="6871B87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Технология</w:t>
            </w:r>
          </w:p>
        </w:tc>
        <w:tc>
          <w:tcPr>
            <w:tcW w:w="4819" w:type="dxa"/>
            <w:vAlign w:val="center"/>
          </w:tcPr>
          <w:p w14:paraId="02CAFAD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Обоснование выбора</w:t>
            </w:r>
          </w:p>
        </w:tc>
      </w:tr>
      <w:tr w14:paraId="3E2AA7F0">
        <w:tc>
          <w:tcPr>
            <w:tcW w:w="2154" w:type="dxa"/>
            <w:vAlign w:val="center"/>
          </w:tcPr>
          <w:p w14:paraId="6C5C389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Мобильный клиент</w:t>
            </w:r>
          </w:p>
        </w:tc>
        <w:tc>
          <w:tcPr>
            <w:tcW w:w="2381" w:type="dxa"/>
            <w:vAlign w:val="center"/>
          </w:tcPr>
          <w:p w14:paraId="1007EF3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React Native 0.74 (TypeScript)</w:t>
            </w:r>
          </w:p>
        </w:tc>
        <w:tc>
          <w:tcPr>
            <w:tcW w:w="4819" w:type="dxa"/>
            <w:vAlign w:val="center"/>
          </w:tcPr>
          <w:p w14:paraId="49B2372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Единая кодовая база для iOS и Android сокращает трудоёмкость поддержки двух платформ при сохранении нативной производительности [7].</w:t>
            </w:r>
          </w:p>
        </w:tc>
      </w:tr>
      <w:tr w14:paraId="2385A169">
        <w:tc>
          <w:tcPr>
            <w:tcW w:w="2154" w:type="dxa"/>
            <w:vAlign w:val="center"/>
          </w:tcPr>
          <w:p w14:paraId="7EC8B14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Веб-клиент</w:t>
            </w:r>
          </w:p>
        </w:tc>
        <w:tc>
          <w:tcPr>
            <w:tcW w:w="2381" w:type="dxa"/>
            <w:vAlign w:val="center"/>
          </w:tcPr>
          <w:p w14:paraId="4D218F1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Next.js 14 (TypeScript)</w:t>
            </w:r>
          </w:p>
        </w:tc>
        <w:tc>
          <w:tcPr>
            <w:tcW w:w="4819" w:type="dxa"/>
            <w:vAlign w:val="center"/>
          </w:tcPr>
          <w:p w14:paraId="07A616B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Серверный рендеринг обеспечивает быструю отрисовку страниц записи и карточек врачей, а также упрощает SEO публичного каталога.</w:t>
            </w:r>
          </w:p>
        </w:tc>
      </w:tr>
      <w:tr w14:paraId="57D87F1A">
        <w:tc>
          <w:tcPr>
            <w:tcW w:w="2154" w:type="dxa"/>
            <w:vAlign w:val="center"/>
          </w:tcPr>
          <w:p w14:paraId="3EC31C1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API Gateway</w:t>
            </w:r>
          </w:p>
        </w:tc>
        <w:tc>
          <w:tcPr>
            <w:tcW w:w="2381" w:type="dxa"/>
            <w:vAlign w:val="center"/>
          </w:tcPr>
          <w:p w14:paraId="5D47D80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Nginx с TLS 1.2+</w:t>
            </w:r>
          </w:p>
        </w:tc>
        <w:tc>
          <w:tcPr>
            <w:tcW w:w="4819" w:type="dxa"/>
            <w:vAlign w:val="center"/>
          </w:tcPr>
          <w:p w14:paraId="76D2EE7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Проверенный открытый шлюз с возможностью маршрутизации, rate limiting и кеширования ответов публичного каталога.</w:t>
            </w:r>
          </w:p>
        </w:tc>
      </w:tr>
      <w:tr w14:paraId="480B2C66">
        <w:tc>
          <w:tcPr>
            <w:tcW w:w="2154" w:type="dxa"/>
            <w:vAlign w:val="center"/>
          </w:tcPr>
          <w:p w14:paraId="4B856C8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Доменные сервисы</w:t>
            </w:r>
          </w:p>
        </w:tc>
        <w:tc>
          <w:tcPr>
            <w:tcW w:w="2381" w:type="dxa"/>
            <w:vAlign w:val="center"/>
          </w:tcPr>
          <w:p w14:paraId="5E7ABE9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NestJS 10 на Node.js 20</w:t>
            </w:r>
          </w:p>
        </w:tc>
        <w:tc>
          <w:tcPr>
            <w:tcW w:w="4819" w:type="dxa"/>
            <w:vAlign w:val="center"/>
          </w:tcPr>
          <w:p w14:paraId="326F8CB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Модульная архитектура, встроенное DI-контейнерное решение и типобезопасность по TypeScript облегчают декомпозицию доменов [8].</w:t>
            </w:r>
          </w:p>
        </w:tc>
      </w:tr>
      <w:tr w14:paraId="470677CE">
        <w:tc>
          <w:tcPr>
            <w:tcW w:w="2154" w:type="dxa"/>
            <w:vAlign w:val="center"/>
          </w:tcPr>
          <w:p w14:paraId="635F909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Очередь задач</w:t>
            </w:r>
          </w:p>
        </w:tc>
        <w:tc>
          <w:tcPr>
            <w:tcW w:w="2381" w:type="dxa"/>
            <w:vAlign w:val="center"/>
          </w:tcPr>
          <w:p w14:paraId="216323F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BullMQ на Redis</w:t>
            </w:r>
          </w:p>
        </w:tc>
        <w:tc>
          <w:tcPr>
            <w:tcW w:w="4819" w:type="dxa"/>
            <w:vAlign w:val="center"/>
          </w:tcPr>
          <w:p w14:paraId="5E4180A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Очередь с приоритетами и отложенным выполнением позволяет планировать напоминания за 24 часа и за 2 часа до визита.</w:t>
            </w:r>
          </w:p>
        </w:tc>
      </w:tr>
      <w:tr w14:paraId="406967BA">
        <w:tc>
          <w:tcPr>
            <w:tcW w:w="2154" w:type="dxa"/>
            <w:vAlign w:val="center"/>
          </w:tcPr>
          <w:p w14:paraId="0B9F88D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Хранилище данных</w:t>
            </w:r>
          </w:p>
        </w:tc>
        <w:tc>
          <w:tcPr>
            <w:tcW w:w="2381" w:type="dxa"/>
            <w:vAlign w:val="center"/>
          </w:tcPr>
          <w:p w14:paraId="4DA4964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PostgreSQL 16, Redis 7, S3-совместимое объектное хранилище</w:t>
            </w:r>
          </w:p>
        </w:tc>
        <w:tc>
          <w:tcPr>
            <w:tcW w:w="4819" w:type="dxa"/>
            <w:vAlign w:val="center"/>
          </w:tcPr>
          <w:p w14:paraId="6E0A836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PostgreSQL закрывает транзакционные данные; Redis — быструю блокировку слотов и кэш каталога; S3 — бинарные артефакты (чеки, справки, фото врачей).</w:t>
            </w:r>
          </w:p>
        </w:tc>
      </w:tr>
      <w:tr w14:paraId="5D0BD0D1">
        <w:tc>
          <w:tcPr>
            <w:tcW w:w="2154" w:type="dxa"/>
            <w:vAlign w:val="center"/>
          </w:tcPr>
          <w:p w14:paraId="416D512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Наблюдаемость</w:t>
            </w:r>
          </w:p>
        </w:tc>
        <w:tc>
          <w:tcPr>
            <w:tcW w:w="2381" w:type="dxa"/>
            <w:vAlign w:val="center"/>
          </w:tcPr>
          <w:p w14:paraId="77CE160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OpenTelemetry, Prometheus, Grafana, Loki</w:t>
            </w:r>
          </w:p>
        </w:tc>
        <w:tc>
          <w:tcPr>
            <w:tcW w:w="4819" w:type="dxa"/>
            <w:vAlign w:val="center"/>
          </w:tcPr>
          <w:p w14:paraId="520C9CF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Единый стек метрик, логов и трассировок упрощает поиск источника деградации и расследование инцидентов.</w:t>
            </w:r>
          </w:p>
        </w:tc>
      </w:tr>
      <w:tr w14:paraId="50CA357B">
        <w:tc>
          <w:tcPr>
            <w:tcW w:w="2154" w:type="dxa"/>
            <w:vAlign w:val="center"/>
          </w:tcPr>
          <w:p w14:paraId="15E4F70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CI/CD и инфраструктура</w:t>
            </w:r>
          </w:p>
        </w:tc>
        <w:tc>
          <w:tcPr>
            <w:tcW w:w="2381" w:type="dxa"/>
            <w:vAlign w:val="center"/>
          </w:tcPr>
          <w:p w14:paraId="2E6CCC5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Docker, GitLab CI, Terraform, Yandex Cloud</w:t>
            </w:r>
          </w:p>
        </w:tc>
        <w:tc>
          <w:tcPr>
            <w:tcW w:w="4819" w:type="dxa"/>
            <w:vAlign w:val="center"/>
          </w:tcPr>
          <w:p w14:paraId="74AEFFF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Воспроизводимая доставка сервисов и инфраструктура как код сокращают время развёртывания новой клиники сети.</w:t>
            </w:r>
          </w:p>
        </w:tc>
      </w:tr>
    </w:tbl>
    <w:p w14:paraId="55F08A42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PostgreSQL и политики Row Level Security выбраны исходя из модели угроз: разграничение клиник сети должно работать на уровне СУБД, а не только в коде приложения. Ошибка в коде сервиса в этом случае не приведёт к утечке данных между филиалами. Redis выступает служебным хранилищем — для блокировок и кеширования справочных данных — и не содержит персональных данных пациента.</w:t>
      </w:r>
    </w:p>
    <w:p w14:paraId="7F14896D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Выводы по подразделу. Архитектура поделена на четыре слоя, перед сервисами стоит шлюз, для асинхронных задач заведена фоновая очередь. Технологический стек покрывает мобильные и веб-клиенты, сервисы, хранилища и инструменты наблюдаемости. Для каждого решения указано конкретное функциональное или нефункциональное требование из подраздела 3.2.</w:t>
      </w:r>
    </w:p>
    <w:p w14:paraId="46306266">
      <w:pPr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3.5 Модель данных</w:t>
      </w:r>
    </w:p>
    <w:p w14:paraId="0CB1CB9C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Схема базы данных нормализована до третьей нормальной формы и включает шесть базовых сущностей: пациент (users), клиника (clinics), врач (doctors), услуга (services), запись на приём (appointments) и заявка на справку для налогового вычета (tax_certificate_requests). Первичный ключ во всех таблицах — UUID: это исключает предсказуемые идентификаторы из публичных ссылок, упрощает перенос данных между филиалами и совпадает с требованиями разграничения доступа через Row Level Security PostgreSQL.</w:t>
      </w:r>
    </w:p>
    <w:p w14:paraId="7B06E7AC">
      <w:pPr>
        <w:keepNext/>
        <w:spacing w:before="0" w:after="0" w:line="360" w:lineRule="auto"/>
        <w:ind w:firstLine="0"/>
        <w:jc w:val="center"/>
      </w:pPr>
      <w:r>
        <w:drawing>
          <wp:inline distT="0" distB="0" distL="114300" distR="114300">
            <wp:extent cx="5759450" cy="5451475"/>
            <wp:effectExtent l="0" t="0" r="635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51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1246D"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sz w:val="28"/>
        </w:rPr>
        <w:t>Рисунок 3.2 – ER-диаграмма базы данных</w:t>
      </w:r>
    </w:p>
    <w:p w14:paraId="4CF8D11D"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Таблица 3.13 – Описание таблицы users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18"/>
        <w:gridCol w:w="1574"/>
        <w:gridCol w:w="2909"/>
        <w:gridCol w:w="2570"/>
      </w:tblGrid>
      <w:tr w14:paraId="496C3E37">
        <w:tc>
          <w:tcPr>
            <w:tcW w:w="1814" w:type="dxa"/>
            <w:vAlign w:val="center"/>
          </w:tcPr>
          <w:p w14:paraId="07D7BA4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Поле</w:t>
            </w:r>
          </w:p>
        </w:tc>
        <w:tc>
          <w:tcPr>
            <w:tcW w:w="1587" w:type="dxa"/>
            <w:vAlign w:val="center"/>
          </w:tcPr>
          <w:p w14:paraId="2B10342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Тип данных в БД</w:t>
            </w:r>
          </w:p>
        </w:tc>
        <w:tc>
          <w:tcPr>
            <w:tcW w:w="3005" w:type="dxa"/>
            <w:vAlign w:val="center"/>
          </w:tcPr>
          <w:p w14:paraId="6EC4699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Описание</w:t>
            </w:r>
          </w:p>
        </w:tc>
        <w:tc>
          <w:tcPr>
            <w:tcW w:w="2721" w:type="dxa"/>
            <w:vAlign w:val="center"/>
          </w:tcPr>
          <w:p w14:paraId="7543847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Ограничения</w:t>
            </w:r>
          </w:p>
        </w:tc>
      </w:tr>
      <w:tr w14:paraId="6541FD69">
        <w:tc>
          <w:tcPr>
            <w:tcW w:w="1814" w:type="dxa"/>
            <w:vAlign w:val="center"/>
          </w:tcPr>
          <w:p w14:paraId="7575019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id</w:t>
            </w:r>
          </w:p>
        </w:tc>
        <w:tc>
          <w:tcPr>
            <w:tcW w:w="1587" w:type="dxa"/>
            <w:vAlign w:val="center"/>
          </w:tcPr>
          <w:p w14:paraId="31B071A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uuid</w:t>
            </w:r>
          </w:p>
        </w:tc>
        <w:tc>
          <w:tcPr>
            <w:tcW w:w="3005" w:type="dxa"/>
            <w:vAlign w:val="center"/>
          </w:tcPr>
          <w:p w14:paraId="716D3E9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Идентификатор пациента</w:t>
            </w:r>
          </w:p>
        </w:tc>
        <w:tc>
          <w:tcPr>
            <w:tcW w:w="2721" w:type="dxa"/>
            <w:vAlign w:val="center"/>
          </w:tcPr>
          <w:p w14:paraId="2A128C6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Первичный ключ, генерируется автоматически</w:t>
            </w:r>
          </w:p>
        </w:tc>
      </w:tr>
      <w:tr w14:paraId="54E9738F">
        <w:tc>
          <w:tcPr>
            <w:tcW w:w="1814" w:type="dxa"/>
            <w:vAlign w:val="center"/>
          </w:tcPr>
          <w:p w14:paraId="2CED179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first_name</w:t>
            </w:r>
          </w:p>
        </w:tc>
        <w:tc>
          <w:tcPr>
            <w:tcW w:w="1587" w:type="dxa"/>
            <w:vAlign w:val="center"/>
          </w:tcPr>
          <w:p w14:paraId="2756CC9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varchar(50)</w:t>
            </w:r>
          </w:p>
        </w:tc>
        <w:tc>
          <w:tcPr>
            <w:tcW w:w="3005" w:type="dxa"/>
            <w:vAlign w:val="center"/>
          </w:tcPr>
          <w:p w14:paraId="6467483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Имя пациента</w:t>
            </w:r>
          </w:p>
        </w:tc>
        <w:tc>
          <w:tcPr>
            <w:tcW w:w="2721" w:type="dxa"/>
            <w:vAlign w:val="center"/>
          </w:tcPr>
          <w:p w14:paraId="7AAD344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Только кириллица; от 2 до 50 символов</w:t>
            </w:r>
          </w:p>
        </w:tc>
      </w:tr>
      <w:tr w14:paraId="600523A0">
        <w:tc>
          <w:tcPr>
            <w:tcW w:w="1814" w:type="dxa"/>
            <w:vAlign w:val="center"/>
          </w:tcPr>
          <w:p w14:paraId="120A6AA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middle_name</w:t>
            </w:r>
          </w:p>
        </w:tc>
        <w:tc>
          <w:tcPr>
            <w:tcW w:w="1587" w:type="dxa"/>
            <w:vAlign w:val="center"/>
          </w:tcPr>
          <w:p w14:paraId="34725FD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varchar(50)</w:t>
            </w:r>
          </w:p>
        </w:tc>
        <w:tc>
          <w:tcPr>
            <w:tcW w:w="3005" w:type="dxa"/>
            <w:vAlign w:val="center"/>
          </w:tcPr>
          <w:p w14:paraId="656F233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Отчество пациента</w:t>
            </w:r>
          </w:p>
        </w:tc>
        <w:tc>
          <w:tcPr>
            <w:tcW w:w="2721" w:type="dxa"/>
            <w:vAlign w:val="center"/>
          </w:tcPr>
          <w:p w14:paraId="33096BF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Только кириллица; может быть пустым</w:t>
            </w:r>
          </w:p>
        </w:tc>
      </w:tr>
      <w:tr w14:paraId="77AE5FD2">
        <w:tc>
          <w:tcPr>
            <w:tcW w:w="1814" w:type="dxa"/>
            <w:vAlign w:val="center"/>
          </w:tcPr>
          <w:p w14:paraId="61FA99B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last_name</w:t>
            </w:r>
          </w:p>
        </w:tc>
        <w:tc>
          <w:tcPr>
            <w:tcW w:w="1587" w:type="dxa"/>
            <w:vAlign w:val="center"/>
          </w:tcPr>
          <w:p w14:paraId="7453555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varchar(50)</w:t>
            </w:r>
          </w:p>
        </w:tc>
        <w:tc>
          <w:tcPr>
            <w:tcW w:w="3005" w:type="dxa"/>
            <w:vAlign w:val="center"/>
          </w:tcPr>
          <w:p w14:paraId="4BF01CC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Фамилия пациента</w:t>
            </w:r>
          </w:p>
        </w:tc>
        <w:tc>
          <w:tcPr>
            <w:tcW w:w="2721" w:type="dxa"/>
            <w:vAlign w:val="center"/>
          </w:tcPr>
          <w:p w14:paraId="4AB85DD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Только кириллица; от 2 до 50 символов</w:t>
            </w:r>
          </w:p>
        </w:tc>
      </w:tr>
      <w:tr w14:paraId="7B3C84AC">
        <w:tc>
          <w:tcPr>
            <w:tcW w:w="1814" w:type="dxa"/>
            <w:vAlign w:val="center"/>
          </w:tcPr>
          <w:p w14:paraId="1F4FEAC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phone_number</w:t>
            </w:r>
          </w:p>
        </w:tc>
        <w:tc>
          <w:tcPr>
            <w:tcW w:w="1587" w:type="dxa"/>
            <w:vAlign w:val="center"/>
          </w:tcPr>
          <w:p w14:paraId="7C883C5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varchar(12)</w:t>
            </w:r>
          </w:p>
        </w:tc>
        <w:tc>
          <w:tcPr>
            <w:tcW w:w="3005" w:type="dxa"/>
            <w:vAlign w:val="center"/>
          </w:tcPr>
          <w:p w14:paraId="2103568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Номер телефона в формате +7XXXXXXXXXX</w:t>
            </w:r>
          </w:p>
        </w:tc>
        <w:tc>
          <w:tcPr>
            <w:tcW w:w="2721" w:type="dxa"/>
            <w:vAlign w:val="center"/>
          </w:tcPr>
          <w:p w14:paraId="0D34DFB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Уникальное поле; служит логином</w:t>
            </w:r>
          </w:p>
        </w:tc>
      </w:tr>
      <w:tr w14:paraId="52B811EF">
        <w:tc>
          <w:tcPr>
            <w:tcW w:w="1814" w:type="dxa"/>
            <w:vAlign w:val="center"/>
          </w:tcPr>
          <w:p w14:paraId="13F716F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email</w:t>
            </w:r>
          </w:p>
        </w:tc>
        <w:tc>
          <w:tcPr>
            <w:tcW w:w="1587" w:type="dxa"/>
            <w:vAlign w:val="center"/>
          </w:tcPr>
          <w:p w14:paraId="2518CCF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varchar(50)</w:t>
            </w:r>
          </w:p>
        </w:tc>
        <w:tc>
          <w:tcPr>
            <w:tcW w:w="3005" w:type="dxa"/>
            <w:vAlign w:val="center"/>
          </w:tcPr>
          <w:p w14:paraId="61CF819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Электронная почта</w:t>
            </w:r>
          </w:p>
        </w:tc>
        <w:tc>
          <w:tcPr>
            <w:tcW w:w="2721" w:type="dxa"/>
            <w:vAlign w:val="center"/>
          </w:tcPr>
          <w:p w14:paraId="335DB10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Допустимо пустое значение; валидируется по RFC 5322</w:t>
            </w:r>
          </w:p>
        </w:tc>
      </w:tr>
      <w:tr w14:paraId="5F7DA5D3">
        <w:tc>
          <w:tcPr>
            <w:tcW w:w="1814" w:type="dxa"/>
            <w:vAlign w:val="center"/>
          </w:tcPr>
          <w:p w14:paraId="7F894C1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encrypted_password</w:t>
            </w:r>
          </w:p>
        </w:tc>
        <w:tc>
          <w:tcPr>
            <w:tcW w:w="1587" w:type="dxa"/>
            <w:vAlign w:val="center"/>
          </w:tcPr>
          <w:p w14:paraId="514E8C5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char(32)</w:t>
            </w:r>
          </w:p>
        </w:tc>
        <w:tc>
          <w:tcPr>
            <w:tcW w:w="3005" w:type="dxa"/>
            <w:vAlign w:val="center"/>
          </w:tcPr>
          <w:p w14:paraId="1FEED28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Хэш временного PIN-кода пользователя</w:t>
            </w:r>
          </w:p>
        </w:tc>
        <w:tc>
          <w:tcPr>
            <w:tcW w:w="2721" w:type="dxa"/>
            <w:vAlign w:val="center"/>
          </w:tcPr>
          <w:p w14:paraId="0D8A55A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Обновляется при каждом входе по SMS-OTP</w:t>
            </w:r>
          </w:p>
        </w:tc>
      </w:tr>
      <w:tr w14:paraId="03123EF7">
        <w:tc>
          <w:tcPr>
            <w:tcW w:w="1814" w:type="dxa"/>
            <w:vAlign w:val="center"/>
          </w:tcPr>
          <w:p w14:paraId="7C7A0CD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birthday</w:t>
            </w:r>
          </w:p>
        </w:tc>
        <w:tc>
          <w:tcPr>
            <w:tcW w:w="1587" w:type="dxa"/>
            <w:vAlign w:val="center"/>
          </w:tcPr>
          <w:p w14:paraId="310BE3B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date</w:t>
            </w:r>
          </w:p>
        </w:tc>
        <w:tc>
          <w:tcPr>
            <w:tcW w:w="3005" w:type="dxa"/>
            <w:vAlign w:val="center"/>
          </w:tcPr>
          <w:p w14:paraId="6A8CDE2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Дата рождения</w:t>
            </w:r>
          </w:p>
        </w:tc>
        <w:tc>
          <w:tcPr>
            <w:tcW w:w="2721" w:type="dxa"/>
            <w:vAlign w:val="center"/>
          </w:tcPr>
          <w:p w14:paraId="586A5B4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Не позднее текущей даты; используется для расчёта возраста</w:t>
            </w:r>
          </w:p>
        </w:tc>
      </w:tr>
      <w:tr w14:paraId="22D88191">
        <w:tc>
          <w:tcPr>
            <w:tcW w:w="1814" w:type="dxa"/>
            <w:vAlign w:val="center"/>
          </w:tcPr>
          <w:p w14:paraId="754187E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is_first_enter</w:t>
            </w:r>
          </w:p>
        </w:tc>
        <w:tc>
          <w:tcPr>
            <w:tcW w:w="1587" w:type="dxa"/>
            <w:vAlign w:val="center"/>
          </w:tcPr>
          <w:p w14:paraId="1655593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boolean</w:t>
            </w:r>
          </w:p>
        </w:tc>
        <w:tc>
          <w:tcPr>
            <w:tcW w:w="3005" w:type="dxa"/>
            <w:vAlign w:val="center"/>
          </w:tcPr>
          <w:p w14:paraId="771163D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Признак первого входа</w:t>
            </w:r>
          </w:p>
        </w:tc>
        <w:tc>
          <w:tcPr>
            <w:tcW w:w="2721" w:type="dxa"/>
            <w:vAlign w:val="center"/>
          </w:tcPr>
          <w:p w14:paraId="53F4CD9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По умолчанию TRUE; сбрасывается после онбординга</w:t>
            </w:r>
          </w:p>
        </w:tc>
      </w:tr>
    </w:tbl>
    <w:p w14:paraId="2BEE0602"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Таблица 3.14 – Описание таблицы clinics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2"/>
        <w:gridCol w:w="1662"/>
        <w:gridCol w:w="3005"/>
        <w:gridCol w:w="2721"/>
      </w:tblGrid>
      <w:tr w14:paraId="2FB2AE73">
        <w:tc>
          <w:tcPr>
            <w:tcW w:w="1814" w:type="dxa"/>
            <w:vAlign w:val="center"/>
          </w:tcPr>
          <w:p w14:paraId="436393A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Поле</w:t>
            </w:r>
          </w:p>
        </w:tc>
        <w:tc>
          <w:tcPr>
            <w:tcW w:w="1587" w:type="dxa"/>
            <w:vAlign w:val="center"/>
          </w:tcPr>
          <w:p w14:paraId="0B3581F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Тип данных в БД</w:t>
            </w:r>
          </w:p>
        </w:tc>
        <w:tc>
          <w:tcPr>
            <w:tcW w:w="3005" w:type="dxa"/>
            <w:vAlign w:val="center"/>
          </w:tcPr>
          <w:p w14:paraId="0017E6B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Описание</w:t>
            </w:r>
          </w:p>
        </w:tc>
        <w:tc>
          <w:tcPr>
            <w:tcW w:w="2721" w:type="dxa"/>
            <w:vAlign w:val="center"/>
          </w:tcPr>
          <w:p w14:paraId="0BD4046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Ограничения</w:t>
            </w:r>
          </w:p>
        </w:tc>
      </w:tr>
      <w:tr w14:paraId="0AF94AA0">
        <w:tc>
          <w:tcPr>
            <w:tcW w:w="1814" w:type="dxa"/>
            <w:vAlign w:val="center"/>
          </w:tcPr>
          <w:p w14:paraId="5B93FB5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id</w:t>
            </w:r>
          </w:p>
        </w:tc>
        <w:tc>
          <w:tcPr>
            <w:tcW w:w="1587" w:type="dxa"/>
            <w:vAlign w:val="center"/>
          </w:tcPr>
          <w:p w14:paraId="57849C1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uuid</w:t>
            </w:r>
          </w:p>
        </w:tc>
        <w:tc>
          <w:tcPr>
            <w:tcW w:w="3005" w:type="dxa"/>
            <w:vAlign w:val="center"/>
          </w:tcPr>
          <w:p w14:paraId="63BE654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Идентификатор клиники</w:t>
            </w:r>
          </w:p>
        </w:tc>
        <w:tc>
          <w:tcPr>
            <w:tcW w:w="2721" w:type="dxa"/>
            <w:vAlign w:val="center"/>
          </w:tcPr>
          <w:p w14:paraId="3A15337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Первичный ключ</w:t>
            </w:r>
          </w:p>
        </w:tc>
      </w:tr>
      <w:tr w14:paraId="6561B79E">
        <w:tc>
          <w:tcPr>
            <w:tcW w:w="1814" w:type="dxa"/>
            <w:vAlign w:val="center"/>
          </w:tcPr>
          <w:p w14:paraId="32D0040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name</w:t>
            </w:r>
          </w:p>
        </w:tc>
        <w:tc>
          <w:tcPr>
            <w:tcW w:w="1587" w:type="dxa"/>
            <w:vAlign w:val="center"/>
          </w:tcPr>
          <w:p w14:paraId="082823B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varchar(150)</w:t>
            </w:r>
          </w:p>
        </w:tc>
        <w:tc>
          <w:tcPr>
            <w:tcW w:w="3005" w:type="dxa"/>
            <w:vAlign w:val="center"/>
          </w:tcPr>
          <w:p w14:paraId="14BFB9C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Название клиники</w:t>
            </w:r>
          </w:p>
        </w:tc>
        <w:tc>
          <w:tcPr>
            <w:tcW w:w="2721" w:type="dxa"/>
            <w:vAlign w:val="center"/>
          </w:tcPr>
          <w:p w14:paraId="2D5C91C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Обязательное поле</w:t>
            </w:r>
          </w:p>
        </w:tc>
      </w:tr>
      <w:tr w14:paraId="498B33F9">
        <w:tc>
          <w:tcPr>
            <w:tcW w:w="1814" w:type="dxa"/>
            <w:vAlign w:val="center"/>
          </w:tcPr>
          <w:p w14:paraId="2A589CA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address</w:t>
            </w:r>
          </w:p>
        </w:tc>
        <w:tc>
          <w:tcPr>
            <w:tcW w:w="1587" w:type="dxa"/>
            <w:vAlign w:val="center"/>
          </w:tcPr>
          <w:p w14:paraId="568E9A9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varchar(250)</w:t>
            </w:r>
          </w:p>
        </w:tc>
        <w:tc>
          <w:tcPr>
            <w:tcW w:w="3005" w:type="dxa"/>
            <w:vAlign w:val="center"/>
          </w:tcPr>
          <w:p w14:paraId="183D36C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Адрес клиники</w:t>
            </w:r>
          </w:p>
        </w:tc>
        <w:tc>
          <w:tcPr>
            <w:tcW w:w="2721" w:type="dxa"/>
            <w:vAlign w:val="center"/>
          </w:tcPr>
          <w:p w14:paraId="12FFCD4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Обязательное поле</w:t>
            </w:r>
          </w:p>
        </w:tc>
      </w:tr>
      <w:tr w14:paraId="34AFF726">
        <w:tc>
          <w:tcPr>
            <w:tcW w:w="1814" w:type="dxa"/>
            <w:vAlign w:val="center"/>
          </w:tcPr>
          <w:p w14:paraId="3B397C7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latitude</w:t>
            </w:r>
          </w:p>
        </w:tc>
        <w:tc>
          <w:tcPr>
            <w:tcW w:w="1587" w:type="dxa"/>
            <w:vAlign w:val="center"/>
          </w:tcPr>
          <w:p w14:paraId="452AE52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decimal(9,6)</w:t>
            </w:r>
          </w:p>
        </w:tc>
        <w:tc>
          <w:tcPr>
            <w:tcW w:w="3005" w:type="dxa"/>
            <w:vAlign w:val="center"/>
          </w:tcPr>
          <w:p w14:paraId="7E696FC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Широта расположения клиники</w:t>
            </w:r>
          </w:p>
        </w:tc>
        <w:tc>
          <w:tcPr>
            <w:tcW w:w="2721" w:type="dxa"/>
            <w:vAlign w:val="center"/>
          </w:tcPr>
          <w:p w14:paraId="678DBDB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Диапазон от −90 до 90</w:t>
            </w:r>
          </w:p>
        </w:tc>
      </w:tr>
      <w:tr w14:paraId="3B181505">
        <w:tc>
          <w:tcPr>
            <w:tcW w:w="1814" w:type="dxa"/>
            <w:vAlign w:val="center"/>
          </w:tcPr>
          <w:p w14:paraId="1CE3AEC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longitude</w:t>
            </w:r>
          </w:p>
        </w:tc>
        <w:tc>
          <w:tcPr>
            <w:tcW w:w="1587" w:type="dxa"/>
            <w:vAlign w:val="center"/>
          </w:tcPr>
          <w:p w14:paraId="63A38DA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decimal(9,6)</w:t>
            </w:r>
          </w:p>
        </w:tc>
        <w:tc>
          <w:tcPr>
            <w:tcW w:w="3005" w:type="dxa"/>
            <w:vAlign w:val="center"/>
          </w:tcPr>
          <w:p w14:paraId="70412D4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Долгота расположения клиники</w:t>
            </w:r>
          </w:p>
        </w:tc>
        <w:tc>
          <w:tcPr>
            <w:tcW w:w="2721" w:type="dxa"/>
            <w:vAlign w:val="center"/>
          </w:tcPr>
          <w:p w14:paraId="3AF0ECF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Диапазон от −180 до 180</w:t>
            </w:r>
          </w:p>
        </w:tc>
      </w:tr>
      <w:tr w14:paraId="527AAA77">
        <w:tc>
          <w:tcPr>
            <w:tcW w:w="1814" w:type="dxa"/>
            <w:vAlign w:val="center"/>
          </w:tcPr>
          <w:p w14:paraId="52A111A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phone</w:t>
            </w:r>
          </w:p>
        </w:tc>
        <w:tc>
          <w:tcPr>
            <w:tcW w:w="1587" w:type="dxa"/>
            <w:vAlign w:val="center"/>
          </w:tcPr>
          <w:p w14:paraId="444ED78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varchar(100)</w:t>
            </w:r>
          </w:p>
        </w:tc>
        <w:tc>
          <w:tcPr>
            <w:tcW w:w="3005" w:type="dxa"/>
            <w:vAlign w:val="center"/>
          </w:tcPr>
          <w:p w14:paraId="29C9C8D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Телефон регистратуры</w:t>
            </w:r>
          </w:p>
        </w:tc>
        <w:tc>
          <w:tcPr>
            <w:tcW w:w="2721" w:type="dxa"/>
            <w:vAlign w:val="center"/>
          </w:tcPr>
          <w:p w14:paraId="01204DE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Формат E.164</w:t>
            </w:r>
          </w:p>
        </w:tc>
      </w:tr>
      <w:tr w14:paraId="4378B548">
        <w:tc>
          <w:tcPr>
            <w:tcW w:w="1814" w:type="dxa"/>
            <w:vAlign w:val="center"/>
          </w:tcPr>
          <w:p w14:paraId="33A0CB4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working_hours</w:t>
            </w:r>
          </w:p>
        </w:tc>
        <w:tc>
          <w:tcPr>
            <w:tcW w:w="1587" w:type="dxa"/>
            <w:vAlign w:val="center"/>
          </w:tcPr>
          <w:p w14:paraId="2A1219B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varchar(250)</w:t>
            </w:r>
          </w:p>
        </w:tc>
        <w:tc>
          <w:tcPr>
            <w:tcW w:w="3005" w:type="dxa"/>
            <w:vAlign w:val="center"/>
          </w:tcPr>
          <w:p w14:paraId="41F3895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Расписание работы клиники</w:t>
            </w:r>
          </w:p>
        </w:tc>
        <w:tc>
          <w:tcPr>
            <w:tcW w:w="2721" w:type="dxa"/>
            <w:vAlign w:val="center"/>
          </w:tcPr>
          <w:p w14:paraId="0FF6293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Текстовое поле формата «Пн-Пт 09:00–21:00»</w:t>
            </w:r>
          </w:p>
        </w:tc>
      </w:tr>
    </w:tbl>
    <w:p w14:paraId="7F049932"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Таблица 3.15 – Описание таблицы doctors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1662"/>
        <w:gridCol w:w="3005"/>
        <w:gridCol w:w="2721"/>
      </w:tblGrid>
      <w:tr w14:paraId="5C1F9DEE">
        <w:tc>
          <w:tcPr>
            <w:tcW w:w="1814" w:type="dxa"/>
            <w:vAlign w:val="center"/>
          </w:tcPr>
          <w:p w14:paraId="5088D8A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Поле</w:t>
            </w:r>
          </w:p>
        </w:tc>
        <w:tc>
          <w:tcPr>
            <w:tcW w:w="1587" w:type="dxa"/>
            <w:vAlign w:val="center"/>
          </w:tcPr>
          <w:p w14:paraId="06AC93E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Тип данных в БД</w:t>
            </w:r>
          </w:p>
        </w:tc>
        <w:tc>
          <w:tcPr>
            <w:tcW w:w="3005" w:type="dxa"/>
            <w:vAlign w:val="center"/>
          </w:tcPr>
          <w:p w14:paraId="74EEB99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Описание</w:t>
            </w:r>
          </w:p>
        </w:tc>
        <w:tc>
          <w:tcPr>
            <w:tcW w:w="2721" w:type="dxa"/>
            <w:vAlign w:val="center"/>
          </w:tcPr>
          <w:p w14:paraId="1514C1C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Ограничения</w:t>
            </w:r>
          </w:p>
        </w:tc>
      </w:tr>
      <w:tr w14:paraId="1971476B">
        <w:tc>
          <w:tcPr>
            <w:tcW w:w="1814" w:type="dxa"/>
            <w:vAlign w:val="center"/>
          </w:tcPr>
          <w:p w14:paraId="6FA438B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id</w:t>
            </w:r>
          </w:p>
        </w:tc>
        <w:tc>
          <w:tcPr>
            <w:tcW w:w="1587" w:type="dxa"/>
            <w:vAlign w:val="center"/>
          </w:tcPr>
          <w:p w14:paraId="018A714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uuid</w:t>
            </w:r>
          </w:p>
        </w:tc>
        <w:tc>
          <w:tcPr>
            <w:tcW w:w="3005" w:type="dxa"/>
            <w:vAlign w:val="center"/>
          </w:tcPr>
          <w:p w14:paraId="3596C3A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Идентификатор врача</w:t>
            </w:r>
          </w:p>
        </w:tc>
        <w:tc>
          <w:tcPr>
            <w:tcW w:w="2721" w:type="dxa"/>
            <w:vAlign w:val="center"/>
          </w:tcPr>
          <w:p w14:paraId="542D69B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Первичный ключ</w:t>
            </w:r>
          </w:p>
        </w:tc>
      </w:tr>
      <w:tr w14:paraId="6EE9127F">
        <w:tc>
          <w:tcPr>
            <w:tcW w:w="1814" w:type="dxa"/>
            <w:vAlign w:val="center"/>
          </w:tcPr>
          <w:p w14:paraId="1EF2553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clinic_id</w:t>
            </w:r>
          </w:p>
        </w:tc>
        <w:tc>
          <w:tcPr>
            <w:tcW w:w="1587" w:type="dxa"/>
            <w:vAlign w:val="center"/>
          </w:tcPr>
          <w:p w14:paraId="72B8FF2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uuid</w:t>
            </w:r>
          </w:p>
        </w:tc>
        <w:tc>
          <w:tcPr>
            <w:tcW w:w="3005" w:type="dxa"/>
            <w:vAlign w:val="center"/>
          </w:tcPr>
          <w:p w14:paraId="62989E6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Ссылка на клинику</w:t>
            </w:r>
          </w:p>
        </w:tc>
        <w:tc>
          <w:tcPr>
            <w:tcW w:w="2721" w:type="dxa"/>
            <w:vAlign w:val="center"/>
          </w:tcPr>
          <w:p w14:paraId="4FE32FD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Внешний ключ к clinics.id</w:t>
            </w:r>
          </w:p>
        </w:tc>
      </w:tr>
      <w:tr w14:paraId="00FE1313">
        <w:tc>
          <w:tcPr>
            <w:tcW w:w="1814" w:type="dxa"/>
            <w:vAlign w:val="center"/>
          </w:tcPr>
          <w:p w14:paraId="270EEBB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first_name</w:t>
            </w:r>
          </w:p>
        </w:tc>
        <w:tc>
          <w:tcPr>
            <w:tcW w:w="1587" w:type="dxa"/>
            <w:vAlign w:val="center"/>
          </w:tcPr>
          <w:p w14:paraId="414FECB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varchar(50)</w:t>
            </w:r>
          </w:p>
        </w:tc>
        <w:tc>
          <w:tcPr>
            <w:tcW w:w="3005" w:type="dxa"/>
            <w:vAlign w:val="center"/>
          </w:tcPr>
          <w:p w14:paraId="5CDE09F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Имя врача</w:t>
            </w:r>
          </w:p>
        </w:tc>
        <w:tc>
          <w:tcPr>
            <w:tcW w:w="2721" w:type="dxa"/>
            <w:vAlign w:val="center"/>
          </w:tcPr>
          <w:p w14:paraId="0741392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Только кириллица</w:t>
            </w:r>
          </w:p>
        </w:tc>
      </w:tr>
      <w:tr w14:paraId="5EBB7F09">
        <w:tc>
          <w:tcPr>
            <w:tcW w:w="1814" w:type="dxa"/>
            <w:vAlign w:val="center"/>
          </w:tcPr>
          <w:p w14:paraId="40540D1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last_name</w:t>
            </w:r>
          </w:p>
        </w:tc>
        <w:tc>
          <w:tcPr>
            <w:tcW w:w="1587" w:type="dxa"/>
            <w:vAlign w:val="center"/>
          </w:tcPr>
          <w:p w14:paraId="572ED0C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varchar(50)</w:t>
            </w:r>
          </w:p>
        </w:tc>
        <w:tc>
          <w:tcPr>
            <w:tcW w:w="3005" w:type="dxa"/>
            <w:vAlign w:val="center"/>
          </w:tcPr>
          <w:p w14:paraId="60D6C58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Фамилия врача</w:t>
            </w:r>
          </w:p>
        </w:tc>
        <w:tc>
          <w:tcPr>
            <w:tcW w:w="2721" w:type="dxa"/>
            <w:vAlign w:val="center"/>
          </w:tcPr>
          <w:p w14:paraId="45ACF9D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Только кириллица</w:t>
            </w:r>
          </w:p>
        </w:tc>
      </w:tr>
      <w:tr w14:paraId="3729BA3B">
        <w:tc>
          <w:tcPr>
            <w:tcW w:w="1814" w:type="dxa"/>
            <w:vAlign w:val="center"/>
          </w:tcPr>
          <w:p w14:paraId="5C9F48A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specialization</w:t>
            </w:r>
          </w:p>
        </w:tc>
        <w:tc>
          <w:tcPr>
            <w:tcW w:w="1587" w:type="dxa"/>
            <w:vAlign w:val="center"/>
          </w:tcPr>
          <w:p w14:paraId="5754C5F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varchar(100)</w:t>
            </w:r>
          </w:p>
        </w:tc>
        <w:tc>
          <w:tcPr>
            <w:tcW w:w="3005" w:type="dxa"/>
            <w:vAlign w:val="center"/>
          </w:tcPr>
          <w:p w14:paraId="0B49AEB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Специализация врача</w:t>
            </w:r>
          </w:p>
        </w:tc>
        <w:tc>
          <w:tcPr>
            <w:tcW w:w="2721" w:type="dxa"/>
            <w:vAlign w:val="center"/>
          </w:tcPr>
          <w:p w14:paraId="0B11AB5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Значение из справочника специализаций</w:t>
            </w:r>
          </w:p>
        </w:tc>
      </w:tr>
      <w:tr w14:paraId="43A0597F">
        <w:tc>
          <w:tcPr>
            <w:tcW w:w="1814" w:type="dxa"/>
            <w:vAlign w:val="center"/>
          </w:tcPr>
          <w:p w14:paraId="365EE00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experience_years</w:t>
            </w:r>
          </w:p>
        </w:tc>
        <w:tc>
          <w:tcPr>
            <w:tcW w:w="1587" w:type="dxa"/>
            <w:vAlign w:val="center"/>
          </w:tcPr>
          <w:p w14:paraId="3054FE2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integer</w:t>
            </w:r>
          </w:p>
        </w:tc>
        <w:tc>
          <w:tcPr>
            <w:tcW w:w="3005" w:type="dxa"/>
            <w:vAlign w:val="center"/>
          </w:tcPr>
          <w:p w14:paraId="740CE60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Стаж работы, лет</w:t>
            </w:r>
          </w:p>
        </w:tc>
        <w:tc>
          <w:tcPr>
            <w:tcW w:w="2721" w:type="dxa"/>
            <w:vAlign w:val="center"/>
          </w:tcPr>
          <w:p w14:paraId="64D1B5B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Не меньше 0 и не больше 70</w:t>
            </w:r>
          </w:p>
        </w:tc>
      </w:tr>
      <w:tr w14:paraId="77A450E4">
        <w:tc>
          <w:tcPr>
            <w:tcW w:w="1814" w:type="dxa"/>
            <w:vAlign w:val="center"/>
          </w:tcPr>
          <w:p w14:paraId="3511D92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rating</w:t>
            </w:r>
          </w:p>
        </w:tc>
        <w:tc>
          <w:tcPr>
            <w:tcW w:w="1587" w:type="dxa"/>
            <w:vAlign w:val="center"/>
          </w:tcPr>
          <w:p w14:paraId="4B5F632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decimal(3,2)</w:t>
            </w:r>
          </w:p>
        </w:tc>
        <w:tc>
          <w:tcPr>
            <w:tcW w:w="3005" w:type="dxa"/>
            <w:vAlign w:val="center"/>
          </w:tcPr>
          <w:p w14:paraId="25CC4F2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Средний рейтинг по отзывам</w:t>
            </w:r>
          </w:p>
        </w:tc>
        <w:tc>
          <w:tcPr>
            <w:tcW w:w="2721" w:type="dxa"/>
            <w:vAlign w:val="center"/>
          </w:tcPr>
          <w:p w14:paraId="6A9F0E3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Диапазон от 0.00 до 5.00</w:t>
            </w:r>
          </w:p>
        </w:tc>
      </w:tr>
      <w:tr w14:paraId="181F3AB7">
        <w:tc>
          <w:tcPr>
            <w:tcW w:w="1814" w:type="dxa"/>
            <w:vAlign w:val="center"/>
          </w:tcPr>
          <w:p w14:paraId="6D31FD1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photo_url</w:t>
            </w:r>
          </w:p>
        </w:tc>
        <w:tc>
          <w:tcPr>
            <w:tcW w:w="1587" w:type="dxa"/>
            <w:vAlign w:val="center"/>
          </w:tcPr>
          <w:p w14:paraId="7A14177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varchar(250)</w:t>
            </w:r>
          </w:p>
        </w:tc>
        <w:tc>
          <w:tcPr>
            <w:tcW w:w="3005" w:type="dxa"/>
            <w:vAlign w:val="center"/>
          </w:tcPr>
          <w:p w14:paraId="6EF4E6A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Ссылка на фото врача в S3</w:t>
            </w:r>
          </w:p>
        </w:tc>
        <w:tc>
          <w:tcPr>
            <w:tcW w:w="2721" w:type="dxa"/>
            <w:vAlign w:val="center"/>
          </w:tcPr>
          <w:p w14:paraId="642C672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Обязательное поле; проверяется HEAD-запросом</w:t>
            </w:r>
          </w:p>
        </w:tc>
      </w:tr>
    </w:tbl>
    <w:p w14:paraId="2A27BA3D"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Таблица 3.16 – Описание таблицы services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1779"/>
        <w:gridCol w:w="3005"/>
        <w:gridCol w:w="2721"/>
      </w:tblGrid>
      <w:tr w14:paraId="7FF921E3">
        <w:tc>
          <w:tcPr>
            <w:tcW w:w="1814" w:type="dxa"/>
            <w:vAlign w:val="center"/>
          </w:tcPr>
          <w:p w14:paraId="2EE7D3F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Поле</w:t>
            </w:r>
          </w:p>
        </w:tc>
        <w:tc>
          <w:tcPr>
            <w:tcW w:w="1587" w:type="dxa"/>
            <w:vAlign w:val="center"/>
          </w:tcPr>
          <w:p w14:paraId="5CA9BBD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Тип данных в БД</w:t>
            </w:r>
          </w:p>
        </w:tc>
        <w:tc>
          <w:tcPr>
            <w:tcW w:w="3005" w:type="dxa"/>
            <w:vAlign w:val="center"/>
          </w:tcPr>
          <w:p w14:paraId="4ED61B7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Описание</w:t>
            </w:r>
          </w:p>
        </w:tc>
        <w:tc>
          <w:tcPr>
            <w:tcW w:w="2721" w:type="dxa"/>
            <w:vAlign w:val="center"/>
          </w:tcPr>
          <w:p w14:paraId="400F836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Ограничения</w:t>
            </w:r>
          </w:p>
        </w:tc>
      </w:tr>
      <w:tr w14:paraId="72F4AF03">
        <w:tc>
          <w:tcPr>
            <w:tcW w:w="1814" w:type="dxa"/>
            <w:vAlign w:val="center"/>
          </w:tcPr>
          <w:p w14:paraId="3056A35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id</w:t>
            </w:r>
          </w:p>
        </w:tc>
        <w:tc>
          <w:tcPr>
            <w:tcW w:w="1587" w:type="dxa"/>
            <w:vAlign w:val="center"/>
          </w:tcPr>
          <w:p w14:paraId="7B91939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uuid</w:t>
            </w:r>
          </w:p>
        </w:tc>
        <w:tc>
          <w:tcPr>
            <w:tcW w:w="3005" w:type="dxa"/>
            <w:vAlign w:val="center"/>
          </w:tcPr>
          <w:p w14:paraId="20B4CFE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Идентификатор услуги</w:t>
            </w:r>
          </w:p>
        </w:tc>
        <w:tc>
          <w:tcPr>
            <w:tcW w:w="2721" w:type="dxa"/>
            <w:vAlign w:val="center"/>
          </w:tcPr>
          <w:p w14:paraId="33F9BDA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Первичный ключ</w:t>
            </w:r>
          </w:p>
        </w:tc>
      </w:tr>
      <w:tr w14:paraId="41A53F4A">
        <w:tc>
          <w:tcPr>
            <w:tcW w:w="1814" w:type="dxa"/>
            <w:vAlign w:val="center"/>
          </w:tcPr>
          <w:p w14:paraId="14804E5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name</w:t>
            </w:r>
          </w:p>
        </w:tc>
        <w:tc>
          <w:tcPr>
            <w:tcW w:w="1587" w:type="dxa"/>
            <w:vAlign w:val="center"/>
          </w:tcPr>
          <w:p w14:paraId="1FDC9A7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varchar(100)</w:t>
            </w:r>
          </w:p>
        </w:tc>
        <w:tc>
          <w:tcPr>
            <w:tcW w:w="3005" w:type="dxa"/>
            <w:vAlign w:val="center"/>
          </w:tcPr>
          <w:p w14:paraId="0285026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Наименование услуги</w:t>
            </w:r>
          </w:p>
        </w:tc>
        <w:tc>
          <w:tcPr>
            <w:tcW w:w="2721" w:type="dxa"/>
            <w:vAlign w:val="center"/>
          </w:tcPr>
          <w:p w14:paraId="4DD743A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Обязательное поле</w:t>
            </w:r>
          </w:p>
        </w:tc>
      </w:tr>
      <w:tr w14:paraId="71E5ADE7">
        <w:tc>
          <w:tcPr>
            <w:tcW w:w="1814" w:type="dxa"/>
            <w:vAlign w:val="center"/>
          </w:tcPr>
          <w:p w14:paraId="4009456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category</w:t>
            </w:r>
          </w:p>
        </w:tc>
        <w:tc>
          <w:tcPr>
            <w:tcW w:w="1587" w:type="dxa"/>
            <w:vAlign w:val="center"/>
          </w:tcPr>
          <w:p w14:paraId="2C32577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varchar(50)</w:t>
            </w:r>
          </w:p>
        </w:tc>
        <w:tc>
          <w:tcPr>
            <w:tcW w:w="3005" w:type="dxa"/>
            <w:vAlign w:val="center"/>
          </w:tcPr>
          <w:p w14:paraId="0C57453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Категория услуги</w:t>
            </w:r>
          </w:p>
        </w:tc>
        <w:tc>
          <w:tcPr>
            <w:tcW w:w="2721" w:type="dxa"/>
            <w:vAlign w:val="center"/>
          </w:tcPr>
          <w:p w14:paraId="1A0647B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Значение из справочника категорий</w:t>
            </w:r>
          </w:p>
        </w:tc>
      </w:tr>
      <w:tr w14:paraId="02CEA3BB">
        <w:tc>
          <w:tcPr>
            <w:tcW w:w="1814" w:type="dxa"/>
            <w:vAlign w:val="center"/>
          </w:tcPr>
          <w:p w14:paraId="0527B2D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price</w:t>
            </w:r>
          </w:p>
        </w:tc>
        <w:tc>
          <w:tcPr>
            <w:tcW w:w="1587" w:type="dxa"/>
            <w:vAlign w:val="center"/>
          </w:tcPr>
          <w:p w14:paraId="662F742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decimal(10,2)</w:t>
            </w:r>
          </w:p>
        </w:tc>
        <w:tc>
          <w:tcPr>
            <w:tcW w:w="3005" w:type="dxa"/>
            <w:vAlign w:val="center"/>
          </w:tcPr>
          <w:p w14:paraId="35C8CBB5">
            <w:pPr>
              <w:spacing w:before="0" w:after="0" w:line="240" w:lineRule="auto"/>
              <w:ind w:firstLine="0"/>
              <w:jc w:val="left"/>
              <w:rPr>
                <w:rFonts w:hint="default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 xml:space="preserve">Цена услуги, </w:t>
            </w:r>
            <w:r>
              <w:rPr>
                <w:rFonts w:cs="Times New Roman"/>
                <w:b w:val="0"/>
                <w:color w:val="000000"/>
                <w:sz w:val="28"/>
                <w:lang w:val="ru-RU"/>
              </w:rPr>
              <w:t>руб.</w:t>
            </w:r>
          </w:p>
        </w:tc>
        <w:tc>
          <w:tcPr>
            <w:tcW w:w="2721" w:type="dxa"/>
            <w:vAlign w:val="center"/>
          </w:tcPr>
          <w:p w14:paraId="5697AEE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Больше 0; хранится без скидок</w:t>
            </w:r>
          </w:p>
        </w:tc>
      </w:tr>
      <w:tr w14:paraId="7730E1D3">
        <w:tc>
          <w:tcPr>
            <w:tcW w:w="1814" w:type="dxa"/>
            <w:vAlign w:val="center"/>
          </w:tcPr>
          <w:p w14:paraId="376BA53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duration_min</w:t>
            </w:r>
          </w:p>
        </w:tc>
        <w:tc>
          <w:tcPr>
            <w:tcW w:w="1587" w:type="dxa"/>
            <w:vAlign w:val="center"/>
          </w:tcPr>
          <w:p w14:paraId="0FD41E7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integer</w:t>
            </w:r>
          </w:p>
        </w:tc>
        <w:tc>
          <w:tcPr>
            <w:tcW w:w="3005" w:type="dxa"/>
            <w:vAlign w:val="center"/>
          </w:tcPr>
          <w:p w14:paraId="52586D6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Длительность услуги, мин.</w:t>
            </w:r>
          </w:p>
        </w:tc>
        <w:tc>
          <w:tcPr>
            <w:tcW w:w="2721" w:type="dxa"/>
            <w:vAlign w:val="center"/>
          </w:tcPr>
          <w:p w14:paraId="32F8ACD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Кратно 15 минутам</w:t>
            </w:r>
          </w:p>
        </w:tc>
      </w:tr>
      <w:tr w14:paraId="311798C8">
        <w:tc>
          <w:tcPr>
            <w:tcW w:w="1814" w:type="dxa"/>
            <w:vAlign w:val="center"/>
          </w:tcPr>
          <w:p w14:paraId="60258A3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description</w:t>
            </w:r>
          </w:p>
        </w:tc>
        <w:tc>
          <w:tcPr>
            <w:tcW w:w="1587" w:type="dxa"/>
            <w:vAlign w:val="center"/>
          </w:tcPr>
          <w:p w14:paraId="5E81C17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varchar(500)</w:t>
            </w:r>
          </w:p>
        </w:tc>
        <w:tc>
          <w:tcPr>
            <w:tcW w:w="3005" w:type="dxa"/>
            <w:vAlign w:val="center"/>
          </w:tcPr>
          <w:p w14:paraId="2DCFD93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Описание услуги для пациента</w:t>
            </w:r>
          </w:p>
        </w:tc>
        <w:tc>
          <w:tcPr>
            <w:tcW w:w="2721" w:type="dxa"/>
            <w:vAlign w:val="center"/>
          </w:tcPr>
          <w:p w14:paraId="791AAA1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До 500 символов</w:t>
            </w:r>
          </w:p>
        </w:tc>
      </w:tr>
    </w:tbl>
    <w:p w14:paraId="17E7EEA0"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Таблица 3.17 – Описание таблицы appointments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1587"/>
        <w:gridCol w:w="3005"/>
        <w:gridCol w:w="2721"/>
      </w:tblGrid>
      <w:tr w14:paraId="469EEC67">
        <w:tc>
          <w:tcPr>
            <w:tcW w:w="1814" w:type="dxa"/>
            <w:vAlign w:val="center"/>
          </w:tcPr>
          <w:p w14:paraId="0F06CAB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Поле</w:t>
            </w:r>
          </w:p>
        </w:tc>
        <w:tc>
          <w:tcPr>
            <w:tcW w:w="1587" w:type="dxa"/>
            <w:vAlign w:val="center"/>
          </w:tcPr>
          <w:p w14:paraId="234365E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Тип данных в БД</w:t>
            </w:r>
          </w:p>
        </w:tc>
        <w:tc>
          <w:tcPr>
            <w:tcW w:w="3005" w:type="dxa"/>
            <w:vAlign w:val="center"/>
          </w:tcPr>
          <w:p w14:paraId="06B273C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Описание</w:t>
            </w:r>
          </w:p>
        </w:tc>
        <w:tc>
          <w:tcPr>
            <w:tcW w:w="2721" w:type="dxa"/>
            <w:vAlign w:val="center"/>
          </w:tcPr>
          <w:p w14:paraId="65CF479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Ограничения</w:t>
            </w:r>
          </w:p>
        </w:tc>
      </w:tr>
      <w:tr w14:paraId="65508C85">
        <w:tc>
          <w:tcPr>
            <w:tcW w:w="1814" w:type="dxa"/>
            <w:vAlign w:val="center"/>
          </w:tcPr>
          <w:p w14:paraId="2AE25E6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id</w:t>
            </w:r>
          </w:p>
        </w:tc>
        <w:tc>
          <w:tcPr>
            <w:tcW w:w="1587" w:type="dxa"/>
            <w:vAlign w:val="center"/>
          </w:tcPr>
          <w:p w14:paraId="2D60C5F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uuid</w:t>
            </w:r>
          </w:p>
        </w:tc>
        <w:tc>
          <w:tcPr>
            <w:tcW w:w="3005" w:type="dxa"/>
            <w:vAlign w:val="center"/>
          </w:tcPr>
          <w:p w14:paraId="6D1A58E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Идентификатор записи</w:t>
            </w:r>
          </w:p>
        </w:tc>
        <w:tc>
          <w:tcPr>
            <w:tcW w:w="2721" w:type="dxa"/>
            <w:vAlign w:val="center"/>
          </w:tcPr>
          <w:p w14:paraId="7EB96A9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Первичный ключ</w:t>
            </w:r>
          </w:p>
        </w:tc>
      </w:tr>
      <w:tr w14:paraId="4E50288C">
        <w:tc>
          <w:tcPr>
            <w:tcW w:w="1814" w:type="dxa"/>
            <w:vAlign w:val="center"/>
          </w:tcPr>
          <w:p w14:paraId="051C794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user_id</w:t>
            </w:r>
          </w:p>
        </w:tc>
        <w:tc>
          <w:tcPr>
            <w:tcW w:w="1587" w:type="dxa"/>
            <w:vAlign w:val="center"/>
          </w:tcPr>
          <w:p w14:paraId="1773AFC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uuid</w:t>
            </w:r>
          </w:p>
        </w:tc>
        <w:tc>
          <w:tcPr>
            <w:tcW w:w="3005" w:type="dxa"/>
            <w:vAlign w:val="center"/>
          </w:tcPr>
          <w:p w14:paraId="27A096E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Пациент</w:t>
            </w:r>
          </w:p>
        </w:tc>
        <w:tc>
          <w:tcPr>
            <w:tcW w:w="2721" w:type="dxa"/>
            <w:vAlign w:val="center"/>
          </w:tcPr>
          <w:p w14:paraId="3DA1C33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Внешний ключ к users.id</w:t>
            </w:r>
          </w:p>
        </w:tc>
      </w:tr>
      <w:tr w14:paraId="46DF38C4">
        <w:tc>
          <w:tcPr>
            <w:tcW w:w="1814" w:type="dxa"/>
            <w:vAlign w:val="center"/>
          </w:tcPr>
          <w:p w14:paraId="5A3CD3B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doctor_id</w:t>
            </w:r>
          </w:p>
        </w:tc>
        <w:tc>
          <w:tcPr>
            <w:tcW w:w="1587" w:type="dxa"/>
            <w:vAlign w:val="center"/>
          </w:tcPr>
          <w:p w14:paraId="41BB69B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uuid</w:t>
            </w:r>
          </w:p>
        </w:tc>
        <w:tc>
          <w:tcPr>
            <w:tcW w:w="3005" w:type="dxa"/>
            <w:vAlign w:val="center"/>
          </w:tcPr>
          <w:p w14:paraId="3F96A72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Врач</w:t>
            </w:r>
          </w:p>
        </w:tc>
        <w:tc>
          <w:tcPr>
            <w:tcW w:w="2721" w:type="dxa"/>
            <w:vAlign w:val="center"/>
          </w:tcPr>
          <w:p w14:paraId="586232A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Внешний ключ к doctors.id</w:t>
            </w:r>
          </w:p>
        </w:tc>
      </w:tr>
      <w:tr w14:paraId="4C54B53F">
        <w:tc>
          <w:tcPr>
            <w:tcW w:w="1814" w:type="dxa"/>
            <w:vAlign w:val="center"/>
          </w:tcPr>
          <w:p w14:paraId="090CD98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clinic_id</w:t>
            </w:r>
          </w:p>
        </w:tc>
        <w:tc>
          <w:tcPr>
            <w:tcW w:w="1587" w:type="dxa"/>
            <w:vAlign w:val="center"/>
          </w:tcPr>
          <w:p w14:paraId="0143B9A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uuid</w:t>
            </w:r>
          </w:p>
        </w:tc>
        <w:tc>
          <w:tcPr>
            <w:tcW w:w="3005" w:type="dxa"/>
            <w:vAlign w:val="center"/>
          </w:tcPr>
          <w:p w14:paraId="24F5206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Клиника</w:t>
            </w:r>
          </w:p>
        </w:tc>
        <w:tc>
          <w:tcPr>
            <w:tcW w:w="2721" w:type="dxa"/>
            <w:vAlign w:val="center"/>
          </w:tcPr>
          <w:p w14:paraId="3BD2EDA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Внешний ключ к clinics.id</w:t>
            </w:r>
          </w:p>
        </w:tc>
      </w:tr>
      <w:tr w14:paraId="35EF8CC4">
        <w:tc>
          <w:tcPr>
            <w:tcW w:w="1814" w:type="dxa"/>
            <w:vAlign w:val="center"/>
          </w:tcPr>
          <w:p w14:paraId="13F3644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service_id</w:t>
            </w:r>
          </w:p>
        </w:tc>
        <w:tc>
          <w:tcPr>
            <w:tcW w:w="1587" w:type="dxa"/>
            <w:vAlign w:val="center"/>
          </w:tcPr>
          <w:p w14:paraId="4567CA8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uuid</w:t>
            </w:r>
          </w:p>
        </w:tc>
        <w:tc>
          <w:tcPr>
            <w:tcW w:w="3005" w:type="dxa"/>
            <w:vAlign w:val="center"/>
          </w:tcPr>
          <w:p w14:paraId="21B5F3A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Услуга</w:t>
            </w:r>
          </w:p>
        </w:tc>
        <w:tc>
          <w:tcPr>
            <w:tcW w:w="2721" w:type="dxa"/>
            <w:vAlign w:val="center"/>
          </w:tcPr>
          <w:p w14:paraId="2F597FE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Внешний ключ к services.id</w:t>
            </w:r>
          </w:p>
        </w:tc>
      </w:tr>
      <w:tr w14:paraId="0B0077C1">
        <w:tc>
          <w:tcPr>
            <w:tcW w:w="1814" w:type="dxa"/>
            <w:vAlign w:val="center"/>
          </w:tcPr>
          <w:p w14:paraId="3FE91AC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start_at</w:t>
            </w:r>
          </w:p>
        </w:tc>
        <w:tc>
          <w:tcPr>
            <w:tcW w:w="1587" w:type="dxa"/>
            <w:vAlign w:val="center"/>
          </w:tcPr>
          <w:p w14:paraId="359269B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timestamptz</w:t>
            </w:r>
          </w:p>
        </w:tc>
        <w:tc>
          <w:tcPr>
            <w:tcW w:w="3005" w:type="dxa"/>
            <w:vAlign w:val="center"/>
          </w:tcPr>
          <w:p w14:paraId="7AA12F8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Дата и время начала приёма</w:t>
            </w:r>
          </w:p>
        </w:tc>
        <w:tc>
          <w:tcPr>
            <w:tcW w:w="2721" w:type="dxa"/>
            <w:vAlign w:val="center"/>
          </w:tcPr>
          <w:p w14:paraId="725C3B8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Не в прошлом; шаг 15 минут</w:t>
            </w:r>
          </w:p>
        </w:tc>
      </w:tr>
      <w:tr w14:paraId="0F7E54A4">
        <w:tc>
          <w:tcPr>
            <w:tcW w:w="1814" w:type="dxa"/>
            <w:vAlign w:val="center"/>
          </w:tcPr>
          <w:p w14:paraId="1E43C23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status</w:t>
            </w:r>
          </w:p>
        </w:tc>
        <w:tc>
          <w:tcPr>
            <w:tcW w:w="1587" w:type="dxa"/>
            <w:vAlign w:val="center"/>
          </w:tcPr>
          <w:p w14:paraId="18F7F5C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varchar(30)</w:t>
            </w:r>
          </w:p>
        </w:tc>
        <w:tc>
          <w:tcPr>
            <w:tcW w:w="3005" w:type="dxa"/>
            <w:vAlign w:val="center"/>
          </w:tcPr>
          <w:p w14:paraId="5ADB538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Статус записи</w:t>
            </w:r>
          </w:p>
        </w:tc>
        <w:tc>
          <w:tcPr>
            <w:tcW w:w="2721" w:type="dxa"/>
            <w:vAlign w:val="center"/>
          </w:tcPr>
          <w:p w14:paraId="6104745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scheduled / confirmed / cancelled / completed / no_show</w:t>
            </w:r>
          </w:p>
        </w:tc>
      </w:tr>
      <w:tr w14:paraId="2A10268C">
        <w:tc>
          <w:tcPr>
            <w:tcW w:w="1814" w:type="dxa"/>
            <w:vAlign w:val="center"/>
          </w:tcPr>
          <w:p w14:paraId="2BD2A1C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reminder_sent_at</w:t>
            </w:r>
          </w:p>
        </w:tc>
        <w:tc>
          <w:tcPr>
            <w:tcW w:w="1587" w:type="dxa"/>
            <w:vAlign w:val="center"/>
          </w:tcPr>
          <w:p w14:paraId="3C8C7DB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timestamptz</w:t>
            </w:r>
          </w:p>
        </w:tc>
        <w:tc>
          <w:tcPr>
            <w:tcW w:w="3005" w:type="dxa"/>
            <w:vAlign w:val="center"/>
          </w:tcPr>
          <w:p w14:paraId="31338E3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Время последнего напоминания</w:t>
            </w:r>
          </w:p>
        </w:tc>
        <w:tc>
          <w:tcPr>
            <w:tcW w:w="2721" w:type="dxa"/>
            <w:vAlign w:val="center"/>
          </w:tcPr>
          <w:p w14:paraId="068C598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Заполняется воркером напоминаний</w:t>
            </w:r>
          </w:p>
        </w:tc>
      </w:tr>
    </w:tbl>
    <w:p w14:paraId="281AB254"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Таблица 3.18 – Описание таблицы tax_certificate_requests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1587"/>
        <w:gridCol w:w="3005"/>
        <w:gridCol w:w="2721"/>
      </w:tblGrid>
      <w:tr w14:paraId="73EFA3E9">
        <w:tc>
          <w:tcPr>
            <w:tcW w:w="1814" w:type="dxa"/>
            <w:vAlign w:val="center"/>
          </w:tcPr>
          <w:p w14:paraId="2039026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Поле</w:t>
            </w:r>
          </w:p>
        </w:tc>
        <w:tc>
          <w:tcPr>
            <w:tcW w:w="1587" w:type="dxa"/>
            <w:vAlign w:val="center"/>
          </w:tcPr>
          <w:p w14:paraId="3EDE437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Тип данных в БД</w:t>
            </w:r>
          </w:p>
        </w:tc>
        <w:tc>
          <w:tcPr>
            <w:tcW w:w="3005" w:type="dxa"/>
            <w:vAlign w:val="center"/>
          </w:tcPr>
          <w:p w14:paraId="090FED2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Описание</w:t>
            </w:r>
          </w:p>
        </w:tc>
        <w:tc>
          <w:tcPr>
            <w:tcW w:w="2721" w:type="dxa"/>
            <w:vAlign w:val="center"/>
          </w:tcPr>
          <w:p w14:paraId="48F5997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Ограничения</w:t>
            </w:r>
          </w:p>
        </w:tc>
      </w:tr>
      <w:tr w14:paraId="37A7DED3">
        <w:tc>
          <w:tcPr>
            <w:tcW w:w="1814" w:type="dxa"/>
            <w:vAlign w:val="center"/>
          </w:tcPr>
          <w:p w14:paraId="4511616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id</w:t>
            </w:r>
          </w:p>
        </w:tc>
        <w:tc>
          <w:tcPr>
            <w:tcW w:w="1587" w:type="dxa"/>
            <w:vAlign w:val="center"/>
          </w:tcPr>
          <w:p w14:paraId="1DFAAF1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uuid</w:t>
            </w:r>
          </w:p>
        </w:tc>
        <w:tc>
          <w:tcPr>
            <w:tcW w:w="3005" w:type="dxa"/>
            <w:vAlign w:val="center"/>
          </w:tcPr>
          <w:p w14:paraId="5AF630D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Идентификатор заявки</w:t>
            </w:r>
          </w:p>
        </w:tc>
        <w:tc>
          <w:tcPr>
            <w:tcW w:w="2721" w:type="dxa"/>
            <w:vAlign w:val="center"/>
          </w:tcPr>
          <w:p w14:paraId="3ACA02C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Первичный ключ</w:t>
            </w:r>
          </w:p>
        </w:tc>
      </w:tr>
      <w:tr w14:paraId="197915B8">
        <w:tc>
          <w:tcPr>
            <w:tcW w:w="1814" w:type="dxa"/>
            <w:vAlign w:val="center"/>
          </w:tcPr>
          <w:p w14:paraId="711750A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user_id</w:t>
            </w:r>
          </w:p>
        </w:tc>
        <w:tc>
          <w:tcPr>
            <w:tcW w:w="1587" w:type="dxa"/>
            <w:vAlign w:val="center"/>
          </w:tcPr>
          <w:p w14:paraId="72846A7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uuid</w:t>
            </w:r>
          </w:p>
        </w:tc>
        <w:tc>
          <w:tcPr>
            <w:tcW w:w="3005" w:type="dxa"/>
            <w:vAlign w:val="center"/>
          </w:tcPr>
          <w:p w14:paraId="3801319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Пациент-заявитель</w:t>
            </w:r>
          </w:p>
        </w:tc>
        <w:tc>
          <w:tcPr>
            <w:tcW w:w="2721" w:type="dxa"/>
            <w:vAlign w:val="center"/>
          </w:tcPr>
          <w:p w14:paraId="48C670F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Внешний ключ к users.id</w:t>
            </w:r>
          </w:p>
        </w:tc>
      </w:tr>
      <w:tr w14:paraId="6A583977">
        <w:tc>
          <w:tcPr>
            <w:tcW w:w="1814" w:type="dxa"/>
            <w:vAlign w:val="center"/>
          </w:tcPr>
          <w:p w14:paraId="2E4D8C1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period_start</w:t>
            </w:r>
          </w:p>
        </w:tc>
        <w:tc>
          <w:tcPr>
            <w:tcW w:w="1587" w:type="dxa"/>
            <w:vAlign w:val="center"/>
          </w:tcPr>
          <w:p w14:paraId="54AA8E5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date</w:t>
            </w:r>
          </w:p>
        </w:tc>
        <w:tc>
          <w:tcPr>
            <w:tcW w:w="3005" w:type="dxa"/>
            <w:vAlign w:val="center"/>
          </w:tcPr>
          <w:p w14:paraId="1ED9E40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Начало налогового периода</w:t>
            </w:r>
          </w:p>
        </w:tc>
        <w:tc>
          <w:tcPr>
            <w:tcW w:w="2721" w:type="dxa"/>
            <w:vAlign w:val="center"/>
          </w:tcPr>
          <w:p w14:paraId="121BB5F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01 января выбранного года</w:t>
            </w:r>
          </w:p>
        </w:tc>
      </w:tr>
      <w:tr w14:paraId="5C7213AE">
        <w:tc>
          <w:tcPr>
            <w:tcW w:w="1814" w:type="dxa"/>
            <w:vAlign w:val="center"/>
          </w:tcPr>
          <w:p w14:paraId="7FE903C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period_end</w:t>
            </w:r>
          </w:p>
        </w:tc>
        <w:tc>
          <w:tcPr>
            <w:tcW w:w="1587" w:type="dxa"/>
            <w:vAlign w:val="center"/>
          </w:tcPr>
          <w:p w14:paraId="05599F0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date</w:t>
            </w:r>
          </w:p>
        </w:tc>
        <w:tc>
          <w:tcPr>
            <w:tcW w:w="3005" w:type="dxa"/>
            <w:vAlign w:val="center"/>
          </w:tcPr>
          <w:p w14:paraId="3D83F1E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Окончание налогового периода</w:t>
            </w:r>
          </w:p>
        </w:tc>
        <w:tc>
          <w:tcPr>
            <w:tcW w:w="2721" w:type="dxa"/>
            <w:vAlign w:val="center"/>
          </w:tcPr>
          <w:p w14:paraId="0DFEEEB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31 декабря выбранного года</w:t>
            </w:r>
          </w:p>
        </w:tc>
      </w:tr>
      <w:tr w14:paraId="6ED7F23B">
        <w:tc>
          <w:tcPr>
            <w:tcW w:w="1814" w:type="dxa"/>
            <w:vAlign w:val="center"/>
          </w:tcPr>
          <w:p w14:paraId="3FCC63C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recipient_type</w:t>
            </w:r>
          </w:p>
        </w:tc>
        <w:tc>
          <w:tcPr>
            <w:tcW w:w="1587" w:type="dxa"/>
            <w:vAlign w:val="center"/>
          </w:tcPr>
          <w:p w14:paraId="7944F73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varchar(20)</w:t>
            </w:r>
          </w:p>
        </w:tc>
        <w:tc>
          <w:tcPr>
            <w:tcW w:w="3005" w:type="dxa"/>
            <w:vAlign w:val="center"/>
          </w:tcPr>
          <w:p w14:paraId="5F07A9E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Получатель вычета</w:t>
            </w:r>
          </w:p>
        </w:tc>
        <w:tc>
          <w:tcPr>
            <w:tcW w:w="2721" w:type="dxa"/>
            <w:vAlign w:val="center"/>
          </w:tcPr>
          <w:p w14:paraId="691EBA2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taxpayer / relative</w:t>
            </w:r>
          </w:p>
        </w:tc>
      </w:tr>
      <w:tr w14:paraId="5D8094BC">
        <w:tc>
          <w:tcPr>
            <w:tcW w:w="1814" w:type="dxa"/>
            <w:vAlign w:val="center"/>
          </w:tcPr>
          <w:p w14:paraId="76CE40B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inn</w:t>
            </w:r>
          </w:p>
        </w:tc>
        <w:tc>
          <w:tcPr>
            <w:tcW w:w="1587" w:type="dxa"/>
            <w:vAlign w:val="center"/>
          </w:tcPr>
          <w:p w14:paraId="75F857F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char(12)</w:t>
            </w:r>
          </w:p>
        </w:tc>
        <w:tc>
          <w:tcPr>
            <w:tcW w:w="3005" w:type="dxa"/>
            <w:vAlign w:val="center"/>
          </w:tcPr>
          <w:p w14:paraId="0B19D83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ИНН получателя</w:t>
            </w:r>
          </w:p>
        </w:tc>
        <w:tc>
          <w:tcPr>
            <w:tcW w:w="2721" w:type="dxa"/>
            <w:vAlign w:val="center"/>
          </w:tcPr>
          <w:p w14:paraId="75B11A5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12 цифр; проверка контрольного разряда</w:t>
            </w:r>
          </w:p>
        </w:tc>
      </w:tr>
      <w:tr w14:paraId="7EE2BB3C">
        <w:tc>
          <w:tcPr>
            <w:tcW w:w="1814" w:type="dxa"/>
            <w:vAlign w:val="center"/>
          </w:tcPr>
          <w:p w14:paraId="56BF4D3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email</w:t>
            </w:r>
          </w:p>
        </w:tc>
        <w:tc>
          <w:tcPr>
            <w:tcW w:w="1587" w:type="dxa"/>
            <w:vAlign w:val="center"/>
          </w:tcPr>
          <w:p w14:paraId="6AFC1E2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varchar(50)</w:t>
            </w:r>
          </w:p>
        </w:tc>
        <w:tc>
          <w:tcPr>
            <w:tcW w:w="3005" w:type="dxa"/>
            <w:vAlign w:val="center"/>
          </w:tcPr>
          <w:p w14:paraId="58E6D8A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Электронная почта для справки</w:t>
            </w:r>
          </w:p>
        </w:tc>
        <w:tc>
          <w:tcPr>
            <w:tcW w:w="2721" w:type="dxa"/>
            <w:vAlign w:val="center"/>
          </w:tcPr>
          <w:p w14:paraId="03E27AE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Валидируется по RFC 5322</w:t>
            </w:r>
          </w:p>
        </w:tc>
      </w:tr>
      <w:tr w14:paraId="7481968B">
        <w:tc>
          <w:tcPr>
            <w:tcW w:w="1814" w:type="dxa"/>
            <w:vAlign w:val="center"/>
          </w:tcPr>
          <w:p w14:paraId="4B54D06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status</w:t>
            </w:r>
          </w:p>
        </w:tc>
        <w:tc>
          <w:tcPr>
            <w:tcW w:w="1587" w:type="dxa"/>
            <w:vAlign w:val="center"/>
          </w:tcPr>
          <w:p w14:paraId="6BB5738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varchar(30)</w:t>
            </w:r>
          </w:p>
        </w:tc>
        <w:tc>
          <w:tcPr>
            <w:tcW w:w="3005" w:type="dxa"/>
            <w:vAlign w:val="center"/>
          </w:tcPr>
          <w:p w14:paraId="54AD41C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Статус заявки</w:t>
            </w:r>
          </w:p>
        </w:tc>
        <w:tc>
          <w:tcPr>
            <w:tcW w:w="2721" w:type="dxa"/>
            <w:vAlign w:val="center"/>
          </w:tcPr>
          <w:p w14:paraId="5BFD294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new / in_progress / ready / rejected</w:t>
            </w:r>
          </w:p>
        </w:tc>
      </w:tr>
      <w:tr w14:paraId="634F4AC7">
        <w:tc>
          <w:tcPr>
            <w:tcW w:w="1814" w:type="dxa"/>
            <w:vAlign w:val="center"/>
          </w:tcPr>
          <w:p w14:paraId="74E4C86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created_at</w:t>
            </w:r>
          </w:p>
        </w:tc>
        <w:tc>
          <w:tcPr>
            <w:tcW w:w="1587" w:type="dxa"/>
            <w:vAlign w:val="center"/>
          </w:tcPr>
          <w:p w14:paraId="2011310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timestamptz</w:t>
            </w:r>
          </w:p>
        </w:tc>
        <w:tc>
          <w:tcPr>
            <w:tcW w:w="3005" w:type="dxa"/>
            <w:vAlign w:val="center"/>
          </w:tcPr>
          <w:p w14:paraId="27D86F4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Время создания заявки</w:t>
            </w:r>
          </w:p>
        </w:tc>
        <w:tc>
          <w:tcPr>
            <w:tcW w:w="2721" w:type="dxa"/>
            <w:vAlign w:val="center"/>
          </w:tcPr>
          <w:p w14:paraId="6566547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Заполняется автоматически</w:t>
            </w:r>
          </w:p>
        </w:tc>
      </w:tr>
    </w:tbl>
    <w:p w14:paraId="3C7E3285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Связи между сущностями построены по схеме «один ко многим». Таблица appointments хранит внешние ключи на пациента, клинику, врача и услугу. При удалении справочных записей работает политика ON DELETE RESTRICT — история визитов защищена от потери данных. Таблица tax_certificate_requests ссылается только на пациента; состав визитов в справке берётся выборкой по периоду заявки. Индексы стоят на полях phone_number (users), start_at (appointments) и created_at (tax_certificate_requests) — именно эти выборки самые частые.</w:t>
      </w:r>
    </w:p>
    <w:p w14:paraId="441214DC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Выводы по подразделу. Модель данных покрывает пациентский контур MVP и допускает расширение под план лечения и карту зубов FDI в следующих итерациях. Схема согласована с требованиями к записи, истории визитов и оформлению справки для налогового вычета.</w:t>
      </w:r>
    </w:p>
    <w:p w14:paraId="1301C924">
      <w:pPr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3.6 Кликабельный прототип интерфейса</w:t>
      </w:r>
    </w:p>
    <w:p w14:paraId="660AF929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Кликабельный прототип собран на HTML, CSS и ванильном JavaScript и запускается локально в контейнере Nginx по адресу localhost:8080. Данные на экранах статические, без обращения к серверу: прототип отрабатывает маршрут записи и проверяет визуальные гипотезы до старта разработки боевого бэкенда. Пользовательский опыт тестируется без зависимостей от МИС и платёжного шлюза.</w:t>
      </w:r>
    </w:p>
    <w:p w14:paraId="73A19597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Маршрут записи в прототипе состоит из шести шагов: (1) главный экран с поисковой строкой и блоком «Ближайшая запись»; (2) каталог услуг с фильтрами по категориям; (3) карточка выбранной услуги с ценой и длительностью; (4) список подходящих врачей с рейтингом и ближайшим свободным слотом; (5) календарная сетка свободного расписания выбранного врача; (6) экран подтверждения записи со сводкой параметров. После подтверждения запись отображается в разделе «Ближайшая запись» на главном экране, где пациент может её отменить или перенести.</w:t>
      </w:r>
    </w:p>
    <w:p w14:paraId="49067CE5">
      <w:pPr>
        <w:keepNext/>
        <w:spacing w:before="0" w:after="0" w:line="360" w:lineRule="auto"/>
        <w:ind w:firstLine="0"/>
        <w:jc w:val="center"/>
      </w:pPr>
      <w:r>
        <w:drawing>
          <wp:inline distT="0" distB="0" distL="114300" distR="114300">
            <wp:extent cx="2519680" cy="5456555"/>
            <wp:effectExtent l="0" t="0" r="2032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45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3250F"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sz w:val="28"/>
        </w:rPr>
        <w:t>Рисунок 3.3 – Главный экран: поиск, ближайшая запись, быстрые действия</w:t>
      </w:r>
    </w:p>
    <w:p w14:paraId="05FDFDE4">
      <w:pPr>
        <w:keepNext/>
        <w:spacing w:before="0" w:after="0" w:line="360" w:lineRule="auto"/>
        <w:ind w:firstLine="0"/>
        <w:jc w:val="center"/>
      </w:pPr>
      <w:r>
        <w:drawing>
          <wp:inline distT="0" distB="0" distL="114300" distR="114300">
            <wp:extent cx="2519680" cy="5456555"/>
            <wp:effectExtent l="0" t="0" r="2032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45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861AC"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sz w:val="28"/>
        </w:rPr>
        <w:t>Рисунок 3.4 – Экран выбора услуги с категорией, ценой и длительностью</w:t>
      </w:r>
    </w:p>
    <w:p w14:paraId="134DC8C0">
      <w:pPr>
        <w:keepNext/>
        <w:spacing w:before="0" w:after="0" w:line="360" w:lineRule="auto"/>
        <w:ind w:firstLine="0"/>
        <w:jc w:val="center"/>
      </w:pPr>
      <w:r>
        <w:drawing>
          <wp:inline distT="0" distB="0" distL="114300" distR="114300">
            <wp:extent cx="2519680" cy="5456555"/>
            <wp:effectExtent l="0" t="0" r="2032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45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3F1CD"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sz w:val="28"/>
        </w:rPr>
        <w:t>Рисунок 3.5 – Экран выбора врача со специализацией и ближайшим слотом</w:t>
      </w:r>
    </w:p>
    <w:p w14:paraId="5240CBE1">
      <w:pPr>
        <w:keepNext/>
        <w:spacing w:before="0" w:after="0" w:line="360" w:lineRule="auto"/>
        <w:ind w:firstLine="0"/>
        <w:jc w:val="center"/>
      </w:pPr>
      <w:r>
        <w:drawing>
          <wp:inline distT="0" distB="0" distL="114300" distR="114300">
            <wp:extent cx="2519680" cy="5456555"/>
            <wp:effectExtent l="0" t="0" r="20320" b="444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45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A09D8"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sz w:val="28"/>
        </w:rPr>
        <w:t>Рисунок 3.6 – Экран подтверждения записи со сводкой параметров</w:t>
      </w:r>
    </w:p>
    <w:p w14:paraId="06CCB848">
      <w:pPr>
        <w:keepNext/>
        <w:spacing w:before="0" w:after="0" w:line="360" w:lineRule="auto"/>
        <w:ind w:firstLine="0"/>
        <w:jc w:val="center"/>
      </w:pPr>
      <w:r>
        <w:drawing>
          <wp:inline distT="0" distB="0" distL="114300" distR="114300">
            <wp:extent cx="2519680" cy="5456555"/>
            <wp:effectExtent l="0" t="0" r="20320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45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CB560"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sz w:val="28"/>
        </w:rPr>
        <w:t>Рисунок 3.7 – Экран профиля пациента с гарантиями и историей визитов</w:t>
      </w:r>
    </w:p>
    <w:p w14:paraId="1DB1840D">
      <w:pPr>
        <w:keepNext/>
        <w:spacing w:before="0" w:after="0" w:line="360" w:lineRule="auto"/>
        <w:ind w:firstLine="0"/>
        <w:jc w:val="center"/>
      </w:pPr>
      <w:r>
        <w:drawing>
          <wp:inline distT="0" distB="0" distL="114300" distR="114300">
            <wp:extent cx="2519680" cy="5456555"/>
            <wp:effectExtent l="0" t="0" r="20320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45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11B62"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sz w:val="28"/>
        </w:rPr>
        <w:t>Рисунок 3.8 – Мокап интерфейса карты зубов FDI (вне MVP)</w:t>
      </w:r>
    </w:p>
    <w:p w14:paraId="62797035">
      <w:pPr>
        <w:keepNext/>
        <w:spacing w:before="0" w:after="0" w:line="360" w:lineRule="auto"/>
        <w:ind w:firstLine="0"/>
        <w:jc w:val="center"/>
      </w:pPr>
      <w:r>
        <w:drawing>
          <wp:inline distT="0" distB="0" distL="114300" distR="114300">
            <wp:extent cx="2519680" cy="5456555"/>
            <wp:effectExtent l="0" t="0" r="20320" b="44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45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0071D"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sz w:val="28"/>
        </w:rPr>
        <w:t>Рисунок 3.9 – Мокап формы заявки на справку для налогового вычета</w:t>
      </w:r>
    </w:p>
    <w:p w14:paraId="2DB41177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Выводы по подразделу. Прототип включает пациентские экраны MVP и мокапы двух интерфейсов — карту зубов FDI и форму налогового вычета — из следующих очередей. На этих экранах сценарии валидируются в пользовательских интервью до старта полноценной разработки.</w:t>
      </w:r>
    </w:p>
    <w:p w14:paraId="31710A17">
      <w:pPr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3.7 Внешние интеграции, информационная безопасность и законодательная рамка</w:t>
      </w:r>
    </w:p>
    <w:p w14:paraId="7C97DF6F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Продукт взаимодействует с внешними сервисами по четырём направлениям: платежи, уведомления, электронный документооборот и данные медицинской информационной системы клиники. Каждое направление закрыто отдельным доменным сервисом, а внешние API вызываются по контракту из OpenAPI-описания. Такая изоляция снижает привязку к конкретному поставщику: замена вендора при изменении коммерческих условий происходит без правки кода смежных сервисов.</w:t>
      </w:r>
    </w:p>
    <w:p w14:paraId="25D4763A"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Таблица 3.19 – Внешние сервисы и API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08"/>
        <w:gridCol w:w="3685"/>
        <w:gridCol w:w="3061"/>
      </w:tblGrid>
      <w:tr w14:paraId="319C0C07">
        <w:tc>
          <w:tcPr>
            <w:tcW w:w="2608" w:type="dxa"/>
            <w:vAlign w:val="center"/>
          </w:tcPr>
          <w:p w14:paraId="5FE9925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Сервис</w:t>
            </w:r>
          </w:p>
        </w:tc>
        <w:tc>
          <w:tcPr>
            <w:tcW w:w="3685" w:type="dxa"/>
            <w:vAlign w:val="center"/>
          </w:tcPr>
          <w:p w14:paraId="6AF553B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Назначение</w:t>
            </w:r>
          </w:p>
        </w:tc>
        <w:tc>
          <w:tcPr>
            <w:tcW w:w="3061" w:type="dxa"/>
            <w:vAlign w:val="center"/>
          </w:tcPr>
          <w:p w14:paraId="0169522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Тип интеграции</w:t>
            </w:r>
          </w:p>
        </w:tc>
      </w:tr>
      <w:tr w14:paraId="46A6C5AA">
        <w:tc>
          <w:tcPr>
            <w:tcW w:w="2608" w:type="dxa"/>
            <w:vAlign w:val="center"/>
          </w:tcPr>
          <w:p w14:paraId="602C0B3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Система быстрых платежей (СБП)</w:t>
            </w:r>
          </w:p>
        </w:tc>
        <w:tc>
          <w:tcPr>
            <w:tcW w:w="3685" w:type="dxa"/>
            <w:vAlign w:val="center"/>
          </w:tcPr>
          <w:p w14:paraId="2F404B6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Оплата визита по QR</w:t>
            </w:r>
          </w:p>
        </w:tc>
        <w:tc>
          <w:tcPr>
            <w:tcW w:w="3061" w:type="dxa"/>
            <w:vAlign w:val="center"/>
          </w:tcPr>
          <w:p w14:paraId="523E8C1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REST API, webhooks</w:t>
            </w:r>
          </w:p>
        </w:tc>
      </w:tr>
      <w:tr w14:paraId="5821D580">
        <w:tc>
          <w:tcPr>
            <w:tcW w:w="2608" w:type="dxa"/>
            <w:vAlign w:val="center"/>
          </w:tcPr>
          <w:p w14:paraId="4D6BC2E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ЮKassa</w:t>
            </w:r>
          </w:p>
        </w:tc>
        <w:tc>
          <w:tcPr>
            <w:tcW w:w="3685" w:type="dxa"/>
            <w:vAlign w:val="center"/>
          </w:tcPr>
          <w:p w14:paraId="5D8C9F4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Приём карточных платежей</w:t>
            </w:r>
          </w:p>
        </w:tc>
        <w:tc>
          <w:tcPr>
            <w:tcW w:w="3061" w:type="dxa"/>
            <w:vAlign w:val="center"/>
          </w:tcPr>
          <w:p w14:paraId="3CDB17D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REST API, webhooks</w:t>
            </w:r>
          </w:p>
        </w:tc>
      </w:tr>
      <w:tr w14:paraId="13B0C352">
        <w:tc>
          <w:tcPr>
            <w:tcW w:w="2608" w:type="dxa"/>
            <w:vAlign w:val="center"/>
          </w:tcPr>
          <w:p w14:paraId="17A946C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CloudPayments</w:t>
            </w:r>
          </w:p>
        </w:tc>
        <w:tc>
          <w:tcPr>
            <w:tcW w:w="3685" w:type="dxa"/>
            <w:vAlign w:val="center"/>
          </w:tcPr>
          <w:p w14:paraId="4E8BC4B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Резервный эквайринг</w:t>
            </w:r>
          </w:p>
        </w:tc>
        <w:tc>
          <w:tcPr>
            <w:tcW w:w="3061" w:type="dxa"/>
            <w:vAlign w:val="center"/>
          </w:tcPr>
          <w:p w14:paraId="76F3D1B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REST API, webhooks</w:t>
            </w:r>
          </w:p>
        </w:tc>
      </w:tr>
      <w:tr w14:paraId="7EF2DC2B">
        <w:tc>
          <w:tcPr>
            <w:tcW w:w="2608" w:type="dxa"/>
            <w:vAlign w:val="center"/>
          </w:tcPr>
          <w:p w14:paraId="60FB33E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SMSC</w:t>
            </w:r>
          </w:p>
        </w:tc>
        <w:tc>
          <w:tcPr>
            <w:tcW w:w="3685" w:type="dxa"/>
            <w:vAlign w:val="center"/>
          </w:tcPr>
          <w:p w14:paraId="2F624CD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Доставка SMS-сообщений</w:t>
            </w:r>
          </w:p>
        </w:tc>
        <w:tc>
          <w:tcPr>
            <w:tcW w:w="3061" w:type="dxa"/>
            <w:vAlign w:val="center"/>
          </w:tcPr>
          <w:p w14:paraId="14A773F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HTTP API, отложенные статусы</w:t>
            </w:r>
          </w:p>
        </w:tc>
      </w:tr>
      <w:tr w14:paraId="37F24836">
        <w:tc>
          <w:tcPr>
            <w:tcW w:w="2608" w:type="dxa"/>
            <w:vAlign w:val="center"/>
          </w:tcPr>
          <w:p w14:paraId="683A5A0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Firebase Cloud Messaging</w:t>
            </w:r>
          </w:p>
        </w:tc>
        <w:tc>
          <w:tcPr>
            <w:tcW w:w="3685" w:type="dxa"/>
            <w:vAlign w:val="center"/>
          </w:tcPr>
          <w:p w14:paraId="496E5C2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Push-уведомления Android</w:t>
            </w:r>
          </w:p>
        </w:tc>
        <w:tc>
          <w:tcPr>
            <w:tcW w:w="3061" w:type="dxa"/>
            <w:vAlign w:val="center"/>
          </w:tcPr>
          <w:p w14:paraId="073DC16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SDK, серверные вызовы</w:t>
            </w:r>
          </w:p>
        </w:tc>
      </w:tr>
      <w:tr w14:paraId="13D0849D">
        <w:tc>
          <w:tcPr>
            <w:tcW w:w="2608" w:type="dxa"/>
            <w:vAlign w:val="center"/>
          </w:tcPr>
          <w:p w14:paraId="1D440EB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Apple Push Notification Service</w:t>
            </w:r>
          </w:p>
        </w:tc>
        <w:tc>
          <w:tcPr>
            <w:tcW w:w="3685" w:type="dxa"/>
            <w:vAlign w:val="center"/>
          </w:tcPr>
          <w:p w14:paraId="0271A72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Push-уведомления iOS</w:t>
            </w:r>
          </w:p>
        </w:tc>
        <w:tc>
          <w:tcPr>
            <w:tcW w:w="3061" w:type="dxa"/>
            <w:vAlign w:val="center"/>
          </w:tcPr>
          <w:p w14:paraId="6F0561D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HTTP/2 с сертификатной аутентификацией</w:t>
            </w:r>
          </w:p>
        </w:tc>
      </w:tr>
      <w:tr w14:paraId="05507870">
        <w:tc>
          <w:tcPr>
            <w:tcW w:w="2608" w:type="dxa"/>
            <w:vAlign w:val="center"/>
          </w:tcPr>
          <w:p w14:paraId="55763E6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ЭДО Диадок</w:t>
            </w:r>
          </w:p>
        </w:tc>
        <w:tc>
          <w:tcPr>
            <w:tcW w:w="3685" w:type="dxa"/>
            <w:vAlign w:val="center"/>
          </w:tcPr>
          <w:p w14:paraId="3743015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Электронный документооборот</w:t>
            </w:r>
          </w:p>
        </w:tc>
        <w:tc>
          <w:tcPr>
            <w:tcW w:w="3061" w:type="dxa"/>
            <w:vAlign w:val="center"/>
          </w:tcPr>
          <w:p w14:paraId="2EFCB11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SOAP API, сертификат УКЭП</w:t>
            </w:r>
          </w:p>
        </w:tc>
      </w:tr>
      <w:tr w14:paraId="2882998E">
        <w:tc>
          <w:tcPr>
            <w:tcW w:w="2608" w:type="dxa"/>
            <w:vAlign w:val="center"/>
          </w:tcPr>
          <w:p w14:paraId="3A59222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ЭДО СБИС</w:t>
            </w:r>
          </w:p>
        </w:tc>
        <w:tc>
          <w:tcPr>
            <w:tcW w:w="3685" w:type="dxa"/>
            <w:vAlign w:val="center"/>
          </w:tcPr>
          <w:p w14:paraId="71301EB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Электронный документооборот</w:t>
            </w:r>
          </w:p>
        </w:tc>
        <w:tc>
          <w:tcPr>
            <w:tcW w:w="3061" w:type="dxa"/>
            <w:vAlign w:val="center"/>
          </w:tcPr>
          <w:p w14:paraId="224E823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REST API, сертификат УКЭП</w:t>
            </w:r>
          </w:p>
        </w:tc>
      </w:tr>
      <w:tr w14:paraId="61E8391C">
        <w:tc>
          <w:tcPr>
            <w:tcW w:w="2608" w:type="dxa"/>
            <w:vAlign w:val="center"/>
          </w:tcPr>
          <w:p w14:paraId="5582662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ЕСИА (Госуслуги)</w:t>
            </w:r>
          </w:p>
        </w:tc>
        <w:tc>
          <w:tcPr>
            <w:tcW w:w="3685" w:type="dxa"/>
            <w:vAlign w:val="center"/>
          </w:tcPr>
          <w:p w14:paraId="313A5D4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Верификация пациента</w:t>
            </w:r>
          </w:p>
        </w:tc>
        <w:tc>
          <w:tcPr>
            <w:tcW w:w="3061" w:type="dxa"/>
            <w:vAlign w:val="center"/>
          </w:tcPr>
          <w:p w14:paraId="1D4A144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OAuth 2.0 [9], OpenID Connect</w:t>
            </w:r>
          </w:p>
        </w:tc>
      </w:tr>
      <w:tr w14:paraId="4110257A">
        <w:tc>
          <w:tcPr>
            <w:tcW w:w="2608" w:type="dxa"/>
            <w:vAlign w:val="center"/>
          </w:tcPr>
          <w:p w14:paraId="63F8144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МИС 1С-Стоматология</w:t>
            </w:r>
          </w:p>
        </w:tc>
        <w:tc>
          <w:tcPr>
            <w:tcW w:w="3685" w:type="dxa"/>
            <w:vAlign w:val="center"/>
          </w:tcPr>
          <w:p w14:paraId="2A06382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Расписание врачей, визиты</w:t>
            </w:r>
          </w:p>
        </w:tc>
        <w:tc>
          <w:tcPr>
            <w:tcW w:w="3061" w:type="dxa"/>
            <w:vAlign w:val="center"/>
          </w:tcPr>
          <w:p w14:paraId="779A55B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REST API поставщика</w:t>
            </w:r>
          </w:p>
        </w:tc>
      </w:tr>
      <w:tr w14:paraId="4529AD33">
        <w:tc>
          <w:tcPr>
            <w:tcW w:w="2608" w:type="dxa"/>
            <w:vAlign w:val="center"/>
          </w:tcPr>
          <w:p w14:paraId="058F026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МИС IDENT</w:t>
            </w:r>
          </w:p>
        </w:tc>
        <w:tc>
          <w:tcPr>
            <w:tcW w:w="3685" w:type="dxa"/>
            <w:vAlign w:val="center"/>
          </w:tcPr>
          <w:p w14:paraId="54D8E9F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Расписание врачей, визиты</w:t>
            </w:r>
          </w:p>
        </w:tc>
        <w:tc>
          <w:tcPr>
            <w:tcW w:w="3061" w:type="dxa"/>
            <w:vAlign w:val="center"/>
          </w:tcPr>
          <w:p w14:paraId="43E6D42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REST API поставщика</w:t>
            </w:r>
          </w:p>
        </w:tc>
      </w:tr>
      <w:tr w14:paraId="7A1904BA">
        <w:tc>
          <w:tcPr>
            <w:tcW w:w="2608" w:type="dxa"/>
            <w:vAlign w:val="center"/>
          </w:tcPr>
          <w:p w14:paraId="15CBB76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МИС StomX</w:t>
            </w:r>
          </w:p>
        </w:tc>
        <w:tc>
          <w:tcPr>
            <w:tcW w:w="3685" w:type="dxa"/>
            <w:vAlign w:val="center"/>
          </w:tcPr>
          <w:p w14:paraId="43F093B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Расписание врачей, визиты</w:t>
            </w:r>
          </w:p>
        </w:tc>
        <w:tc>
          <w:tcPr>
            <w:tcW w:w="3061" w:type="dxa"/>
            <w:vAlign w:val="center"/>
          </w:tcPr>
          <w:p w14:paraId="1F37C8C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REST API поставщика</w:t>
            </w:r>
          </w:p>
        </w:tc>
      </w:tr>
      <w:tr w14:paraId="52FFEABA">
        <w:tc>
          <w:tcPr>
            <w:tcW w:w="2608" w:type="dxa"/>
            <w:vAlign w:val="center"/>
          </w:tcPr>
          <w:p w14:paraId="23EAD38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Шина N3.Health</w:t>
            </w:r>
          </w:p>
        </w:tc>
        <w:tc>
          <w:tcPr>
            <w:tcW w:w="3685" w:type="dxa"/>
            <w:vAlign w:val="center"/>
          </w:tcPr>
          <w:p w14:paraId="2923958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Передача сведений о факте оказания медицинской помощи</w:t>
            </w:r>
          </w:p>
        </w:tc>
        <w:tc>
          <w:tcPr>
            <w:tcW w:w="3061" w:type="dxa"/>
            <w:vAlign w:val="center"/>
          </w:tcPr>
          <w:p w14:paraId="180B97A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ЕГИСЗ-совместимый шлюз</w:t>
            </w:r>
          </w:p>
        </w:tc>
      </w:tr>
    </w:tbl>
    <w:p w14:paraId="414E0245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Правовая рамка продукта опирается на три основных акта: 152-ФЗ «О персональных данных» [10], 323-ФЗ «Об основах охраны здоровья граждан» [11] и статью 219 Налогового кодекса [12]. Требования к материалам о медицинских услугах задаёт статья 24 Федерального закона «О рекламе» [13]. Нормативные требования и способы их закрытия в продукте сведены в таблицу 3.20.</w:t>
      </w:r>
    </w:p>
    <w:p w14:paraId="6EFAF876"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Таблица 3.20 – Законодательные и нормативные требования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08"/>
        <w:gridCol w:w="3231"/>
        <w:gridCol w:w="3515"/>
      </w:tblGrid>
      <w:tr w14:paraId="25AE61FF">
        <w:tc>
          <w:tcPr>
            <w:tcW w:w="2608" w:type="dxa"/>
            <w:vAlign w:val="center"/>
          </w:tcPr>
          <w:p w14:paraId="7AE90A0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Нормативный акт</w:t>
            </w:r>
          </w:p>
        </w:tc>
        <w:tc>
          <w:tcPr>
            <w:tcW w:w="3231" w:type="dxa"/>
            <w:vAlign w:val="center"/>
          </w:tcPr>
          <w:p w14:paraId="542F499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Требование</w:t>
            </w:r>
          </w:p>
        </w:tc>
        <w:tc>
          <w:tcPr>
            <w:tcW w:w="3515" w:type="dxa"/>
            <w:vAlign w:val="center"/>
          </w:tcPr>
          <w:p w14:paraId="472FC17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Как закрывается в продукте</w:t>
            </w:r>
          </w:p>
        </w:tc>
      </w:tr>
      <w:tr w14:paraId="156EC188">
        <w:tc>
          <w:tcPr>
            <w:tcW w:w="2608" w:type="dxa"/>
            <w:vAlign w:val="center"/>
          </w:tcPr>
          <w:p w14:paraId="1DC7BB5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152-ФЗ «О персональных данных»</w:t>
            </w:r>
          </w:p>
        </w:tc>
        <w:tc>
          <w:tcPr>
            <w:tcW w:w="3231" w:type="dxa"/>
            <w:vAlign w:val="center"/>
          </w:tcPr>
          <w:p w14:paraId="00E1AD6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Обработка и хранение персональных данных на серверах на территории России, согласие пациента, меры защиты уровня УЗ-3.</w:t>
            </w:r>
          </w:p>
        </w:tc>
        <w:tc>
          <w:tcPr>
            <w:tcW w:w="3515" w:type="dxa"/>
            <w:vAlign w:val="center"/>
          </w:tcPr>
          <w:p w14:paraId="7E7C779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Инфраструктура размещена в Yandex Cloud (регион Москва). Получение и отзыв согласий — через экран в приложении и журнал событий. Меры защиты УЗ-3 реализованы в подразделе об информационной безопасности.</w:t>
            </w:r>
          </w:p>
        </w:tc>
      </w:tr>
      <w:tr w14:paraId="3B5F2CD9">
        <w:tc>
          <w:tcPr>
            <w:tcW w:w="2608" w:type="dxa"/>
            <w:vAlign w:val="center"/>
          </w:tcPr>
          <w:p w14:paraId="5C2C2CA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323-ФЗ «Об основах охраны здоровья граждан»</w:t>
            </w:r>
          </w:p>
        </w:tc>
        <w:tc>
          <w:tcPr>
            <w:tcW w:w="3231" w:type="dxa"/>
            <w:vAlign w:val="center"/>
          </w:tcPr>
          <w:p w14:paraId="6DE1E44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Сохранение врачебной тайны, ограничение доступа к данным о здоровье.</w:t>
            </w:r>
          </w:p>
        </w:tc>
        <w:tc>
          <w:tcPr>
            <w:tcW w:w="3515" w:type="dxa"/>
            <w:vAlign w:val="center"/>
          </w:tcPr>
          <w:p w14:paraId="7B26A39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Данные о диагнозах и назначениях шифруются на уровне приложения (pgcrypto). Доступ врачей ограничен политиками Row Level Security PostgreSQL по принципу наименьших привилегий.</w:t>
            </w:r>
          </w:p>
        </w:tc>
      </w:tr>
      <w:tr w14:paraId="1764C817">
        <w:tc>
          <w:tcPr>
            <w:tcW w:w="2608" w:type="dxa"/>
            <w:vAlign w:val="center"/>
          </w:tcPr>
          <w:p w14:paraId="2E65BC4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Статья 219 НК РФ</w:t>
            </w:r>
          </w:p>
        </w:tc>
        <w:tc>
          <w:tcPr>
            <w:tcW w:w="3231" w:type="dxa"/>
            <w:vAlign w:val="center"/>
          </w:tcPr>
          <w:p w14:paraId="108B66B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Выдача справки об оплате медицинских услуг для социального налогового вычета.</w:t>
            </w:r>
          </w:p>
        </w:tc>
        <w:tc>
          <w:tcPr>
            <w:tcW w:w="3515" w:type="dxa"/>
            <w:vAlign w:val="center"/>
          </w:tcPr>
          <w:p w14:paraId="171D53D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Форма заявки в приложении собирает период, получателя и ИНН. Справка формируется и направляется пациенту по ЭДО в течение 5 рабочих дней.</w:t>
            </w:r>
          </w:p>
        </w:tc>
      </w:tr>
      <w:tr w14:paraId="46B57D61">
        <w:tc>
          <w:tcPr>
            <w:tcW w:w="2608" w:type="dxa"/>
            <w:vAlign w:val="center"/>
          </w:tcPr>
          <w:p w14:paraId="746887A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Статья 24 ФЗ «О рекламе»</w:t>
            </w:r>
          </w:p>
        </w:tc>
        <w:tc>
          <w:tcPr>
            <w:tcW w:w="3231" w:type="dxa"/>
            <w:vAlign w:val="center"/>
          </w:tcPr>
          <w:p w14:paraId="76B26F4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Требования к рекламе медицинских услуг, запрет гарантий выздоровления и сравнений с конкурентами.</w:t>
            </w:r>
          </w:p>
        </w:tc>
        <w:tc>
          <w:tcPr>
            <w:tcW w:w="3515" w:type="dxa"/>
            <w:vAlign w:val="center"/>
          </w:tcPr>
          <w:p w14:paraId="57236CC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Маркетинговые блоки приложения проходят ручной юридический pre-review. Шаблоны напоминаний и уведомлений не содержат рекламных формулировок.</w:t>
            </w:r>
          </w:p>
        </w:tc>
      </w:tr>
      <w:tr w14:paraId="78AE03D1">
        <w:tc>
          <w:tcPr>
            <w:tcW w:w="2608" w:type="dxa"/>
            <w:vAlign w:val="center"/>
          </w:tcPr>
          <w:p w14:paraId="4CF4D0D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ГОСТ Р 7.0.100-2018</w:t>
            </w:r>
          </w:p>
        </w:tc>
        <w:tc>
          <w:tcPr>
            <w:tcW w:w="3231" w:type="dxa"/>
            <w:vAlign w:val="center"/>
          </w:tcPr>
          <w:p w14:paraId="0D0C1F4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Правила оформления библиографических записей для документации продукта.</w:t>
            </w:r>
          </w:p>
        </w:tc>
        <w:tc>
          <w:tcPr>
            <w:tcW w:w="3515" w:type="dxa"/>
            <w:vAlign w:val="center"/>
          </w:tcPr>
          <w:p w14:paraId="140A497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Список литературы и внутренняя техническая документация оформляются по ГОСТ [14].</w:t>
            </w:r>
          </w:p>
        </w:tc>
      </w:tr>
    </w:tbl>
    <w:p w14:paraId="2815BDF4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Информационная безопасность выстроена под уровень защищённости УЗ-3 согласно постановлению Правительства Российской Федерации № 1119 [15] и составу технических мер по приказу ФСТЭК № 21 [16]. Поля с персональными и медицинскими данными шифруются AES-256 через расширение pgcrypto; ключи хранятся в Hashicorp Vault и ротируются раз в 180 дней. Транспортный уровень защищён TLS 1.2+ и автоматически переключается на TLS 1.3 при поддержке клиентом. В журналах аудита фиксируются вход, выдача ролей, доступ к данным пациента и действия супер-администратора сети. Перечень проверок для ручного код-ревью и динамического тестирования расширен рисками OWASP Top 10 [17]; процессы ИБ выстроены по требованиям ISO/IEC 27001:2022 [18]. Раз в год проходит внешний тест на проникновение; результаты оформляются отдельным отчётом с планом устранения слабостей.</w:t>
      </w:r>
    </w:p>
    <w:p w14:paraId="2BB1A07B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Продукт не относится к медицинским изделиям по 323-ФЗ и не подлежит регистрации в Росздравнадзоре. Это видно из перечня функциональных требований: приложение не ставит диагноз, не формирует назначения, не интерпретирует медицинские изображения и не принимает решений, влияющих на оказание медицинской помощи. Медицинские действия выполняет врач клиники в собственной МИС, а приложение остаётся средством связи пациента с клиникой и каналом оформления документов.</w:t>
      </w:r>
    </w:p>
    <w:p w14:paraId="5576A7EF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Выводы по подразделу. В продукте 13 внешних интеграций по четырём направлениям и пять основных нормативных требований. Меры информационной безопасности соответствуют уровню защищённости УЗ-3. Статус «не медицинское изделие» обоснован отсутствием функций диагностики и назначения лечения.</w:t>
      </w:r>
    </w:p>
    <w:p w14:paraId="03B81781">
      <w:pPr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3.8 Экономическая эффективность и прогнозный ROI</w:t>
      </w:r>
    </w:p>
    <w:p w14:paraId="2C12A4D4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Расчёт экономической эффективности — прогноз базового сценария внедрения продукта в одной клинике сети. Входные параметры разделены на две группы: отраслевые метрики из открытых публикаций [19] [20] [21] (см. таблицу 3.21) и модельные допущения о профиле клиники; последние помечены отдельно и подлежат валидации в пилоте продолжительностью 2–3 месяца. При базовых значениях параметров проект окупается за срок, сопоставимый с длительностью разработки; итог расчёта чувствителен к показателям удержания и среднему LTV.</w:t>
      </w:r>
    </w:p>
    <w:p w14:paraId="1523D5C5"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Таблица 3.21 – Исходные данные расчёта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5"/>
        <w:gridCol w:w="2721"/>
        <w:gridCol w:w="3118"/>
      </w:tblGrid>
      <w:tr w14:paraId="5B7CFCB0">
        <w:tc>
          <w:tcPr>
            <w:tcW w:w="3515" w:type="dxa"/>
            <w:vAlign w:val="center"/>
          </w:tcPr>
          <w:p w14:paraId="65D7A67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Метрика</w:t>
            </w:r>
          </w:p>
        </w:tc>
        <w:tc>
          <w:tcPr>
            <w:tcW w:w="2721" w:type="dxa"/>
            <w:vAlign w:val="center"/>
          </w:tcPr>
          <w:p w14:paraId="3045B4B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Значение (базовый сценарий)</w:t>
            </w:r>
          </w:p>
        </w:tc>
        <w:tc>
          <w:tcPr>
            <w:tcW w:w="3118" w:type="dxa"/>
            <w:vAlign w:val="center"/>
          </w:tcPr>
          <w:p w14:paraId="1AF5C7F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Источник / статус</w:t>
            </w:r>
          </w:p>
        </w:tc>
      </w:tr>
      <w:tr w14:paraId="267576AB">
        <w:tc>
          <w:tcPr>
            <w:tcW w:w="3515" w:type="dxa"/>
            <w:vAlign w:val="center"/>
          </w:tcPr>
          <w:p w14:paraId="383F058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No-show, %</w:t>
            </w:r>
          </w:p>
        </w:tc>
        <w:tc>
          <w:tcPr>
            <w:tcW w:w="2721" w:type="dxa"/>
            <w:vAlign w:val="center"/>
          </w:tcPr>
          <w:p w14:paraId="2AEB8F6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18,0 %</w:t>
            </w:r>
          </w:p>
        </w:tc>
        <w:tc>
          <w:tcPr>
            <w:tcW w:w="3118" w:type="dxa"/>
            <w:vAlign w:val="center"/>
          </w:tcPr>
          <w:p w14:paraId="51549E5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industry_report, verified</w:t>
            </w:r>
          </w:p>
        </w:tc>
      </w:tr>
      <w:tr w14:paraId="7F3EC5E2">
        <w:tc>
          <w:tcPr>
            <w:tcW w:w="3515" w:type="dxa"/>
            <w:vAlign w:val="center"/>
          </w:tcPr>
          <w:p w14:paraId="02EBD613">
            <w:pPr>
              <w:spacing w:before="0" w:after="0" w:line="240" w:lineRule="auto"/>
              <w:ind w:firstLine="0"/>
              <w:jc w:val="left"/>
              <w:rPr>
                <w:rFonts w:hint="default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 xml:space="preserve">Средний чек первичного приёма, </w:t>
            </w:r>
            <w:r>
              <w:rPr>
                <w:rFonts w:cs="Times New Roman"/>
                <w:b w:val="0"/>
                <w:color w:val="000000"/>
                <w:sz w:val="28"/>
                <w:lang w:val="ru-RU"/>
              </w:rPr>
              <w:t>руб.</w:t>
            </w:r>
          </w:p>
        </w:tc>
        <w:tc>
          <w:tcPr>
            <w:tcW w:w="2721" w:type="dxa"/>
            <w:vAlign w:val="center"/>
          </w:tcPr>
          <w:p w14:paraId="50892081">
            <w:pPr>
              <w:spacing w:before="0" w:after="0" w:line="240" w:lineRule="auto"/>
              <w:ind w:firstLine="0"/>
              <w:jc w:val="left"/>
              <w:rPr>
                <w:rFonts w:hint="default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 xml:space="preserve">5 000 </w:t>
            </w:r>
            <w:r>
              <w:rPr>
                <w:rFonts w:cs="Times New Roman"/>
                <w:b w:val="0"/>
                <w:color w:val="000000"/>
                <w:sz w:val="28"/>
                <w:lang w:val="ru-RU"/>
              </w:rPr>
              <w:t>руб.</w:t>
            </w:r>
          </w:p>
        </w:tc>
        <w:tc>
          <w:tcPr>
            <w:tcW w:w="3118" w:type="dxa"/>
            <w:vAlign w:val="center"/>
          </w:tcPr>
          <w:p w14:paraId="2C68D2C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industry_report, verified</w:t>
            </w:r>
          </w:p>
        </w:tc>
      </w:tr>
      <w:tr w14:paraId="369B2BDE">
        <w:tc>
          <w:tcPr>
            <w:tcW w:w="3515" w:type="dxa"/>
            <w:vAlign w:val="center"/>
          </w:tcPr>
          <w:p w14:paraId="671E796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Доля повторных визитов, %</w:t>
            </w:r>
          </w:p>
        </w:tc>
        <w:tc>
          <w:tcPr>
            <w:tcW w:w="2721" w:type="dxa"/>
            <w:vAlign w:val="center"/>
          </w:tcPr>
          <w:p w14:paraId="5588AAE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57,0 %</w:t>
            </w:r>
          </w:p>
        </w:tc>
        <w:tc>
          <w:tcPr>
            <w:tcW w:w="3118" w:type="dxa"/>
            <w:vAlign w:val="center"/>
          </w:tcPr>
          <w:p w14:paraId="7FBD3F8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industry_report, verified</w:t>
            </w:r>
          </w:p>
        </w:tc>
      </w:tr>
      <w:tr w14:paraId="7766FDC3">
        <w:tc>
          <w:tcPr>
            <w:tcW w:w="3515" w:type="dxa"/>
            <w:vAlign w:val="center"/>
          </w:tcPr>
          <w:p w14:paraId="3FA8E53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Снижение no-show от SMS-напоминаний, %</w:t>
            </w:r>
          </w:p>
        </w:tc>
        <w:tc>
          <w:tcPr>
            <w:tcW w:w="2721" w:type="dxa"/>
            <w:vAlign w:val="center"/>
          </w:tcPr>
          <w:p w14:paraId="11B33A2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29,0 %</w:t>
            </w:r>
          </w:p>
        </w:tc>
        <w:tc>
          <w:tcPr>
            <w:tcW w:w="3118" w:type="dxa"/>
            <w:vAlign w:val="center"/>
          </w:tcPr>
          <w:p w14:paraId="431C0EF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meta_analysis, verified</w:t>
            </w:r>
          </w:p>
        </w:tc>
      </w:tr>
      <w:tr w14:paraId="4DFD215D">
        <w:tc>
          <w:tcPr>
            <w:tcW w:w="3515" w:type="dxa"/>
            <w:vAlign w:val="center"/>
          </w:tcPr>
          <w:p w14:paraId="79D33578">
            <w:pPr>
              <w:spacing w:before="0" w:after="0" w:line="240" w:lineRule="auto"/>
              <w:ind w:firstLine="0"/>
              <w:jc w:val="left"/>
              <w:rPr>
                <w:rFonts w:hint="default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 xml:space="preserve">Средний LTV пациента, </w:t>
            </w:r>
            <w:r>
              <w:rPr>
                <w:rFonts w:cs="Times New Roman"/>
                <w:b w:val="0"/>
                <w:color w:val="000000"/>
                <w:sz w:val="28"/>
                <w:lang w:val="ru-RU"/>
              </w:rPr>
              <w:t>руб.</w:t>
            </w:r>
          </w:p>
        </w:tc>
        <w:tc>
          <w:tcPr>
            <w:tcW w:w="2721" w:type="dxa"/>
            <w:vAlign w:val="center"/>
          </w:tcPr>
          <w:p w14:paraId="4884046A">
            <w:pPr>
              <w:spacing w:before="0" w:after="0" w:line="240" w:lineRule="auto"/>
              <w:ind w:firstLine="0"/>
              <w:jc w:val="left"/>
              <w:rPr>
                <w:rFonts w:hint="default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 xml:space="preserve">120 000 </w:t>
            </w:r>
            <w:r>
              <w:rPr>
                <w:rFonts w:cs="Times New Roman"/>
                <w:b w:val="0"/>
                <w:color w:val="000000"/>
                <w:sz w:val="28"/>
                <w:lang w:val="ru-RU"/>
              </w:rPr>
              <w:t>руб.</w:t>
            </w:r>
          </w:p>
        </w:tc>
        <w:tc>
          <w:tcPr>
            <w:tcW w:w="3118" w:type="dxa"/>
            <w:vAlign w:val="center"/>
          </w:tcPr>
          <w:p w14:paraId="0B71CC1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hypothesis, hypothesis</w:t>
            </w:r>
          </w:p>
        </w:tc>
      </w:tr>
      <w:tr w14:paraId="3D8BD697">
        <w:tc>
          <w:tcPr>
            <w:tcW w:w="3515" w:type="dxa"/>
            <w:vAlign w:val="center"/>
          </w:tcPr>
          <w:p w14:paraId="74B98BE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 xml:space="preserve">Инфраструктурные затраты, </w:t>
            </w:r>
            <w:r>
              <w:rPr>
                <w:rFonts w:cs="Times New Roman"/>
                <w:b w:val="0"/>
                <w:color w:val="000000"/>
                <w:sz w:val="28"/>
                <w:lang w:val="ru-RU"/>
              </w:rPr>
              <w:t>руб.</w:t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/мес</w:t>
            </w:r>
          </w:p>
        </w:tc>
        <w:tc>
          <w:tcPr>
            <w:tcW w:w="2721" w:type="dxa"/>
            <w:vAlign w:val="center"/>
          </w:tcPr>
          <w:p w14:paraId="066B330B">
            <w:pPr>
              <w:spacing w:before="0" w:after="0" w:line="240" w:lineRule="auto"/>
              <w:ind w:firstLine="0"/>
              <w:jc w:val="left"/>
              <w:rPr>
                <w:rFonts w:hint="default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 xml:space="preserve">21 000 </w:t>
            </w:r>
            <w:bookmarkStart w:id="0" w:name="_GoBack"/>
            <w:bookmarkEnd w:id="0"/>
            <w:r>
              <w:rPr>
                <w:rFonts w:cs="Times New Roman"/>
                <w:b w:val="0"/>
                <w:color w:val="000000"/>
                <w:sz w:val="28"/>
                <w:lang w:val="ru-RU"/>
              </w:rPr>
              <w:t>руб.</w:t>
            </w:r>
          </w:p>
        </w:tc>
        <w:tc>
          <w:tcPr>
            <w:tcW w:w="3118" w:type="dxa"/>
            <w:vAlign w:val="center"/>
          </w:tcPr>
          <w:p w14:paraId="4A9C7AF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vendor_pricing, verified [22] [23]</w:t>
            </w:r>
          </w:p>
        </w:tc>
      </w:tr>
      <w:tr w14:paraId="4252F724">
        <w:tc>
          <w:tcPr>
            <w:tcW w:w="3515" w:type="dxa"/>
            <w:vAlign w:val="center"/>
          </w:tcPr>
          <w:p w14:paraId="4EC3972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Активные пациенты одной клиники в год, чел.</w:t>
            </w:r>
          </w:p>
        </w:tc>
        <w:tc>
          <w:tcPr>
            <w:tcW w:w="2721" w:type="dxa"/>
            <w:vAlign w:val="center"/>
          </w:tcPr>
          <w:p w14:paraId="4D658D6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6 000</w:t>
            </w:r>
          </w:p>
        </w:tc>
        <w:tc>
          <w:tcPr>
            <w:tcW w:w="3118" w:type="dxa"/>
            <w:vAlign w:val="center"/>
          </w:tcPr>
          <w:p w14:paraId="3861C9E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Модельная оценка, требует валидации в пилоте</w:t>
            </w:r>
          </w:p>
        </w:tc>
      </w:tr>
      <w:tr w14:paraId="10A82156">
        <w:tc>
          <w:tcPr>
            <w:tcW w:w="3515" w:type="dxa"/>
            <w:vAlign w:val="center"/>
          </w:tcPr>
          <w:p w14:paraId="125EA71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Визитов на активного пациента в год</w:t>
            </w:r>
          </w:p>
        </w:tc>
        <w:tc>
          <w:tcPr>
            <w:tcW w:w="2721" w:type="dxa"/>
            <w:vAlign w:val="center"/>
          </w:tcPr>
          <w:p w14:paraId="76B915B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2,5</w:t>
            </w:r>
          </w:p>
        </w:tc>
        <w:tc>
          <w:tcPr>
            <w:tcW w:w="3118" w:type="dxa"/>
            <w:vAlign w:val="center"/>
          </w:tcPr>
          <w:p w14:paraId="320F8C2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Модельная оценка по отраслевым бенчмаркам</w:t>
            </w:r>
          </w:p>
        </w:tc>
      </w:tr>
      <w:tr w14:paraId="4110E52D">
        <w:tc>
          <w:tcPr>
            <w:tcW w:w="3515" w:type="dxa"/>
            <w:vAlign w:val="center"/>
          </w:tcPr>
          <w:p w14:paraId="612EBED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Плановый рост удержания за счёт приложения, п.п.</w:t>
            </w:r>
          </w:p>
        </w:tc>
        <w:tc>
          <w:tcPr>
            <w:tcW w:w="2721" w:type="dxa"/>
            <w:vAlign w:val="center"/>
          </w:tcPr>
          <w:p w14:paraId="570EE9E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+3,0 п.п.</w:t>
            </w:r>
          </w:p>
        </w:tc>
        <w:tc>
          <w:tcPr>
            <w:tcW w:w="3118" w:type="dxa"/>
            <w:vAlign w:val="center"/>
          </w:tcPr>
          <w:p w14:paraId="30CC549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Модельная оценка, требует валидации в пилоте</w:t>
            </w:r>
          </w:p>
        </w:tc>
      </w:tr>
    </w:tbl>
    <w:p w14:paraId="36764B80"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Таблица 3.22 – Структура капитальных затрат (CAPEX) на 9 месяцев разработки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86"/>
        <w:gridCol w:w="1465"/>
        <w:gridCol w:w="2551"/>
      </w:tblGrid>
      <w:tr w14:paraId="7D577D9B">
        <w:tc>
          <w:tcPr>
            <w:tcW w:w="5386" w:type="dxa"/>
            <w:vAlign w:val="center"/>
          </w:tcPr>
          <w:p w14:paraId="15D5A75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Статья</w:t>
            </w:r>
          </w:p>
        </w:tc>
        <w:tc>
          <w:tcPr>
            <w:tcW w:w="1417" w:type="dxa"/>
            <w:vAlign w:val="center"/>
          </w:tcPr>
          <w:p w14:paraId="00655205">
            <w:pPr>
              <w:spacing w:before="0" w:after="0" w:line="240" w:lineRule="auto"/>
              <w:ind w:firstLine="0"/>
              <w:jc w:val="left"/>
              <w:rPr>
                <w:rFonts w:hint="default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 xml:space="preserve">Значение, млн </w:t>
            </w:r>
            <w:r>
              <w:rPr>
                <w:rFonts w:cs="Times New Roman"/>
                <w:b/>
                <w:color w:val="000000"/>
                <w:sz w:val="28"/>
                <w:lang w:val="ru-RU"/>
              </w:rPr>
              <w:t>руб.</w:t>
            </w:r>
          </w:p>
        </w:tc>
        <w:tc>
          <w:tcPr>
            <w:tcW w:w="2551" w:type="dxa"/>
            <w:vAlign w:val="center"/>
          </w:tcPr>
          <w:p w14:paraId="2C1A135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Источник / статус</w:t>
            </w:r>
          </w:p>
        </w:tc>
      </w:tr>
      <w:tr w14:paraId="290146E9">
        <w:tc>
          <w:tcPr>
            <w:tcW w:w="5386" w:type="dxa"/>
            <w:vAlign w:val="center"/>
          </w:tcPr>
          <w:p w14:paraId="22819C5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M1 (месяцы 1–3): детальный ТЗ, архитектура, дизайн, инфраструктура</w:t>
            </w:r>
          </w:p>
        </w:tc>
        <w:tc>
          <w:tcPr>
            <w:tcW w:w="1417" w:type="dxa"/>
            <w:vAlign w:val="center"/>
          </w:tcPr>
          <w:p w14:paraId="1CDF99A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7,0</w:t>
            </w:r>
          </w:p>
        </w:tc>
        <w:tc>
          <w:tcPr>
            <w:tcW w:w="2551" w:type="dxa"/>
            <w:vAlign w:val="center"/>
          </w:tcPr>
          <w:p w14:paraId="6297FAF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Модельная оценка по ставкам рынка (команда 5–6 чел.)</w:t>
            </w:r>
          </w:p>
        </w:tc>
      </w:tr>
      <w:tr w14:paraId="22290931">
        <w:tc>
          <w:tcPr>
            <w:tcW w:w="5386" w:type="dxa"/>
            <w:vAlign w:val="center"/>
          </w:tcPr>
          <w:p w14:paraId="18D6463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M2 (месяцы 4–6): разработка пациентского контура и админ-кабинета сотрудника</w:t>
            </w:r>
          </w:p>
        </w:tc>
        <w:tc>
          <w:tcPr>
            <w:tcW w:w="1417" w:type="dxa"/>
            <w:vAlign w:val="center"/>
          </w:tcPr>
          <w:p w14:paraId="04A903E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11,0</w:t>
            </w:r>
          </w:p>
        </w:tc>
        <w:tc>
          <w:tcPr>
            <w:tcW w:w="2551" w:type="dxa"/>
            <w:vAlign w:val="center"/>
          </w:tcPr>
          <w:p w14:paraId="1B5EA53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Модельная оценка по ставкам рынка</w:t>
            </w:r>
          </w:p>
        </w:tc>
      </w:tr>
      <w:tr w14:paraId="2B8882C4">
        <w:tc>
          <w:tcPr>
            <w:tcW w:w="5386" w:type="dxa"/>
            <w:vAlign w:val="center"/>
          </w:tcPr>
          <w:p w14:paraId="3625BF8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M3 (месяцы 7–9): интеграции, стабилизация, пилот одной клиники сети</w:t>
            </w:r>
          </w:p>
        </w:tc>
        <w:tc>
          <w:tcPr>
            <w:tcW w:w="1417" w:type="dxa"/>
            <w:vAlign w:val="center"/>
          </w:tcPr>
          <w:p w14:paraId="4E32C83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5,5</w:t>
            </w:r>
          </w:p>
        </w:tc>
        <w:tc>
          <w:tcPr>
            <w:tcW w:w="2551" w:type="dxa"/>
            <w:vAlign w:val="center"/>
          </w:tcPr>
          <w:p w14:paraId="6E3C925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Модельная оценка по ставкам рынка</w:t>
            </w:r>
          </w:p>
        </w:tc>
      </w:tr>
      <w:tr w14:paraId="08BB792B">
        <w:tc>
          <w:tcPr>
            <w:tcW w:w="5386" w:type="dxa"/>
            <w:vAlign w:val="center"/>
          </w:tcPr>
          <w:p w14:paraId="31F4CC7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Непрямые расходы: HR, менеджмент, юридическое сопровождение</w:t>
            </w:r>
          </w:p>
        </w:tc>
        <w:tc>
          <w:tcPr>
            <w:tcW w:w="1417" w:type="dxa"/>
            <w:vAlign w:val="center"/>
          </w:tcPr>
          <w:p w14:paraId="7CECD57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1,5</w:t>
            </w:r>
          </w:p>
        </w:tc>
        <w:tc>
          <w:tcPr>
            <w:tcW w:w="2551" w:type="dxa"/>
            <w:vAlign w:val="center"/>
          </w:tcPr>
          <w:p w14:paraId="6245CE6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Модельная оценка (до 6 % от прямых затрат)</w:t>
            </w:r>
          </w:p>
        </w:tc>
      </w:tr>
      <w:tr w14:paraId="1021CEA9">
        <w:tc>
          <w:tcPr>
            <w:tcW w:w="5386" w:type="dxa"/>
            <w:vAlign w:val="center"/>
          </w:tcPr>
          <w:p w14:paraId="31AC2E3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Резерв 10 %</w:t>
            </w:r>
          </w:p>
        </w:tc>
        <w:tc>
          <w:tcPr>
            <w:tcW w:w="1417" w:type="dxa"/>
            <w:vAlign w:val="center"/>
          </w:tcPr>
          <w:p w14:paraId="139BA8E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1,0</w:t>
            </w:r>
          </w:p>
        </w:tc>
        <w:tc>
          <w:tcPr>
            <w:tcW w:w="2551" w:type="dxa"/>
            <w:vAlign w:val="center"/>
          </w:tcPr>
          <w:p w14:paraId="053FFDA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Модельная оценка</w:t>
            </w:r>
          </w:p>
        </w:tc>
      </w:tr>
      <w:tr w14:paraId="5F142992">
        <w:tc>
          <w:tcPr>
            <w:tcW w:w="5386" w:type="dxa"/>
            <w:vAlign w:val="center"/>
          </w:tcPr>
          <w:p w14:paraId="2A443EF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Итого CAPEX</w:t>
            </w:r>
          </w:p>
        </w:tc>
        <w:tc>
          <w:tcPr>
            <w:tcW w:w="1417" w:type="dxa"/>
            <w:vAlign w:val="center"/>
          </w:tcPr>
          <w:p w14:paraId="3FEC67A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26,0</w:t>
            </w:r>
          </w:p>
        </w:tc>
        <w:tc>
          <w:tcPr>
            <w:tcW w:w="2551" w:type="dxa"/>
            <w:vAlign w:val="center"/>
          </w:tcPr>
          <w:p w14:paraId="7750394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Сумма строк выше</w:t>
            </w:r>
          </w:p>
        </w:tc>
      </w:tr>
    </w:tbl>
    <w:p w14:paraId="54498B3D"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Таблица 3.23 – Структура операционных затрат (OPEX) после запуска, </w:t>
      </w:r>
      <w:r>
        <w:rPr>
          <w:rFonts w:cs="Times New Roman"/>
          <w:color w:val="000000"/>
          <w:sz w:val="28"/>
          <w:lang w:val="ru-RU"/>
        </w:rPr>
        <w:t>руб.</w:t>
      </w:r>
      <w:r>
        <w:rPr>
          <w:rFonts w:ascii="Times New Roman" w:hAnsi="Times New Roman" w:eastAsia="Times New Roman" w:cs="Times New Roman"/>
          <w:color w:val="000000"/>
          <w:sz w:val="28"/>
        </w:rPr>
        <w:t>/месяц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5"/>
        <w:gridCol w:w="1984"/>
        <w:gridCol w:w="2835"/>
      </w:tblGrid>
      <w:tr w14:paraId="45F57386">
        <w:tc>
          <w:tcPr>
            <w:tcW w:w="4535" w:type="dxa"/>
            <w:vAlign w:val="center"/>
          </w:tcPr>
          <w:p w14:paraId="1FA60B7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Статья</w:t>
            </w:r>
          </w:p>
        </w:tc>
        <w:tc>
          <w:tcPr>
            <w:tcW w:w="1984" w:type="dxa"/>
            <w:vAlign w:val="center"/>
          </w:tcPr>
          <w:p w14:paraId="5BDC215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 xml:space="preserve">Значение, </w:t>
            </w:r>
            <w:r>
              <w:rPr>
                <w:rFonts w:cs="Times New Roman"/>
                <w:b/>
                <w:color w:val="000000"/>
                <w:sz w:val="28"/>
                <w:lang w:val="ru-RU"/>
              </w:rPr>
              <w:t>руб.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/мес</w:t>
            </w:r>
          </w:p>
        </w:tc>
        <w:tc>
          <w:tcPr>
            <w:tcW w:w="2835" w:type="dxa"/>
            <w:vAlign w:val="center"/>
          </w:tcPr>
          <w:p w14:paraId="6A8DAB0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Источник / статус</w:t>
            </w:r>
          </w:p>
        </w:tc>
      </w:tr>
      <w:tr w14:paraId="32316BC8">
        <w:tc>
          <w:tcPr>
            <w:tcW w:w="4535" w:type="dxa"/>
            <w:vAlign w:val="center"/>
          </w:tcPr>
          <w:p w14:paraId="33E0C1D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Инфраструктура (Yandex Cloud, Selectel)</w:t>
            </w:r>
          </w:p>
        </w:tc>
        <w:tc>
          <w:tcPr>
            <w:tcW w:w="1984" w:type="dxa"/>
            <w:vAlign w:val="center"/>
          </w:tcPr>
          <w:p w14:paraId="14BE3CAB">
            <w:pPr>
              <w:spacing w:before="0" w:after="0" w:line="240" w:lineRule="auto"/>
              <w:ind w:firstLine="0"/>
              <w:jc w:val="left"/>
              <w:rPr>
                <w:rFonts w:hint="default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 xml:space="preserve">21 000 </w:t>
            </w:r>
            <w:r>
              <w:rPr>
                <w:rFonts w:cs="Times New Roman"/>
                <w:b w:val="0"/>
                <w:color w:val="000000"/>
                <w:sz w:val="28"/>
                <w:lang w:val="ru-RU"/>
              </w:rPr>
              <w:t>руб.</w:t>
            </w:r>
          </w:p>
        </w:tc>
        <w:tc>
          <w:tcPr>
            <w:tcW w:w="2835" w:type="dxa"/>
            <w:vAlign w:val="center"/>
          </w:tcPr>
          <w:p w14:paraId="19D9059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vendor_pricing, verified</w:t>
            </w:r>
          </w:p>
        </w:tc>
      </w:tr>
      <w:tr w14:paraId="4070C459">
        <w:tc>
          <w:tcPr>
            <w:tcW w:w="4535" w:type="dxa"/>
            <w:vAlign w:val="center"/>
          </w:tcPr>
          <w:p w14:paraId="31D207A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SMS-шлюз (SMSC)</w:t>
            </w:r>
          </w:p>
        </w:tc>
        <w:tc>
          <w:tcPr>
            <w:tcW w:w="1984" w:type="dxa"/>
            <w:vAlign w:val="center"/>
          </w:tcPr>
          <w:p w14:paraId="6AD6CCCF">
            <w:pPr>
              <w:spacing w:before="0" w:after="0" w:line="240" w:lineRule="auto"/>
              <w:ind w:firstLine="0"/>
              <w:jc w:val="left"/>
              <w:rPr>
                <w:rFonts w:hint="default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 xml:space="preserve">45 000 </w:t>
            </w:r>
            <w:r>
              <w:rPr>
                <w:rFonts w:cs="Times New Roman"/>
                <w:b w:val="0"/>
                <w:color w:val="000000"/>
                <w:sz w:val="28"/>
                <w:lang w:val="ru-RU"/>
              </w:rPr>
              <w:t>руб.</w:t>
            </w:r>
          </w:p>
        </w:tc>
        <w:tc>
          <w:tcPr>
            <w:tcW w:w="2835" w:type="dxa"/>
            <w:vAlign w:val="center"/>
          </w:tcPr>
          <w:p w14:paraId="2D5C512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Модельная оценка по тарифам SMSC</w:t>
            </w:r>
          </w:p>
        </w:tc>
      </w:tr>
      <w:tr w14:paraId="3A9B8F65">
        <w:tc>
          <w:tcPr>
            <w:tcW w:w="4535" w:type="dxa"/>
            <w:vAlign w:val="center"/>
          </w:tcPr>
          <w:p w14:paraId="24A6992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ЭДО (Диадок/СБИС)</w:t>
            </w:r>
          </w:p>
        </w:tc>
        <w:tc>
          <w:tcPr>
            <w:tcW w:w="1984" w:type="dxa"/>
            <w:vAlign w:val="center"/>
          </w:tcPr>
          <w:p w14:paraId="4BFFABCA">
            <w:pPr>
              <w:spacing w:before="0" w:after="0" w:line="240" w:lineRule="auto"/>
              <w:ind w:firstLine="0"/>
              <w:jc w:val="left"/>
              <w:rPr>
                <w:rFonts w:hint="default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 xml:space="preserve">12 000 </w:t>
            </w:r>
            <w:r>
              <w:rPr>
                <w:rFonts w:cs="Times New Roman"/>
                <w:b w:val="0"/>
                <w:color w:val="000000"/>
                <w:sz w:val="28"/>
                <w:lang w:val="ru-RU"/>
              </w:rPr>
              <w:t>руб.</w:t>
            </w:r>
          </w:p>
        </w:tc>
        <w:tc>
          <w:tcPr>
            <w:tcW w:w="2835" w:type="dxa"/>
            <w:vAlign w:val="center"/>
          </w:tcPr>
          <w:p w14:paraId="7E105AF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Модельная оценка по публичным тарифам</w:t>
            </w:r>
          </w:p>
        </w:tc>
      </w:tr>
      <w:tr w14:paraId="798C3E6D">
        <w:tc>
          <w:tcPr>
            <w:tcW w:w="4535" w:type="dxa"/>
            <w:vAlign w:val="center"/>
          </w:tcPr>
          <w:p w14:paraId="318F905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Команда поддержки (Middle + 0,5 Senior)</w:t>
            </w:r>
          </w:p>
        </w:tc>
        <w:tc>
          <w:tcPr>
            <w:tcW w:w="1984" w:type="dxa"/>
            <w:vAlign w:val="center"/>
          </w:tcPr>
          <w:p w14:paraId="62B62E3E">
            <w:pPr>
              <w:spacing w:before="0" w:after="0" w:line="240" w:lineRule="auto"/>
              <w:ind w:firstLine="0"/>
              <w:jc w:val="left"/>
              <w:rPr>
                <w:rFonts w:hint="default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 xml:space="preserve">600 000 </w:t>
            </w:r>
            <w:r>
              <w:rPr>
                <w:rFonts w:cs="Times New Roman"/>
                <w:b w:val="0"/>
                <w:color w:val="000000"/>
                <w:sz w:val="28"/>
                <w:lang w:val="ru-RU"/>
              </w:rPr>
              <w:t>руб.</w:t>
            </w:r>
          </w:p>
        </w:tc>
        <w:tc>
          <w:tcPr>
            <w:tcW w:w="2835" w:type="dxa"/>
            <w:vAlign w:val="center"/>
          </w:tcPr>
          <w:p w14:paraId="52DE134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Модельная оценка по рыночным ставкам</w:t>
            </w:r>
          </w:p>
        </w:tc>
      </w:tr>
      <w:tr w14:paraId="513658A8">
        <w:tc>
          <w:tcPr>
            <w:tcW w:w="4535" w:type="dxa"/>
            <w:vAlign w:val="center"/>
          </w:tcPr>
          <w:p w14:paraId="60FA926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Compliance (пентесты, ротация ключей)</w:t>
            </w:r>
          </w:p>
        </w:tc>
        <w:tc>
          <w:tcPr>
            <w:tcW w:w="1984" w:type="dxa"/>
            <w:vAlign w:val="center"/>
          </w:tcPr>
          <w:p w14:paraId="19E18F9C">
            <w:pPr>
              <w:spacing w:before="0" w:after="0" w:line="240" w:lineRule="auto"/>
              <w:ind w:firstLine="0"/>
              <w:jc w:val="left"/>
              <w:rPr>
                <w:rFonts w:hint="default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 xml:space="preserve">20 000 </w:t>
            </w:r>
            <w:r>
              <w:rPr>
                <w:rFonts w:cs="Times New Roman"/>
                <w:b w:val="0"/>
                <w:color w:val="000000"/>
                <w:sz w:val="28"/>
                <w:lang w:val="ru-RU"/>
              </w:rPr>
              <w:t>руб.</w:t>
            </w:r>
          </w:p>
        </w:tc>
        <w:tc>
          <w:tcPr>
            <w:tcW w:w="2835" w:type="dxa"/>
            <w:vAlign w:val="center"/>
          </w:tcPr>
          <w:p w14:paraId="62B8394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Модельная оценка</w:t>
            </w:r>
          </w:p>
        </w:tc>
      </w:tr>
      <w:tr w14:paraId="5F60420E">
        <w:tc>
          <w:tcPr>
            <w:tcW w:w="4535" w:type="dxa"/>
            <w:vAlign w:val="center"/>
          </w:tcPr>
          <w:p w14:paraId="5B8C54F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Резерв 10 %</w:t>
            </w:r>
          </w:p>
        </w:tc>
        <w:tc>
          <w:tcPr>
            <w:tcW w:w="1984" w:type="dxa"/>
            <w:vAlign w:val="center"/>
          </w:tcPr>
          <w:p w14:paraId="2F9F1A40">
            <w:pPr>
              <w:spacing w:before="0" w:after="0" w:line="240" w:lineRule="auto"/>
              <w:ind w:firstLine="0"/>
              <w:jc w:val="left"/>
              <w:rPr>
                <w:rFonts w:hint="default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 xml:space="preserve">69 800 </w:t>
            </w:r>
            <w:r>
              <w:rPr>
                <w:rFonts w:cs="Times New Roman"/>
                <w:b w:val="0"/>
                <w:color w:val="000000"/>
                <w:sz w:val="28"/>
                <w:lang w:val="ru-RU"/>
              </w:rPr>
              <w:t>руб.</w:t>
            </w:r>
          </w:p>
        </w:tc>
        <w:tc>
          <w:tcPr>
            <w:tcW w:w="2835" w:type="dxa"/>
            <w:vAlign w:val="center"/>
          </w:tcPr>
          <w:p w14:paraId="6079E8F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Модельная оценка</w:t>
            </w:r>
          </w:p>
        </w:tc>
      </w:tr>
      <w:tr w14:paraId="521B0E0D">
        <w:tc>
          <w:tcPr>
            <w:tcW w:w="4535" w:type="dxa"/>
            <w:vAlign w:val="center"/>
          </w:tcPr>
          <w:p w14:paraId="64F2050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Итого OPEX</w:t>
            </w:r>
          </w:p>
        </w:tc>
        <w:tc>
          <w:tcPr>
            <w:tcW w:w="1984" w:type="dxa"/>
            <w:vAlign w:val="center"/>
          </w:tcPr>
          <w:p w14:paraId="2F7C8993">
            <w:pPr>
              <w:spacing w:before="0" w:after="0" w:line="240" w:lineRule="auto"/>
              <w:ind w:firstLine="0"/>
              <w:jc w:val="left"/>
              <w:rPr>
                <w:rFonts w:hint="default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 xml:space="preserve">767 800 </w:t>
            </w:r>
            <w:r>
              <w:rPr>
                <w:rFonts w:cs="Times New Roman"/>
                <w:b w:val="0"/>
                <w:color w:val="000000"/>
                <w:sz w:val="28"/>
                <w:lang w:val="ru-RU"/>
              </w:rPr>
              <w:t>руб.</w:t>
            </w:r>
          </w:p>
        </w:tc>
        <w:tc>
          <w:tcPr>
            <w:tcW w:w="2835" w:type="dxa"/>
            <w:vAlign w:val="center"/>
          </w:tcPr>
          <w:p w14:paraId="15C913D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Сумма строк выше</w:t>
            </w:r>
          </w:p>
        </w:tc>
      </w:tr>
    </w:tbl>
    <w:p w14:paraId="3D023E85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Количественная оценка экономического эффекта опирается на четыре формулы. Экономия на неявках Economy_no_show получается как произведение годового числа визитов, базового уровня неявок, относительного снижения за счёт напоминаний и среднего чека первичного приёма. Прирост выручки от удержания ΔRevenue_retention — произведение числа активных пациентов, прироста доли удержания и среднего LTV. Срок окупаемости Payback — отношение капитальных затрат к сумме годовых экономий и прироста выручки за вычетом годовых операционных затрат. ROI за 24 месяца соотносит возвращённую и прирастающую выручку с суммой капитальных и операционных затрат:</w:t>
      </w:r>
    </w:p>
    <w:p w14:paraId="34AA5292">
      <w:pPr>
        <w:tabs>
          <w:tab w:val="center" w:pos="4677"/>
          <w:tab w:val="right" w:pos="9355"/>
        </w:tabs>
        <w:spacing w:before="0" w:after="0" w:line="360" w:lineRule="auto"/>
        <w:ind w:firstLine="0"/>
        <w:jc w:val="center"/>
      </w:pPr>
      <w:r>
        <w:tab/>
      </w:r>
      <m:oMath>
        <m:sSub>
          <m:sSubPr/>
          <m:e>
            <m:r>
              <m:rPr/>
              <w:rPr>
                <w:rFonts w:ascii="Cambria Math" w:hAnsi="Cambria Math" w:eastAsia="Cambria Math"/>
                <w:sz w:val="28"/>
                <w:szCs w:val="28"/>
              </w:rPr>
              <m:t>Economy</m:t>
            </m:r>
          </m:e>
          <m:sub>
            <m:r>
              <m:rPr/>
              <w:rPr>
                <w:rFonts w:ascii="Cambria Math" w:hAnsi="Cambria Math" w:eastAsia="Cambria Math"/>
                <w:sz w:val="28"/>
                <w:szCs w:val="28"/>
              </w:rPr>
              <m:t>noshow</m:t>
            </m:r>
          </m:sub>
        </m:sSub>
        <m:r>
          <m:rPr/>
          <w:rPr>
            <w:rFonts w:ascii="Cambria Math" w:hAnsi="Cambria Math" w:eastAsia="Cambria Math"/>
            <w:sz w:val="28"/>
            <w:szCs w:val="28"/>
          </w:rPr>
          <m:t>=</m:t>
        </m:r>
        <m:sSub>
          <m:sSubPr/>
          <m:e>
            <m:r>
              <m:rPr/>
              <w:rPr>
                <w:rFonts w:ascii="Cambria Math" w:hAnsi="Cambria Math" w:eastAsia="Cambria Math"/>
                <w:sz w:val="28"/>
                <w:szCs w:val="28"/>
              </w:rPr>
              <m:t>N</m:t>
            </m:r>
          </m:e>
          <m:sub>
            <m:r>
              <m:rPr/>
              <w:rPr>
                <w:rFonts w:ascii="Cambria Math" w:hAnsi="Cambria Math" w:eastAsia="Cambria Math"/>
                <w:sz w:val="28"/>
                <w:szCs w:val="28"/>
              </w:rPr>
              <m:t>visits</m:t>
            </m:r>
          </m:sub>
        </m:sSub>
        <m:r>
          <m:rPr/>
          <w:rPr>
            <w:rFonts w:ascii="Cambria Math" w:hAnsi="Cambria Math" w:eastAsia="Cambria Math"/>
            <w:sz w:val="28"/>
            <w:szCs w:val="28"/>
          </w:rPr>
          <m:t>×</m:t>
        </m:r>
        <m:sSub>
          <m:sSubPr/>
          <m:e>
            <m:r>
              <m:rPr/>
              <w:rPr>
                <w:rFonts w:ascii="Cambria Math" w:hAnsi="Cambria Math" w:eastAsia="Cambria Math"/>
                <w:sz w:val="28"/>
                <w:szCs w:val="28"/>
              </w:rPr>
              <m:t>r</m:t>
            </m:r>
          </m:e>
          <m:sub>
            <m:r>
              <m:rPr/>
              <w:rPr>
                <w:rFonts w:ascii="Cambria Math" w:hAnsi="Cambria Math" w:eastAsia="Cambria Math"/>
                <w:sz w:val="28"/>
                <w:szCs w:val="28"/>
              </w:rPr>
              <m:t>noshow</m:t>
            </m:r>
          </m:sub>
        </m:sSub>
        <m:r>
          <m:rPr/>
          <w:rPr>
            <w:rFonts w:ascii="Cambria Math" w:hAnsi="Cambria Math" w:eastAsia="Cambria Math"/>
            <w:sz w:val="28"/>
            <w:szCs w:val="28"/>
          </w:rPr>
          <m:t>×</m:t>
        </m:r>
        <m:sSub>
          <m:sSubPr/>
          <m:e>
            <m:r>
              <m:rPr/>
              <w:rPr>
                <w:rFonts w:ascii="Cambria Math" w:hAnsi="Cambria Math" w:eastAsia="Cambria Math"/>
                <w:sz w:val="28"/>
                <w:szCs w:val="28"/>
              </w:rPr>
              <m:t>k</m:t>
            </m:r>
          </m:e>
          <m:sub>
            <m:r>
              <m:rPr/>
              <w:rPr>
                <w:rFonts w:ascii="Cambria Math" w:hAnsi="Cambria Math" w:eastAsia="Cambria Math"/>
                <w:sz w:val="28"/>
                <w:szCs w:val="28"/>
              </w:rPr>
              <m:t>reminder</m:t>
            </m:r>
          </m:sub>
        </m:sSub>
        <m:r>
          <m:rPr/>
          <w:rPr>
            <w:rFonts w:ascii="Cambria Math" w:hAnsi="Cambria Math" w:eastAsia="Cambria Math"/>
            <w:sz w:val="28"/>
            <w:szCs w:val="28"/>
          </w:rPr>
          <m:t>×AvgTicket</m:t>
        </m:r>
      </m:oMath>
      <w: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(3.1)</w:t>
      </w:r>
    </w:p>
    <w:p w14:paraId="2198F126">
      <w:pPr>
        <w:tabs>
          <w:tab w:val="center" w:pos="4677"/>
          <w:tab w:val="right" w:pos="9355"/>
        </w:tabs>
        <w:spacing w:before="0" w:after="0" w:line="360" w:lineRule="auto"/>
        <w:ind w:firstLine="0"/>
        <w:jc w:val="center"/>
      </w:pPr>
      <w:r>
        <w:tab/>
      </w:r>
      <m:oMath>
        <m:sSub>
          <m:sSubPr/>
          <m:e>
            <m:r>
              <m:rPr/>
              <w:rPr>
                <w:rFonts w:ascii="Cambria Math" w:hAnsi="Cambria Math" w:eastAsia="Cambria Math"/>
                <w:sz w:val="28"/>
                <w:szCs w:val="28"/>
              </w:rPr>
              <m:t>ΔRevenue</m:t>
            </m:r>
          </m:e>
          <m:sub>
            <m:r>
              <m:rPr/>
              <w:rPr>
                <w:rFonts w:ascii="Cambria Math" w:hAnsi="Cambria Math" w:eastAsia="Cambria Math"/>
                <w:sz w:val="28"/>
                <w:szCs w:val="28"/>
              </w:rPr>
              <m:t>retention</m:t>
            </m:r>
          </m:sub>
        </m:sSub>
        <m:r>
          <m:rPr/>
          <w:rPr>
            <w:rFonts w:ascii="Cambria Math" w:hAnsi="Cambria Math" w:eastAsia="Cambria Math"/>
            <w:sz w:val="28"/>
            <w:szCs w:val="28"/>
          </w:rPr>
          <m:t>=</m:t>
        </m:r>
        <m:sSub>
          <m:sSubPr/>
          <m:e>
            <m:r>
              <m:rPr/>
              <w:rPr>
                <w:rFonts w:ascii="Cambria Math" w:hAnsi="Cambria Math" w:eastAsia="Cambria Math"/>
                <w:sz w:val="28"/>
                <w:szCs w:val="28"/>
              </w:rPr>
              <m:t>N</m:t>
            </m:r>
          </m:e>
          <m:sub>
            <m:r>
              <m:rPr/>
              <w:rPr>
                <w:rFonts w:ascii="Cambria Math" w:hAnsi="Cambria Math" w:eastAsia="Cambria Math"/>
                <w:sz w:val="28"/>
                <w:szCs w:val="28"/>
              </w:rPr>
              <m:t>active</m:t>
            </m:r>
          </m:sub>
        </m:sSub>
        <m:r>
          <m:rPr/>
          <w:rPr>
            <w:rFonts w:ascii="Cambria Math" w:hAnsi="Cambria Math" w:eastAsia="Cambria Math"/>
            <w:sz w:val="28"/>
            <w:szCs w:val="28"/>
          </w:rPr>
          <m:t>×ΔRetention×AvgLTV</m:t>
        </m:r>
      </m:oMath>
      <w: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(3.2)</w:t>
      </w:r>
    </w:p>
    <w:p w14:paraId="28E7AA6B">
      <w:pPr>
        <w:tabs>
          <w:tab w:val="center" w:pos="4677"/>
          <w:tab w:val="right" w:pos="9355"/>
        </w:tabs>
        <w:spacing w:before="0" w:after="0" w:line="360" w:lineRule="auto"/>
        <w:ind w:firstLine="0"/>
        <w:jc w:val="center"/>
      </w:pPr>
      <w:r>
        <w:tab/>
      </w:r>
      <m:oMath>
        <m:r>
          <m:rPr/>
          <w:rPr>
            <w:rFonts w:ascii="Cambria Math" w:hAnsi="Cambria Math" w:eastAsia="Cambria Math"/>
            <w:sz w:val="28"/>
            <w:szCs w:val="28"/>
          </w:rPr>
          <m:t>Payback=</m:t>
        </m:r>
        <m:f>
          <m:fPr/>
          <m:num>
            <m:r>
              <m:rPr/>
              <w:rPr>
                <w:rFonts w:ascii="Cambria Math" w:hAnsi="Cambria Math" w:eastAsia="Cambria Math"/>
                <w:sz w:val="28"/>
                <w:szCs w:val="28"/>
              </w:rPr>
              <m:t>CAPEX</m:t>
            </m:r>
          </m:num>
          <m:den>
            <m:r>
              <m:rPr/>
              <w:rPr>
                <w:rFonts w:ascii="Cambria Math" w:hAnsi="Cambria Math" w:eastAsia="Cambria Math"/>
                <w:sz w:val="28"/>
                <w:szCs w:val="28"/>
              </w:rPr>
              <m:t>(</m:t>
            </m:r>
            <m:sSub>
              <m:sSubPr/>
              <m:e>
                <m:r>
                  <m:rPr/>
                  <w:rPr>
                    <w:rFonts w:ascii="Cambria Math" w:hAnsi="Cambria Math" w:eastAsia="Cambria Math"/>
                    <w:sz w:val="28"/>
                    <w:szCs w:val="28"/>
                  </w:rPr>
                  <m:t>Economy</m:t>
                </m:r>
              </m:e>
              <m:sub>
                <m:r>
                  <m:rPr/>
                  <w:rPr>
                    <w:rFonts w:ascii="Cambria Math" w:hAnsi="Cambria Math" w:eastAsia="Cambria Math"/>
                    <w:sz w:val="28"/>
                    <w:szCs w:val="28"/>
                  </w:rPr>
                  <m:t>noshow</m:t>
                </m:r>
              </m:sub>
            </m:sSub>
            <m:r>
              <m:rPr/>
              <w:rPr>
                <w:rFonts w:ascii="Cambria Math" w:hAnsi="Cambria Math" w:eastAsia="Cambria Math"/>
                <w:sz w:val="28"/>
                <w:szCs w:val="28"/>
              </w:rPr>
              <m:t>+</m:t>
            </m:r>
            <m:sSub>
              <m:sSubPr/>
              <m:e>
                <m:r>
                  <m:rPr/>
                  <w:rPr>
                    <w:rFonts w:ascii="Cambria Math" w:hAnsi="Cambria Math" w:eastAsia="Cambria Math"/>
                    <w:sz w:val="28"/>
                    <w:szCs w:val="28"/>
                  </w:rPr>
                  <m:t>ΔRevenue</m:t>
                </m:r>
              </m:e>
              <m:sub>
                <m:r>
                  <m:rPr/>
                  <w:rPr>
                    <w:rFonts w:ascii="Cambria Math" w:hAnsi="Cambria Math" w:eastAsia="Cambria Math"/>
                    <w:sz w:val="28"/>
                    <w:szCs w:val="28"/>
                  </w:rPr>
                  <m:t>retention</m:t>
                </m:r>
              </m:sub>
            </m:sSub>
            <m:r>
              <m:rPr/>
              <w:rPr>
                <w:rFonts w:ascii="Cambria Math" w:hAnsi="Cambria Math" w:eastAsia="Cambria Math"/>
                <w:sz w:val="28"/>
                <w:szCs w:val="28"/>
              </w:rPr>
              <m:t>−12×</m:t>
            </m:r>
            <m:sSub>
              <m:sSubPr/>
              <m:e>
                <m:r>
                  <m:rPr/>
                  <w:rPr>
                    <w:rFonts w:ascii="Cambria Math" w:hAnsi="Cambria Math" w:eastAsia="Cambria Math"/>
                    <w:sz w:val="28"/>
                    <w:szCs w:val="28"/>
                  </w:rPr>
                  <m:t>OPEX</m:t>
                </m:r>
              </m:e>
              <m:sub>
                <m:r>
                  <m:rPr/>
                  <w:rPr>
                    <w:rFonts w:ascii="Cambria Math" w:hAnsi="Cambria Math" w:eastAsia="Cambria Math"/>
                    <w:sz w:val="28"/>
                    <w:szCs w:val="28"/>
                  </w:rPr>
                  <m:t>monthly</m:t>
                </m:r>
              </m:sub>
            </m:sSub>
            <m:r>
              <m:rPr/>
              <w:rPr>
                <w:rFonts w:ascii="Cambria Math" w:hAnsi="Cambria Math" w:eastAsia="Cambria Math"/>
                <w:sz w:val="28"/>
                <w:szCs w:val="28"/>
              </w:rPr>
              <m:t>)</m:t>
            </m:r>
          </m:den>
        </m:f>
      </m:oMath>
      <w: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(3.3)</w:t>
      </w:r>
    </w:p>
    <w:p w14:paraId="58421F1B">
      <w:pPr>
        <w:tabs>
          <w:tab w:val="center" w:pos="4677"/>
          <w:tab w:val="right" w:pos="9355"/>
        </w:tabs>
        <w:spacing w:before="0" w:after="0" w:line="360" w:lineRule="auto"/>
        <w:ind w:firstLine="0"/>
        <w:jc w:val="center"/>
      </w:pPr>
      <w:r>
        <w:tab/>
      </w:r>
      <m:oMath>
        <m:sSub>
          <m:sSubPr/>
          <m:e>
            <m:r>
              <m:rPr/>
              <w:rPr>
                <w:rFonts w:ascii="Cambria Math" w:hAnsi="Cambria Math" w:eastAsia="Cambria Math"/>
                <w:sz w:val="28"/>
                <w:szCs w:val="28"/>
              </w:rPr>
              <m:t>ROI</m:t>
            </m:r>
          </m:e>
          <m:sub>
            <m:r>
              <m:rPr/>
              <w:rPr>
                <w:rFonts w:ascii="Cambria Math" w:hAnsi="Cambria Math" w:eastAsia="Cambria Math"/>
                <w:sz w:val="28"/>
                <w:szCs w:val="28"/>
              </w:rPr>
              <m:t>24mo</m:t>
            </m:r>
          </m:sub>
        </m:sSub>
        <m:r>
          <m:rPr/>
          <w:rPr>
            <w:rFonts w:ascii="Cambria Math" w:hAnsi="Cambria Math" w:eastAsia="Cambria Math"/>
            <w:sz w:val="28"/>
            <w:szCs w:val="28"/>
          </w:rPr>
          <m:t>=</m:t>
        </m:r>
        <m:f>
          <m:fPr/>
          <m:num>
            <m:r>
              <m:rPr/>
              <w:rPr>
                <w:rFonts w:ascii="Cambria Math" w:hAnsi="Cambria Math" w:eastAsia="Cambria Math"/>
                <w:sz w:val="28"/>
                <w:szCs w:val="28"/>
              </w:rPr>
              <m:t>(2×(</m:t>
            </m:r>
            <m:sSub>
              <m:sSubPr/>
              <m:e>
                <m:r>
                  <m:rPr/>
                  <w:rPr>
                    <w:rFonts w:ascii="Cambria Math" w:hAnsi="Cambria Math" w:eastAsia="Cambria Math"/>
                    <w:sz w:val="28"/>
                    <w:szCs w:val="28"/>
                  </w:rPr>
                  <m:t>Economy</m:t>
                </m:r>
              </m:e>
              <m:sub>
                <m:r>
                  <m:rPr/>
                  <w:rPr>
                    <w:rFonts w:ascii="Cambria Math" w:hAnsi="Cambria Math" w:eastAsia="Cambria Math"/>
                    <w:sz w:val="28"/>
                    <w:szCs w:val="28"/>
                  </w:rPr>
                  <m:t>noshow</m:t>
                </m:r>
              </m:sub>
            </m:sSub>
            <m:r>
              <m:rPr/>
              <w:rPr>
                <w:rFonts w:ascii="Cambria Math" w:hAnsi="Cambria Math" w:eastAsia="Cambria Math"/>
                <w:sz w:val="28"/>
                <w:szCs w:val="28"/>
              </w:rPr>
              <m:t>+</m:t>
            </m:r>
            <m:sSub>
              <m:sSubPr/>
              <m:e>
                <m:r>
                  <m:rPr/>
                  <w:rPr>
                    <w:rFonts w:ascii="Cambria Math" w:hAnsi="Cambria Math" w:eastAsia="Cambria Math"/>
                    <w:sz w:val="28"/>
                    <w:szCs w:val="28"/>
                  </w:rPr>
                  <m:t>ΔRevenue</m:t>
                </m:r>
              </m:e>
              <m:sub>
                <m:r>
                  <m:rPr/>
                  <w:rPr>
                    <w:rFonts w:ascii="Cambria Math" w:hAnsi="Cambria Math" w:eastAsia="Cambria Math"/>
                    <w:sz w:val="28"/>
                    <w:szCs w:val="28"/>
                  </w:rPr>
                  <m:t>retention</m:t>
                </m:r>
              </m:sub>
            </m:sSub>
            <m:r>
              <m:rPr/>
              <w:rPr>
                <w:rFonts w:ascii="Cambria Math" w:hAnsi="Cambria Math" w:eastAsia="Cambria Math"/>
                <w:sz w:val="28"/>
                <w:szCs w:val="28"/>
              </w:rPr>
              <m:t>)−CAPEX−24×</m:t>
            </m:r>
            <m:sSub>
              <m:sSubPr/>
              <m:e>
                <m:r>
                  <m:rPr/>
                  <w:rPr>
                    <w:rFonts w:ascii="Cambria Math" w:hAnsi="Cambria Math" w:eastAsia="Cambria Math"/>
                    <w:sz w:val="28"/>
                    <w:szCs w:val="28"/>
                  </w:rPr>
                  <m:t>OPEX</m:t>
                </m:r>
              </m:e>
              <m:sub>
                <m:r>
                  <m:rPr/>
                  <w:rPr>
                    <w:rFonts w:ascii="Cambria Math" w:hAnsi="Cambria Math" w:eastAsia="Cambria Math"/>
                    <w:sz w:val="28"/>
                    <w:szCs w:val="28"/>
                  </w:rPr>
                  <m:t>monthly</m:t>
                </m:r>
              </m:sub>
            </m:sSub>
            <m:r>
              <m:rPr/>
              <w:rPr>
                <w:rFonts w:ascii="Cambria Math" w:hAnsi="Cambria Math" w:eastAsia="Cambria Math"/>
                <w:sz w:val="28"/>
                <w:szCs w:val="28"/>
              </w:rPr>
              <m:t>)</m:t>
            </m:r>
          </m:num>
          <m:den>
            <m:r>
              <m:rPr/>
              <w:rPr>
                <w:rFonts w:ascii="Cambria Math" w:hAnsi="Cambria Math" w:eastAsia="Cambria Math"/>
                <w:sz w:val="28"/>
                <w:szCs w:val="28"/>
              </w:rPr>
              <m:t>CAPEX</m:t>
            </m:r>
          </m:den>
        </m:f>
      </m:oMath>
      <w:r>
        <w:tab/>
      </w:r>
      <w:r>
        <w:rPr>
          <w:rFonts w:ascii="Times New Roman" w:hAnsi="Times New Roman" w:eastAsia="Times New Roman" w:cs="Times New Roman"/>
          <w:color w:val="000000"/>
          <w:sz w:val="28"/>
        </w:rPr>
        <w:t>(3.4)</w:t>
      </w:r>
    </w:p>
    <w:p w14:paraId="090D4093">
      <w:pPr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где Economy_noshow — годовая экономия от сокращения неявок; N_visits — число визитов за год; r_noshow — базовый уровень неявок; k_reminder — относительное снижение неявок за счёт напоминаний; AvgTicket — средний чек первичного приёма; ΔRevenue_retention — прирост выручки за счёт удержания; N_active — число активных пациентов; ΔRetention — прирост удержания; AvgLTV — средний жизненный доход от пациента; CAPEX — капитальные затраты; OPEX_monthly — ежемесячные операционные затраты.</w:t>
      </w:r>
    </w:p>
    <w:p w14:paraId="5C3C31DA"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Таблица 3.24 – Чувствительность периода окупаемости к ключевым допущениям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61"/>
        <w:gridCol w:w="2348"/>
        <w:gridCol w:w="1278"/>
        <w:gridCol w:w="2277"/>
        <w:gridCol w:w="1907"/>
      </w:tblGrid>
      <w:tr w14:paraId="094EE69E">
        <w:tc>
          <w:tcPr>
            <w:tcW w:w="2608" w:type="dxa"/>
            <w:vAlign w:val="center"/>
          </w:tcPr>
          <w:p w14:paraId="158AEA3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Параметр</w:t>
            </w:r>
          </w:p>
        </w:tc>
        <w:tc>
          <w:tcPr>
            <w:tcW w:w="1587" w:type="dxa"/>
            <w:vAlign w:val="center"/>
          </w:tcPr>
          <w:p w14:paraId="0C7913C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Пессимистичный</w:t>
            </w:r>
          </w:p>
        </w:tc>
        <w:tc>
          <w:tcPr>
            <w:tcW w:w="1587" w:type="dxa"/>
            <w:vAlign w:val="center"/>
          </w:tcPr>
          <w:p w14:paraId="4A22BE8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Базовый</w:t>
            </w:r>
          </w:p>
        </w:tc>
        <w:tc>
          <w:tcPr>
            <w:tcW w:w="1587" w:type="dxa"/>
            <w:vAlign w:val="center"/>
          </w:tcPr>
          <w:p w14:paraId="13019AA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Оптимистичный</w:t>
            </w:r>
          </w:p>
        </w:tc>
        <w:tc>
          <w:tcPr>
            <w:tcW w:w="1984" w:type="dxa"/>
            <w:vAlign w:val="center"/>
          </w:tcPr>
          <w:p w14:paraId="30C38A5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Комментарий</w:t>
            </w:r>
          </w:p>
        </w:tc>
      </w:tr>
      <w:tr w14:paraId="1A7A30CF">
        <w:tc>
          <w:tcPr>
            <w:tcW w:w="2608" w:type="dxa"/>
            <w:vAlign w:val="center"/>
          </w:tcPr>
          <w:p w14:paraId="0AF6131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No-show до внедрения, %</w:t>
            </w:r>
          </w:p>
        </w:tc>
        <w:tc>
          <w:tcPr>
            <w:tcW w:w="1587" w:type="dxa"/>
            <w:vAlign w:val="center"/>
          </w:tcPr>
          <w:p w14:paraId="5FFD8B0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12,0 %</w:t>
            </w:r>
          </w:p>
        </w:tc>
        <w:tc>
          <w:tcPr>
            <w:tcW w:w="1587" w:type="dxa"/>
            <w:vAlign w:val="center"/>
          </w:tcPr>
          <w:p w14:paraId="59A5FF7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18,0 %</w:t>
            </w:r>
          </w:p>
        </w:tc>
        <w:tc>
          <w:tcPr>
            <w:tcW w:w="1587" w:type="dxa"/>
            <w:vAlign w:val="center"/>
          </w:tcPr>
          <w:p w14:paraId="474DD01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25,0 %</w:t>
            </w:r>
          </w:p>
        </w:tc>
        <w:tc>
          <w:tcPr>
            <w:tcW w:w="1984" w:type="dxa"/>
            <w:vAlign w:val="center"/>
          </w:tcPr>
          <w:p w14:paraId="540935D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Диапазон по отраслевым данным</w:t>
            </w:r>
          </w:p>
        </w:tc>
      </w:tr>
      <w:tr w14:paraId="189797D6">
        <w:tc>
          <w:tcPr>
            <w:tcW w:w="2608" w:type="dxa"/>
            <w:vAlign w:val="center"/>
          </w:tcPr>
          <w:p w14:paraId="72FD5FB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Прирост удержания ΔRetention, п.п.</w:t>
            </w:r>
          </w:p>
        </w:tc>
        <w:tc>
          <w:tcPr>
            <w:tcW w:w="1587" w:type="dxa"/>
            <w:vAlign w:val="center"/>
          </w:tcPr>
          <w:p w14:paraId="31B3C4F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+1,5</w:t>
            </w:r>
          </w:p>
        </w:tc>
        <w:tc>
          <w:tcPr>
            <w:tcW w:w="1587" w:type="dxa"/>
            <w:vAlign w:val="center"/>
          </w:tcPr>
          <w:p w14:paraId="3FC4F16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+3,0</w:t>
            </w:r>
          </w:p>
        </w:tc>
        <w:tc>
          <w:tcPr>
            <w:tcW w:w="1587" w:type="dxa"/>
            <w:vAlign w:val="center"/>
          </w:tcPr>
          <w:p w14:paraId="39FF86D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+5,0</w:t>
            </w:r>
          </w:p>
        </w:tc>
        <w:tc>
          <w:tcPr>
            <w:tcW w:w="1984" w:type="dxa"/>
            <w:vAlign w:val="center"/>
          </w:tcPr>
          <w:p w14:paraId="61A4127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Модельная оценка, валидация в пилоте</w:t>
            </w:r>
          </w:p>
        </w:tc>
      </w:tr>
      <w:tr w14:paraId="57DC50D9">
        <w:tc>
          <w:tcPr>
            <w:tcW w:w="2608" w:type="dxa"/>
            <w:vAlign w:val="center"/>
          </w:tcPr>
          <w:p w14:paraId="2DDC547D">
            <w:pPr>
              <w:spacing w:before="0" w:after="0" w:line="240" w:lineRule="auto"/>
              <w:ind w:firstLine="0"/>
              <w:jc w:val="left"/>
              <w:rPr>
                <w:rFonts w:hint="default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 xml:space="preserve">Средний LTV пациента, </w:t>
            </w:r>
            <w:r>
              <w:rPr>
                <w:rFonts w:cs="Times New Roman"/>
                <w:b w:val="0"/>
                <w:color w:val="000000"/>
                <w:sz w:val="28"/>
                <w:lang w:val="ru-RU"/>
              </w:rPr>
              <w:t>руб.</w:t>
            </w:r>
          </w:p>
        </w:tc>
        <w:tc>
          <w:tcPr>
            <w:tcW w:w="1587" w:type="dxa"/>
            <w:vAlign w:val="center"/>
          </w:tcPr>
          <w:p w14:paraId="17A0EE4A">
            <w:pPr>
              <w:spacing w:before="0" w:after="0" w:line="240" w:lineRule="auto"/>
              <w:ind w:firstLine="0"/>
              <w:jc w:val="left"/>
              <w:rPr>
                <w:rFonts w:hint="default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 xml:space="preserve">80 000 </w:t>
            </w:r>
            <w:r>
              <w:rPr>
                <w:rFonts w:cs="Times New Roman"/>
                <w:b w:val="0"/>
                <w:color w:val="000000"/>
                <w:sz w:val="28"/>
                <w:lang w:val="ru-RU"/>
              </w:rPr>
              <w:t>руб.</w:t>
            </w:r>
          </w:p>
        </w:tc>
        <w:tc>
          <w:tcPr>
            <w:tcW w:w="1587" w:type="dxa"/>
            <w:vAlign w:val="center"/>
          </w:tcPr>
          <w:p w14:paraId="33B7191C">
            <w:pPr>
              <w:spacing w:before="0" w:after="0" w:line="240" w:lineRule="auto"/>
              <w:ind w:firstLine="0"/>
              <w:jc w:val="left"/>
              <w:rPr>
                <w:rFonts w:hint="default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 xml:space="preserve">120 000 </w:t>
            </w:r>
            <w:r>
              <w:rPr>
                <w:rFonts w:cs="Times New Roman"/>
                <w:b w:val="0"/>
                <w:color w:val="000000"/>
                <w:sz w:val="28"/>
                <w:lang w:val="ru-RU"/>
              </w:rPr>
              <w:t>руб.</w:t>
            </w:r>
          </w:p>
        </w:tc>
        <w:tc>
          <w:tcPr>
            <w:tcW w:w="1587" w:type="dxa"/>
            <w:vAlign w:val="center"/>
          </w:tcPr>
          <w:p w14:paraId="691D917F">
            <w:pPr>
              <w:spacing w:before="0" w:after="0" w:line="240" w:lineRule="auto"/>
              <w:ind w:firstLine="0"/>
              <w:jc w:val="left"/>
              <w:rPr>
                <w:rFonts w:hint="default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 xml:space="preserve">180 000 </w:t>
            </w:r>
            <w:r>
              <w:rPr>
                <w:rFonts w:cs="Times New Roman"/>
                <w:b w:val="0"/>
                <w:color w:val="000000"/>
                <w:sz w:val="28"/>
                <w:lang w:val="ru-RU"/>
              </w:rPr>
              <w:t>руб.</w:t>
            </w:r>
          </w:p>
        </w:tc>
        <w:tc>
          <w:tcPr>
            <w:tcW w:w="1984" w:type="dxa"/>
            <w:vAlign w:val="center"/>
          </w:tcPr>
          <w:p w14:paraId="13D13EA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Гипотеза, требует валидации</w:t>
            </w:r>
          </w:p>
        </w:tc>
      </w:tr>
      <w:tr w14:paraId="2611FAD7">
        <w:tc>
          <w:tcPr>
            <w:tcW w:w="2608" w:type="dxa"/>
            <w:vAlign w:val="center"/>
          </w:tcPr>
          <w:p w14:paraId="07F23C5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Срок окупаемости</w:t>
            </w:r>
          </w:p>
        </w:tc>
        <w:tc>
          <w:tcPr>
            <w:tcW w:w="1587" w:type="dxa"/>
            <w:vAlign w:val="center"/>
          </w:tcPr>
          <w:p w14:paraId="781A036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не достигается</w:t>
            </w:r>
          </w:p>
        </w:tc>
        <w:tc>
          <w:tcPr>
            <w:tcW w:w="1587" w:type="dxa"/>
            <w:vAlign w:val="center"/>
          </w:tcPr>
          <w:p w14:paraId="2A064A8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19,1 мес.</w:t>
            </w:r>
          </w:p>
        </w:tc>
        <w:tc>
          <w:tcPr>
            <w:tcW w:w="1587" w:type="dxa"/>
            <w:vAlign w:val="center"/>
          </w:tcPr>
          <w:p w14:paraId="570EDB7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5,7 мес.</w:t>
            </w:r>
          </w:p>
        </w:tc>
        <w:tc>
          <w:tcPr>
            <w:tcW w:w="1984" w:type="dxa"/>
            <w:vAlign w:val="center"/>
          </w:tcPr>
          <w:p w14:paraId="15C1EB9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Расчёт по формуле Payback выше</w:t>
            </w:r>
          </w:p>
        </w:tc>
      </w:tr>
    </w:tbl>
    <w:p w14:paraId="49C66399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В базовом сценарии годовая экономия на неявках — 3,92 млн руб., прогнозируемый прирост выручки от удержания — 21,60 млн руб. При годовых операционных затратах 9,21 млн руб. чистый годовой эффект — 16,30 млн руб. Срок окупаемости в базовом сценарии — 19,1 мес., ROI за 24 месяца — 25 %. Значения прогнозные: окончательные цифры уточняются по итогам пилота одной клиники сети и пересчитываются после подтверждения фактических LTV, доли no-show и прироста удержания.</w:t>
      </w:r>
    </w:p>
    <w:p w14:paraId="7D05F646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Выводы по подразделу. Прогноз опирается на проверяемые отраслевые метрики и явно помеченные модельные допущения. В базовом сценарии окупаемость — 19 месяцев; основные источники чувствительности — LTV и прирост удержания, которые уточняются в пилоте.</w:t>
      </w:r>
    </w:p>
    <w:p w14:paraId="0F62C880">
      <w:pPr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Выводы по главе 3</w:t>
      </w:r>
    </w:p>
    <w:p w14:paraId="6DBBCE32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1. Описан концепт мобильного приложения для сети стоматологических клиник с тремя направлениями пользовательской ценности — запись без звонка, единый профиль пациента и оформление социального налогового вычета — и зафиксированными границами MVP.</w:t>
      </w:r>
    </w:p>
    <w:p w14:paraId="4C7A0586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2. Сформулированы 12 функциональных и 7 нефункциональных требований; они задают техническую рамку для разработки первой версии продукта и перечень приёмочных условий.</w:t>
      </w:r>
    </w:p>
    <w:p w14:paraId="5A55A897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3. Проработаны три роли пользователей, четыре пользовательские истории и три варианта использования; они описывают основные пути взаимодействия пациента с продуктом.</w:t>
      </w:r>
    </w:p>
    <w:p w14:paraId="67C92679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4. Предложена четырёхслойная архитектура — клиенты, шлюз, доменные сервисы и хранилища — с отдельной фоновой очередью; для каждого слоя обоснован технологический стек.</w:t>
      </w:r>
    </w:p>
    <w:p w14:paraId="37DF76CB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5. Спроектирована модель данных из шести базовых сущностей со связями; схема допускает последующее расширение под план лечения и карту зубов формата FDI.</w:t>
      </w:r>
    </w:p>
    <w:p w14:paraId="39C3AEB8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6. Собран кликабельный прототип ключевых экранов и мокапы недостающих интерфейсов; они фиксируют пользовательский опыт до начала полноценной разработки.</w:t>
      </w:r>
    </w:p>
    <w:p w14:paraId="0787CA13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7. Перечислены 13 внешних интеграций и 5 основных законодательных требований, описаны меры информационной безопасности уровня защищённости УЗ-3; обоснован статус «не медицинское изделие» по 323-ФЗ.</w:t>
      </w:r>
    </w:p>
    <w:p w14:paraId="6AA35697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8. Построен прогнозный расчёт экономической эффективности базового сценария внедрения в одной клинике сети с явно помеченными модельными допущениями; валидация проводится в пилоте продолжительностью 2–3 месяца.</w:t>
      </w:r>
    </w:p>
    <w:p w14:paraId="25E270AF">
      <w:r>
        <w:br w:type="page"/>
      </w:r>
    </w:p>
    <w:p w14:paraId="4726901C">
      <w:pPr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СПИСОК ИСПОЛЬЗОВАННЫХ ИСТОЧНИКОВ</w:t>
      </w:r>
    </w:p>
    <w:p w14:paraId="1B83D7E0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1. Анализ рынка стоматологических услуг в России в 2021–2025 гг., прогноз на 2026–2030 гг. : отраслевой отчёт / BusinesStat. – Москва, 2025. – 90 с. – URL: https://businesstat.ru/catalog/id1971/ (дата обращения: 20.04.2026).</w:t>
      </w:r>
    </w:p>
    <w:p w14:paraId="1F0EFAE4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2. ГОСТ 34.602-89. Информационная технология. Комплекс стандартов на автоматизированные системы. Техническое задание на создание автоматизированной системы. – Москва : Издательство стандартов, 1990. – 12 с.</w:t>
      </w:r>
    </w:p>
    <w:p w14:paraId="1856BD26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3. ISO/IEC 25010:2011. Systems and software engineering — Systems and software Quality Requirements and Evaluation (SQuaRE) — System and software quality models. – Geneva : ISO, 2011. – 34 p.</w:t>
      </w:r>
    </w:p>
    <w:p w14:paraId="1793D064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4. ГОСТ Р 52872-2019. Интернет-ресурсы и другая информация, представленная в электронно-цифровой форме. Приложения для стационарных и мобильных устройств, иные пользовательские интерфейсы. Требования доступности для людей с инвалидностью и других лиц с ограничениями жизнедеятельности. – Москва : Стандартинформ, 2019. – 28 с.</w:t>
      </w:r>
    </w:p>
    <w:p w14:paraId="6B9AB0B2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5. PostgreSQL 16 Documentation. Chapter 5. Data Definition. Row Security Policies. – URL: https://www.postgresql.org/docs/16/ddl-rowsecurity.html (дата обращения: 20.04.2026).</w:t>
      </w:r>
    </w:p>
    <w:p w14:paraId="7CA3442D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6. Redis Documentation. Redlock — distributed lock manager. – URL: https://redis.io/docs/latest/develop/use/patterns/distributed-locks/ (дата обращения: 20.04.2026).</w:t>
      </w:r>
    </w:p>
    <w:p w14:paraId="0DACF586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7. React Native Documentation. The React Native Architecture. – Meta Platforms, Inc., 2025. – URL: https://reactnative.dev/architecture/overview (дата обращения: 20.04.2026).</w:t>
      </w:r>
    </w:p>
    <w:p w14:paraId="151D5788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8. NestJS Documentation. Fundamentals: Modules and Dependency Injection. – URL: https://docs.nestjs.com/fundamentals/custom-providers (дата обращения: 20.04.2026).</w:t>
      </w:r>
    </w:p>
    <w:p w14:paraId="466C3530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9. The OAuth 2.0 Authorization Framework : RFC 6749 / ed. D. Hardt. – Internet Engineering Task Force, 2012. – 76 p. – URL: https://www.rfc-editor.org/rfc/rfc6749 (дата обращения: 20.04.2026).</w:t>
      </w:r>
    </w:p>
    <w:p w14:paraId="6434D881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10. О персональных данных : Федер. закон от 27.07.2006 № 152-ФЗ : принят Гос. Думой 8 июля 2006 г. : ред. от 24.06.2025 // Собрание законодательства Российской Федерации. – 2006. – № 31, ст. 3451.</w:t>
      </w:r>
    </w:p>
    <w:p w14:paraId="4BC036B1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11. Об основах охраны здоровья граждан в Российской Федерации : Федер. закон от 21.11.2011 № 323-ФЗ : принят Гос. Думой 1 ноября 2011 г. : ред. от 29.12.2025 // Собрание законодательства Российской Федерации. – 2011. – № 48, ст. 6724.</w:t>
      </w:r>
    </w:p>
    <w:p w14:paraId="69D28AE7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12. Налоговый кодекс Российской Федерации (часть вторая) от 05.08.2000 № 117-ФЗ. Статья 219. Социальные налоговые вычеты : ред. от 01.01.2026. – URL: http://www.consultant.ru/document/cons_doc_LAW_28165/ (дата обращения: 20.04.2026).</w:t>
      </w:r>
    </w:p>
    <w:p w14:paraId="181ED5A0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13. О рекламе : Федер. закон от 13.03.2006 № 38-ФЗ : принят Гос. Думой 22 февраля 2006 г. : ред. от 27.10.2025. Статья 24. Реклама лекарственных средств, медицинских услуг, медицинских изделий // Собрание законодательства Российской Федерации. – 2006. – № 12, ст. 1232.</w:t>
      </w:r>
    </w:p>
    <w:p w14:paraId="3AB7A651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14. 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составления. – Москва : Стандартинформ, 2018. – 68 с.</w:t>
      </w:r>
    </w:p>
    <w:p w14:paraId="5EAF5AF5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15. Об утверждении требований к защите персональных данных при их обработке в информационных системах персональных данных : постановление Правительства Российской Федерации от 01.11.2012 № 1119 : ред. от 29.12.2024 // Собрание законодательства Российской Федерации. – 2012. – № 45, ст. 6257.</w:t>
      </w:r>
    </w:p>
    <w:p w14:paraId="7DF9B46B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16. 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 : приказ ФСТЭК России от 18.02.2013 № 21 : ред. от 14.05.2023. – URL: https://fstec.ru/dokumenty/vse-dokumenty/prikazy/prikaz-fstek-rossii-ot-18-fevralya-2013-g-n-21 (дата обращения: 20.04.2026).</w:t>
      </w:r>
    </w:p>
    <w:p w14:paraId="0DB54788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17. OWASP Top 10: The Ten Most Critical Web Application Security Risks. 2021 Edition. – URL: https://owasp.org/Top10/ (дата обращения: 20.04.2026).</w:t>
      </w:r>
    </w:p>
    <w:p w14:paraId="49D6511A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18. ISO/IEC 27001:2022. Information security, cybersecurity and privacy protection — Information security management systems — Requirements. – Geneva : ISO, 2022. – 19 p.</w:t>
      </w:r>
    </w:p>
    <w:p w14:paraId="4572E12B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19. Услуги стоматологов в России резко подорожали : обзор платёжной аналитики / Финансы Mail. – 2025. – 23 апреля. – URL: https://finance.mail.ru/2025-04-23/uslugi-stomatologov-v-rossii-rezko-podorozhali-65839897/ (дата обращения: 20.04.2026).</w:t>
      </w:r>
    </w:p>
    <w:p w14:paraId="6CDB197D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20. The Effectiveness of SMS Reminders on Appointment Attendance : a Meta-Analysis / N. Boksmati, K. Butler-Henderson, K. Anderson, T. Sahama // Journal of Medical Systems. – 2016. – Vol. 40. – Art. 90. – URL: https://pubmed.ncbi.nlm.nih.gov/26852337/ (дата обращения: 20.04.2026).</w:t>
      </w:r>
    </w:p>
    <w:p w14:paraId="6BDFEAC3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21. SMS reminders to improve outpatient attendance for public dental services: A retrospective study / N. Stormon, C. Sexton, C. Chen et al. // Health &amp; Social Care in the Community. – 2022. – Vol. 30, no. 5. – e2255–e2263. – URL: https://pubmed.ncbi.nlm.nih.gov/34850473/ (дата обращения: 20.04.2026).</w:t>
      </w:r>
    </w:p>
    <w:p w14:paraId="7B9DAA4D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22. Yandex Cloud. Managed Service for PostgreSQL. Прайс-лист. – URL: https://yandex.cloud/ru/docs/managed-postgresql/pricing (дата обращения: 20.04.2026).</w:t>
      </w:r>
    </w:p>
    <w:p w14:paraId="6806ECAE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23. Selectel. Облачные серверы и Managed Databases. Прайс-лист. – URL: https://selectel.ru/services/cloud/ (дата обращения: 20.04.2026).</w:t>
      </w:r>
    </w:p>
    <w:sectPr>
      <w:footerReference r:id="rId5" w:type="default"/>
      <w:pgSz w:w="11906" w:h="16838"/>
      <w:pgMar w:top="1134" w:right="850" w:bottom="1134" w:left="170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ambria Math">
    <w:altName w:val="Kingsoft Math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DIN Condensed">
    <w:panose1 w:val="00000500000000000000"/>
    <w:charset w:val="00"/>
    <w:family w:val="auto"/>
    <w:pitch w:val="default"/>
    <w:sig w:usb0="800000AF" w:usb1="5000204A" w:usb2="00000000" w:usb3="00000000" w:csb0="00000001" w:csb1="00000000"/>
  </w:font>
  <w:font w:name="Kingsoft Math">
    <w:panose1 w:val="02040503050406030204"/>
    <w:charset w:val="00"/>
    <w:family w:val="auto"/>
    <w:pitch w:val="default"/>
    <w:sig w:usb0="80000087" w:usb1="00002068" w:usb2="00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D50231">
    <w:pPr>
      <w:pStyle w:val="18"/>
      <w:jc w:val="center"/>
    </w:pPr>
    <w:r>
      <w:rPr>
        <w:rFonts w:ascii="Times New Roman" w:hAnsi="Times New Roman" w:eastAsia="Times New Roman" w:cs="Times New Roman"/>
        <w:color w:val="000000"/>
        <w:sz w:val="28"/>
      </w:rPr>
      <w:fldChar w:fldCharType="begin"/>
    </w:r>
    <w:r>
      <w:rPr>
        <w:rFonts w:ascii="Times New Roman" w:hAnsi="Times New Roman" w:eastAsia="Times New Roman" w:cs="Times New Roman"/>
        <w:color w:val="000000"/>
        <w:sz w:val="28"/>
      </w:rPr>
      <w:instrText xml:space="preserve">PAGE</w:instrText>
    </w:r>
    <w:r>
      <w:rPr>
        <w:rFonts w:ascii="Times New Roman" w:hAnsi="Times New Roman" w:eastAsia="Times New Roman" w:cs="Times New Roman"/>
        <w:color w:val="000000"/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DF57E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Times New Roman" w:cs="Times New Roman"/>
      <w:color w:val="000000"/>
      <w:sz w:val="28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1.xml"/><Relationship Id="rId16" Type="http://schemas.openxmlformats.org/officeDocument/2006/relationships/numbering" Target="numbering.xml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34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Office_12.1.25867.25867_F1E327BC-269C-435d-A152-05C5408002CA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2013-12-23T15:15:00Z</dcterms:created>
  <dc:creator>python-docx</dc:creator>
  <dc:description>generated by python-docx</dc:description>
  <cp:lastModifiedBy>Антон Иванов</cp:lastModifiedBy>
  <dcterms:modified xsi:type="dcterms:W3CDTF">2026-04-21T06:56:57Z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1033-12.1.25867.25867</vt:lpwstr>
  </property>
  <property fmtid="{D5CDD505-2E9C-101B-9397-08002B2CF9AE}" pid="3" name="ICV">
    <vt:lpwstr>DB240545948280FA2982E769CA57CDF2_42</vt:lpwstr>
  </property>
</Properties>
</file>