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5422C">
      <w:pPr>
        <w:pStyle w:val="2"/>
        <w:pageBreakBefore w:val="0"/>
        <w:spacing w:before="0" w:after="0"/>
        <w:jc w:val="center"/>
      </w:pPr>
      <w:bookmarkStart w:id="0" w:name="_Toc368838286"/>
      <w:r>
        <w:rPr>
          <w:rFonts w:ascii="Times New Roman" w:hAnsi="Times New Roman"/>
          <w:b/>
          <w:sz w:val="28"/>
        </w:rPr>
        <w:t>АННОТАЦИЯ</w:t>
      </w:r>
      <w:bookmarkEnd w:id="0"/>
    </w:p>
    <w:p w14:paraId="73190CE0">
      <w:pPr>
        <w:spacing w:before="0" w:after="0"/>
        <w:ind w:firstLine="709"/>
        <w:jc w:val="both"/>
      </w:pPr>
      <w:r>
        <w:rPr>
          <w:rFonts w:ascii="Times New Roman" w:hAnsi="Times New Roman"/>
          <w:b w:val="0"/>
          <w:sz w:val="28"/>
        </w:rPr>
        <w:t>Работа посвящена разработке проектного решения по цифровизации маркетинговых коммуникаций частной стоматологической клиники на основе мобильного приложения для самостоятельной онлайн-записи пациентов.</w:t>
      </w:r>
    </w:p>
    <w:p w14:paraId="74E2AF26">
      <w:pPr>
        <w:spacing w:before="0" w:after="0"/>
        <w:ind w:firstLine="709"/>
        <w:jc w:val="both"/>
      </w:pPr>
      <w:r>
        <w:rPr>
          <w:rFonts w:ascii="Times New Roman" w:hAnsi="Times New Roman"/>
          <w:b w:val="0"/>
          <w:sz w:val="28"/>
        </w:rPr>
        <w:t>Объект исследования — система цифрового маркетинга стоматологической клиники. Предмет исследования — инструменты и процессы взаимодействия с пациентами в цифровых каналах, включая мобильное приложение онлайн-записи.</w:t>
      </w:r>
    </w:p>
    <w:p w14:paraId="7F822E03">
      <w:pPr>
        <w:spacing w:before="0" w:after="0"/>
        <w:ind w:firstLine="709"/>
        <w:jc w:val="both"/>
      </w:pPr>
      <w:r>
        <w:rPr>
          <w:rFonts w:ascii="Times New Roman" w:hAnsi="Times New Roman"/>
          <w:b w:val="0"/>
          <w:sz w:val="28"/>
        </w:rPr>
        <w:t>Цель работы — разработать и обосновать минимально жизнеспособный продукт (MVP) мобильного приложения для онлайн-записи пациентов стоматологической клиники и оценить его экономическую целесообразность.</w:t>
      </w:r>
    </w:p>
    <w:p w14:paraId="25A306FE">
      <w:pPr>
        <w:spacing w:before="0" w:after="0"/>
        <w:ind w:firstLine="709"/>
        <w:jc w:val="both"/>
      </w:pPr>
      <w:r>
        <w:rPr>
          <w:rFonts w:ascii="Times New Roman" w:hAnsi="Times New Roman"/>
          <w:b w:val="0"/>
          <w:sz w:val="28"/>
        </w:rPr>
        <w:t>В ходе исследования применялись: глубинные интервью с пациентами и администраторами клиники; контент-анализ сайта, отзывов и коммуникаций в мессенджерах; A/B-тест сценариев коммуникации; кабинетный анализ отраслевых данных и нормативной базы; финансово-экономический расчёт методами дисконтированного денежного потока (NPV, IRR, DPP).</w:t>
      </w:r>
    </w:p>
    <w:p w14:paraId="52AEE9F0">
      <w:pPr>
        <w:spacing w:before="0" w:after="0"/>
        <w:ind w:firstLine="709"/>
        <w:jc w:val="both"/>
      </w:pPr>
      <w:r>
        <w:rPr>
          <w:rFonts w:ascii="Times New Roman" w:hAnsi="Times New Roman"/>
          <w:b w:val="0"/>
          <w:sz w:val="28"/>
        </w:rPr>
        <w:t>По результатам исследования установлено, что ключевыми барьерами пути пациента служат: телефонная запись как единственный канал, отсутствие единого профиля с историей лечения и документами, высокая доля неявок (no-show). Разработано проектное решение — MVP мобильного приложения с функциями онлайн-записи, единого профиля пациента, поиска врача и сервиса заявки на налоговый вычет. Экономический расчёт подтверждает положительный NPV и возврат инвестиций в течение двух лет при консервативных допущениях.</w:t>
      </w:r>
    </w:p>
    <w:p w14:paraId="7195F420">
      <w:pPr>
        <w:spacing w:before="0" w:after="0"/>
        <w:ind w:firstLine="709"/>
        <w:jc w:val="both"/>
      </w:pPr>
      <w:r>
        <w:rPr>
          <w:rFonts w:ascii="Times New Roman" w:hAnsi="Times New Roman"/>
          <w:b w:val="0"/>
          <w:sz w:val="28"/>
        </w:rPr>
        <w:t>Работа содержит 51 таблицу, 38 рисунков, список использованных источников.</w:t>
      </w:r>
    </w:p>
    <w:p w14:paraId="155F2F4C">
      <w:pPr>
        <w:pStyle w:val="2"/>
        <w:pageBreakBefore/>
        <w:spacing w:before="0" w:after="0"/>
        <w:jc w:val="center"/>
      </w:pPr>
      <w:bookmarkStart w:id="1" w:name="_Toc1427267560"/>
      <w:r>
        <w:rPr>
          <w:rFonts w:ascii="Times New Roman" w:hAnsi="Times New Roman"/>
          <w:b/>
          <w:sz w:val="28"/>
        </w:rPr>
        <w:t>СОДЕРЖАНИЕ</w:t>
      </w:r>
      <w:bookmarkEnd w:id="1"/>
    </w:p>
    <w:p w14:paraId="4A6DE6A9">
      <w:pPr>
        <w:pStyle w:val="38"/>
        <w:tabs>
          <w:tab w:val="right" w:leader="dot" w:pos="9638"/>
        </w:tabs>
        <w:spacing w:before="0" w:after="0"/>
      </w:pPr>
      <w:r>
        <w:fldChar w:fldCharType="begin"/>
      </w:r>
      <w:r>
        <w:instrText xml:space="preserve">TOC \o "1-2" \h \z \u</w:instrText>
      </w:r>
      <w:r>
        <w:fldChar w:fldCharType="separate"/>
      </w:r>
      <w:r>
        <w:fldChar w:fldCharType="begin"/>
      </w:r>
      <w:r>
        <w:instrText xml:space="preserve"> HYPERLINK \l _Toc368838286 </w:instrText>
      </w:r>
      <w:r>
        <w:fldChar w:fldCharType="separate"/>
      </w:r>
      <w:r>
        <w:rPr>
          <w:rFonts w:ascii="Times New Roman" w:hAnsi="Times New Roman"/>
        </w:rPr>
        <w:t>АННОТАЦИЯ</w:t>
      </w:r>
      <w:r>
        <w:tab/>
      </w:r>
      <w:r>
        <w:fldChar w:fldCharType="begin"/>
      </w:r>
      <w:r>
        <w:instrText xml:space="preserve"> PAGEREF _Toc368838286 \h </w:instrText>
      </w:r>
      <w:r>
        <w:fldChar w:fldCharType="separate"/>
      </w:r>
      <w:r>
        <w:t>1</w:t>
      </w:r>
      <w:r>
        <w:fldChar w:fldCharType="end"/>
      </w:r>
      <w:r>
        <w:fldChar w:fldCharType="end"/>
      </w:r>
    </w:p>
    <w:p w14:paraId="4E155EDF">
      <w:pPr>
        <w:pStyle w:val="38"/>
        <w:tabs>
          <w:tab w:val="right" w:leader="dot" w:pos="9638"/>
        </w:tabs>
        <w:spacing w:before="0" w:after="0"/>
      </w:pPr>
      <w:r>
        <w:fldChar w:fldCharType="begin"/>
      </w:r>
      <w:r>
        <w:instrText xml:space="preserve"> HYPERLINK \l _Toc1427267560 </w:instrText>
      </w:r>
      <w:r>
        <w:fldChar w:fldCharType="separate"/>
      </w:r>
      <w:r>
        <w:rPr>
          <w:rFonts w:ascii="Times New Roman" w:hAnsi="Times New Roman"/>
        </w:rPr>
        <w:t>СОДЕРЖАНИЕ</w:t>
      </w:r>
      <w:r>
        <w:tab/>
      </w:r>
      <w:r>
        <w:fldChar w:fldCharType="begin"/>
      </w:r>
      <w:r>
        <w:instrText xml:space="preserve"> PAGEREF _Toc1427267560 \h </w:instrText>
      </w:r>
      <w:r>
        <w:fldChar w:fldCharType="separate"/>
      </w:r>
      <w:r>
        <w:t>2</w:t>
      </w:r>
      <w:r>
        <w:fldChar w:fldCharType="end"/>
      </w:r>
      <w:r>
        <w:fldChar w:fldCharType="end"/>
      </w:r>
    </w:p>
    <w:p w14:paraId="287CAA30">
      <w:pPr>
        <w:pStyle w:val="38"/>
        <w:tabs>
          <w:tab w:val="right" w:leader="dot" w:pos="9638"/>
        </w:tabs>
        <w:spacing w:before="0" w:after="0"/>
      </w:pPr>
      <w:r>
        <w:fldChar w:fldCharType="begin"/>
      </w:r>
      <w:r>
        <w:instrText xml:space="preserve"> HYPERLINK \l _Toc693543930 </w:instrText>
      </w:r>
      <w:r>
        <w:fldChar w:fldCharType="separate"/>
      </w:r>
      <w:r>
        <w:rPr>
          <w:rFonts w:ascii="Times New Roman" w:hAnsi="Times New Roman"/>
        </w:rPr>
        <w:t>СПИСОК СОКРАЩЕНИЙ И УСЛОВНЫХ ОБОЗНАЧЕНИЙ</w:t>
      </w:r>
      <w:r>
        <w:tab/>
      </w:r>
      <w:r>
        <w:fldChar w:fldCharType="begin"/>
      </w:r>
      <w:r>
        <w:instrText xml:space="preserve"> PAGEREF _Toc693543930 \h </w:instrText>
      </w:r>
      <w:r>
        <w:fldChar w:fldCharType="separate"/>
      </w:r>
      <w:r>
        <w:t>3</w:t>
      </w:r>
      <w:r>
        <w:fldChar w:fldCharType="end"/>
      </w:r>
      <w:r>
        <w:fldChar w:fldCharType="end"/>
      </w:r>
    </w:p>
    <w:p w14:paraId="534D6E85">
      <w:pPr>
        <w:pStyle w:val="38"/>
        <w:tabs>
          <w:tab w:val="right" w:leader="dot" w:pos="9638"/>
        </w:tabs>
        <w:spacing w:before="0" w:after="0"/>
      </w:pPr>
      <w:r>
        <w:fldChar w:fldCharType="begin"/>
      </w:r>
      <w:r>
        <w:instrText xml:space="preserve"> HYPERLINK \l _Toc1999079241 </w:instrText>
      </w:r>
      <w:r>
        <w:fldChar w:fldCharType="separate"/>
      </w:r>
      <w:r>
        <w:rPr>
          <w:rFonts w:ascii="Times New Roman" w:hAnsi="Times New Roman"/>
        </w:rPr>
        <w:t>ТЕРМИНЫ И ОПРЕДЕЛЕНИЯ</w:t>
      </w:r>
      <w:r>
        <w:tab/>
      </w:r>
      <w:r>
        <w:fldChar w:fldCharType="begin"/>
      </w:r>
      <w:r>
        <w:instrText xml:space="preserve"> PAGEREF _Toc1999079241 \h </w:instrText>
      </w:r>
      <w:r>
        <w:fldChar w:fldCharType="separate"/>
      </w:r>
      <w:r>
        <w:t>5</w:t>
      </w:r>
      <w:r>
        <w:fldChar w:fldCharType="end"/>
      </w:r>
      <w:r>
        <w:fldChar w:fldCharType="end"/>
      </w:r>
    </w:p>
    <w:p w14:paraId="7BDFB793">
      <w:pPr>
        <w:pStyle w:val="38"/>
        <w:tabs>
          <w:tab w:val="right" w:leader="dot" w:pos="9638"/>
        </w:tabs>
        <w:spacing w:before="0" w:after="0"/>
      </w:pPr>
      <w:r>
        <w:fldChar w:fldCharType="begin"/>
      </w:r>
      <w:r>
        <w:instrText xml:space="preserve"> HYPERLINK \l _Toc1469006742 </w:instrText>
      </w:r>
      <w:r>
        <w:fldChar w:fldCharType="separate"/>
      </w:r>
      <w:r>
        <w:rPr>
          <w:rFonts w:ascii="Times New Roman" w:hAnsi="Times New Roman" w:eastAsia="Times New Roman" w:cs="Times New Roman"/>
          <w:kern w:val="0"/>
          <w:szCs w:val="22"/>
          <w14:ligatures w14:val="none"/>
        </w:rPr>
        <w:t>ВВЕДЕНИЕ</w:t>
      </w:r>
      <w:r>
        <w:tab/>
      </w:r>
      <w:r>
        <w:fldChar w:fldCharType="begin"/>
      </w:r>
      <w:r>
        <w:instrText xml:space="preserve"> PAGEREF _Toc1469006742 \h </w:instrText>
      </w:r>
      <w:r>
        <w:fldChar w:fldCharType="separate"/>
      </w:r>
      <w:r>
        <w:t>6</w:t>
      </w:r>
      <w:r>
        <w:fldChar w:fldCharType="end"/>
      </w:r>
      <w:r>
        <w:fldChar w:fldCharType="end"/>
      </w:r>
    </w:p>
    <w:p w14:paraId="0CDDC4DB">
      <w:pPr>
        <w:pStyle w:val="38"/>
        <w:tabs>
          <w:tab w:val="right" w:leader="dot" w:pos="9638"/>
        </w:tabs>
        <w:spacing w:before="0" w:after="0"/>
      </w:pPr>
      <w:r>
        <w:fldChar w:fldCharType="begin"/>
      </w:r>
      <w:r>
        <w:instrText xml:space="preserve"> HYPERLINK \l _Toc2124306882 </w:instrText>
      </w:r>
      <w:r>
        <w:fldChar w:fldCharType="separate"/>
      </w:r>
      <w:r>
        <w:rPr>
          <w:rFonts w:ascii="Times New Roman" w:hAnsi="Times New Roman" w:eastAsia="Calibri" w:cs="Times New Roman"/>
          <w:bCs/>
          <w:kern w:val="0"/>
          <w:szCs w:val="28"/>
          <w14:ligatures w14:val="none"/>
        </w:rPr>
        <w:t xml:space="preserve">1. Теоретические и рыночные основы применения инструментов </w:t>
      </w:r>
      <w:r>
        <w:rPr>
          <w:rFonts w:ascii="Times New Roman" w:hAnsi="Times New Roman" w:eastAsia="Calibri" w:cs="Times New Roman"/>
          <w:bCs/>
          <w:kern w:val="0"/>
          <w:szCs w:val="28"/>
          <w:lang w:val="en-US"/>
          <w14:ligatures w14:val="none"/>
        </w:rPr>
        <w:t>Digital</w:t>
      </w:r>
      <w:r>
        <w:rPr>
          <w:rFonts w:ascii="Times New Roman" w:hAnsi="Times New Roman" w:eastAsia="Calibri" w:cs="Times New Roman"/>
          <w:bCs/>
          <w:kern w:val="0"/>
          <w:szCs w:val="28"/>
          <w14:ligatures w14:val="none"/>
        </w:rPr>
        <w:t>-маркетинга в управлении стоматологической клиникой</w:t>
      </w:r>
      <w:r>
        <w:tab/>
      </w:r>
      <w:r>
        <w:fldChar w:fldCharType="begin"/>
      </w:r>
      <w:r>
        <w:instrText xml:space="preserve"> PAGEREF _Toc2124306882 \h </w:instrText>
      </w:r>
      <w:r>
        <w:fldChar w:fldCharType="separate"/>
      </w:r>
      <w:r>
        <w:t>10</w:t>
      </w:r>
      <w:r>
        <w:fldChar w:fldCharType="end"/>
      </w:r>
      <w:r>
        <w:fldChar w:fldCharType="end"/>
      </w:r>
    </w:p>
    <w:p w14:paraId="25ECBD37">
      <w:pPr>
        <w:pStyle w:val="39"/>
        <w:tabs>
          <w:tab w:val="right" w:leader="dot" w:pos="9638"/>
        </w:tabs>
        <w:spacing w:before="0" w:after="0"/>
      </w:pPr>
      <w:r>
        <w:fldChar w:fldCharType="begin"/>
      </w:r>
      <w:r>
        <w:instrText xml:space="preserve"> HYPERLINK \l _Toc1310134399 </w:instrText>
      </w:r>
      <w:r>
        <w:fldChar w:fldCharType="separate"/>
      </w:r>
      <w:r>
        <w:rPr>
          <w:rFonts w:ascii="Times New Roman" w:hAnsi="Times New Roman" w:eastAsia="Calibri" w:cs="Times New Roman"/>
          <w:bCs/>
          <w:kern w:val="0"/>
          <w:szCs w:val="28"/>
          <w14:ligatures w14:val="none"/>
        </w:rPr>
        <w:t xml:space="preserve">1.1. Понятие и инструменты </w:t>
      </w:r>
      <w:r>
        <w:rPr>
          <w:rFonts w:ascii="Times New Roman" w:hAnsi="Times New Roman" w:eastAsia="Calibri" w:cs="Times New Roman"/>
          <w:bCs/>
          <w:kern w:val="0"/>
          <w:szCs w:val="28"/>
          <w:lang w:val="en-US"/>
          <w14:ligatures w14:val="none"/>
        </w:rPr>
        <w:t>Digital</w:t>
      </w:r>
      <w:r>
        <w:rPr>
          <w:rFonts w:ascii="Times New Roman" w:hAnsi="Times New Roman" w:eastAsia="Calibri" w:cs="Times New Roman"/>
          <w:bCs/>
          <w:kern w:val="0"/>
          <w:szCs w:val="28"/>
          <w14:ligatures w14:val="none"/>
        </w:rPr>
        <w:t>-маркетинга</w:t>
      </w:r>
      <w:r>
        <w:tab/>
      </w:r>
      <w:r>
        <w:fldChar w:fldCharType="begin"/>
      </w:r>
      <w:r>
        <w:instrText xml:space="preserve"> PAGEREF _Toc1310134399 \h </w:instrText>
      </w:r>
      <w:r>
        <w:fldChar w:fldCharType="separate"/>
      </w:r>
      <w:r>
        <w:t>10</w:t>
      </w:r>
      <w:r>
        <w:fldChar w:fldCharType="end"/>
      </w:r>
      <w:r>
        <w:fldChar w:fldCharType="end"/>
      </w:r>
    </w:p>
    <w:p w14:paraId="09FDE049">
      <w:pPr>
        <w:pStyle w:val="39"/>
        <w:tabs>
          <w:tab w:val="right" w:leader="dot" w:pos="9638"/>
        </w:tabs>
        <w:spacing w:before="0" w:after="0"/>
      </w:pPr>
      <w:r>
        <w:fldChar w:fldCharType="begin"/>
      </w:r>
      <w:r>
        <w:instrText xml:space="preserve"> HYPERLINK \l _Toc1279011302 </w:instrText>
      </w:r>
      <w:r>
        <w:fldChar w:fldCharType="separate"/>
      </w:r>
      <w:r>
        <w:rPr>
          <w:rFonts w:ascii="Times New Roman" w:hAnsi="Times New Roman" w:eastAsia="Calibri" w:cs="Times New Roman"/>
          <w:bCs/>
          <w:kern w:val="0"/>
          <w:szCs w:val="28"/>
          <w14:ligatures w14:val="none"/>
        </w:rPr>
        <w:t xml:space="preserve">1.2. Рыночные тенденции развития инструментов </w:t>
      </w:r>
      <w:r>
        <w:rPr>
          <w:rFonts w:ascii="Times New Roman" w:hAnsi="Times New Roman" w:eastAsia="Calibri" w:cs="Times New Roman"/>
          <w:bCs/>
          <w:kern w:val="0"/>
          <w:szCs w:val="28"/>
          <w:lang w:val="en-US"/>
          <w14:ligatures w14:val="none"/>
        </w:rPr>
        <w:t>Digital</w:t>
      </w:r>
      <w:r>
        <w:rPr>
          <w:rFonts w:ascii="Times New Roman" w:hAnsi="Times New Roman" w:eastAsia="Calibri" w:cs="Times New Roman"/>
          <w:bCs/>
          <w:kern w:val="0"/>
          <w:szCs w:val="28"/>
          <w14:ligatures w14:val="none"/>
        </w:rPr>
        <w:t>-маркетинга</w:t>
      </w:r>
      <w:r>
        <w:tab/>
      </w:r>
      <w:r>
        <w:fldChar w:fldCharType="begin"/>
      </w:r>
      <w:r>
        <w:instrText xml:space="preserve"> PAGEREF _Toc1279011302 \h </w:instrText>
      </w:r>
      <w:r>
        <w:fldChar w:fldCharType="separate"/>
      </w:r>
      <w:r>
        <w:t>20</w:t>
      </w:r>
      <w:r>
        <w:fldChar w:fldCharType="end"/>
      </w:r>
      <w:r>
        <w:fldChar w:fldCharType="end"/>
      </w:r>
    </w:p>
    <w:p w14:paraId="2C24750F">
      <w:pPr>
        <w:pStyle w:val="39"/>
        <w:tabs>
          <w:tab w:val="right" w:leader="dot" w:pos="9638"/>
        </w:tabs>
        <w:spacing w:before="0" w:after="0"/>
      </w:pPr>
      <w:r>
        <w:fldChar w:fldCharType="begin"/>
      </w:r>
      <w:r>
        <w:instrText xml:space="preserve"> HYPERLINK \l _Toc31646244 </w:instrText>
      </w:r>
      <w:r>
        <w:fldChar w:fldCharType="separate"/>
      </w:r>
      <w:r>
        <w:rPr>
          <w:rFonts w:ascii="Times New Roman" w:hAnsi="Times New Roman" w:eastAsia="Calibri" w:cs="Times New Roman"/>
          <w:bCs/>
          <w:kern w:val="0"/>
          <w:szCs w:val="28"/>
          <w14:ligatures w14:val="none"/>
        </w:rPr>
        <w:t xml:space="preserve">1.3. Использование инструментов </w:t>
      </w:r>
      <w:r>
        <w:rPr>
          <w:rFonts w:ascii="Times New Roman" w:hAnsi="Times New Roman" w:eastAsia="Calibri" w:cs="Times New Roman"/>
          <w:bCs/>
          <w:kern w:val="0"/>
          <w:szCs w:val="28"/>
          <w:lang w:val="en-US"/>
          <w14:ligatures w14:val="none"/>
        </w:rPr>
        <w:t>Digital</w:t>
      </w:r>
      <w:r>
        <w:rPr>
          <w:rFonts w:ascii="Times New Roman" w:hAnsi="Times New Roman" w:eastAsia="Calibri" w:cs="Times New Roman"/>
          <w:bCs/>
          <w:kern w:val="0"/>
          <w:szCs w:val="28"/>
          <w14:ligatures w14:val="none"/>
        </w:rPr>
        <w:t>-маркетинга при привлечении и удержании клиентов стоматологической клиники</w:t>
      </w:r>
      <w:r>
        <w:tab/>
      </w:r>
      <w:r>
        <w:fldChar w:fldCharType="begin"/>
      </w:r>
      <w:r>
        <w:instrText xml:space="preserve"> PAGEREF _Toc31646244 \h </w:instrText>
      </w:r>
      <w:r>
        <w:fldChar w:fldCharType="separate"/>
      </w:r>
      <w:r>
        <w:t>34</w:t>
      </w:r>
      <w:r>
        <w:fldChar w:fldCharType="end"/>
      </w:r>
      <w:r>
        <w:fldChar w:fldCharType="end"/>
      </w:r>
    </w:p>
    <w:p w14:paraId="2B6F27F6">
      <w:pPr>
        <w:pStyle w:val="38"/>
        <w:tabs>
          <w:tab w:val="right" w:leader="dot" w:pos="9638"/>
        </w:tabs>
        <w:spacing w:before="0" w:after="0"/>
      </w:pPr>
      <w:r>
        <w:fldChar w:fldCharType="begin"/>
      </w:r>
      <w:r>
        <w:instrText xml:space="preserve"> HYPERLINK \l _Toc1449962099 </w:instrText>
      </w:r>
      <w:r>
        <w:fldChar w:fldCharType="separate"/>
      </w:r>
      <w:r>
        <w:rPr>
          <w:rFonts w:ascii="Times New Roman" w:hAnsi="Times New Roman" w:cs="Times New Roman"/>
          <w:bCs/>
          <w:szCs w:val="28"/>
        </w:rPr>
        <w:t>Глава 2. Анализ стоматологической клиники и обоснование стратегии привлечения и удержания клиентов</w:t>
      </w:r>
      <w:r>
        <w:tab/>
      </w:r>
      <w:r>
        <w:fldChar w:fldCharType="begin"/>
      </w:r>
      <w:r>
        <w:instrText xml:space="preserve"> PAGEREF _Toc1449962099 \h </w:instrText>
      </w:r>
      <w:r>
        <w:fldChar w:fldCharType="separate"/>
      </w:r>
      <w:r>
        <w:t>50</w:t>
      </w:r>
      <w:r>
        <w:fldChar w:fldCharType="end"/>
      </w:r>
      <w:r>
        <w:fldChar w:fldCharType="end"/>
      </w:r>
    </w:p>
    <w:p w14:paraId="4BFD65DB">
      <w:pPr>
        <w:pStyle w:val="39"/>
        <w:tabs>
          <w:tab w:val="right" w:leader="dot" w:pos="9638"/>
        </w:tabs>
        <w:spacing w:before="0" w:after="0"/>
      </w:pPr>
      <w:r>
        <w:fldChar w:fldCharType="begin"/>
      </w:r>
      <w:r>
        <w:instrText xml:space="preserve"> HYPERLINK \l _Toc2016055384 </w:instrText>
      </w:r>
      <w:r>
        <w:fldChar w:fldCharType="separate"/>
      </w:r>
      <w:r>
        <w:rPr>
          <w:rFonts w:ascii="Times New Roman" w:hAnsi="Times New Roman" w:cs="Times New Roman"/>
          <w:bCs/>
          <w:szCs w:val="28"/>
        </w:rPr>
        <w:t>2.1. Анализ динамики медицинской отрасли в маркетинге и коммуникациях клиник с пациентами</w:t>
      </w:r>
      <w:r>
        <w:tab/>
      </w:r>
      <w:r>
        <w:fldChar w:fldCharType="begin"/>
      </w:r>
      <w:r>
        <w:instrText xml:space="preserve"> PAGEREF _Toc2016055384 \h </w:instrText>
      </w:r>
      <w:r>
        <w:fldChar w:fldCharType="separate"/>
      </w:r>
      <w:r>
        <w:t>50</w:t>
      </w:r>
      <w:r>
        <w:fldChar w:fldCharType="end"/>
      </w:r>
      <w:r>
        <w:fldChar w:fldCharType="end"/>
      </w:r>
    </w:p>
    <w:p w14:paraId="2F84DC41">
      <w:pPr>
        <w:pStyle w:val="39"/>
        <w:tabs>
          <w:tab w:val="right" w:leader="dot" w:pos="9638"/>
        </w:tabs>
        <w:spacing w:before="0" w:after="0"/>
      </w:pPr>
      <w:r>
        <w:fldChar w:fldCharType="begin"/>
      </w:r>
      <w:r>
        <w:instrText xml:space="preserve"> HYPERLINK \l _Toc845856522 </w:instrText>
      </w:r>
      <w:r>
        <w:fldChar w:fldCharType="separate"/>
      </w:r>
      <w:r>
        <w:rPr>
          <w:rFonts w:ascii="Times New Roman" w:hAnsi="Times New Roman" w:cs="Times New Roman"/>
          <w:szCs w:val="28"/>
        </w:rPr>
        <w:t xml:space="preserve">2.2. </w:t>
      </w:r>
      <w:r>
        <w:rPr>
          <w:rFonts w:ascii="Times New Roman" w:hAnsi="Times New Roman" w:cs="Times New Roman"/>
          <w:bCs/>
          <w:szCs w:val="28"/>
        </w:rPr>
        <w:t>Описание деятельности организации</w:t>
      </w:r>
      <w:r>
        <w:tab/>
      </w:r>
      <w:r>
        <w:fldChar w:fldCharType="begin"/>
      </w:r>
      <w:r>
        <w:instrText xml:space="preserve"> PAGEREF _Toc845856522 \h </w:instrText>
      </w:r>
      <w:r>
        <w:fldChar w:fldCharType="separate"/>
      </w:r>
      <w:r>
        <w:t>57</w:t>
      </w:r>
      <w:r>
        <w:fldChar w:fldCharType="end"/>
      </w:r>
      <w:r>
        <w:fldChar w:fldCharType="end"/>
      </w:r>
    </w:p>
    <w:p w14:paraId="4A812F94">
      <w:pPr>
        <w:pStyle w:val="39"/>
        <w:tabs>
          <w:tab w:val="right" w:leader="dot" w:pos="9638"/>
        </w:tabs>
        <w:spacing w:before="0" w:after="0"/>
      </w:pPr>
      <w:r>
        <w:fldChar w:fldCharType="begin"/>
      </w:r>
      <w:r>
        <w:instrText xml:space="preserve"> HYPERLINK \l _Toc2116305761 </w:instrText>
      </w:r>
      <w:r>
        <w:fldChar w:fldCharType="separate"/>
      </w:r>
      <w:r>
        <w:rPr>
          <w:rFonts w:ascii="Times New Roman" w:hAnsi="Times New Roman" w:eastAsia="Times New Roman" w:cs="Times New Roman"/>
          <w:kern w:val="0"/>
          <w:szCs w:val="22"/>
          <w14:ligatures w14:val="none"/>
        </w:rPr>
        <w:t>2.3. Обоснование выбора цифровых инструментов для стоматологической клиники</w:t>
      </w:r>
      <w:r>
        <w:tab/>
      </w:r>
      <w:r>
        <w:fldChar w:fldCharType="begin"/>
      </w:r>
      <w:r>
        <w:instrText xml:space="preserve"> PAGEREF _Toc2116305761 \h </w:instrText>
      </w:r>
      <w:r>
        <w:fldChar w:fldCharType="separate"/>
      </w:r>
      <w:r>
        <w:t>72</w:t>
      </w:r>
      <w:r>
        <w:fldChar w:fldCharType="end"/>
      </w:r>
      <w:r>
        <w:fldChar w:fldCharType="end"/>
      </w:r>
    </w:p>
    <w:p w14:paraId="4559250C">
      <w:pPr>
        <w:pStyle w:val="38"/>
        <w:tabs>
          <w:tab w:val="right" w:leader="dot" w:pos="9638"/>
        </w:tabs>
        <w:spacing w:before="0" w:after="0"/>
      </w:pPr>
      <w:r>
        <w:fldChar w:fldCharType="begin"/>
      </w:r>
      <w:r>
        <w:instrText xml:space="preserve"> HYPERLINK \l _Toc2126763513 </w:instrText>
      </w:r>
      <w:r>
        <w:fldChar w:fldCharType="separate"/>
      </w:r>
      <w:r>
        <w:rPr>
          <w:rFonts w:ascii="Times New Roman" w:hAnsi="Times New Roman" w:eastAsia="Times New Roman" w:cs="Times New Roman"/>
          <w:kern w:val="0"/>
          <w:szCs w:val="22"/>
          <w14:ligatures w14:val="none"/>
        </w:rPr>
        <w:t>ГЛАВА 3. ПРАКТИЧЕСКИЕ АСПЕКТЫ ПРОЕКТИРОВАНИЯ КОНЦЕПТА ПРОГРАММНОГО ПРОДУКТА</w:t>
      </w:r>
      <w:r>
        <w:tab/>
      </w:r>
      <w:r>
        <w:fldChar w:fldCharType="begin"/>
      </w:r>
      <w:r>
        <w:instrText xml:space="preserve"> PAGEREF _Toc2126763513 \h </w:instrText>
      </w:r>
      <w:r>
        <w:fldChar w:fldCharType="separate"/>
      </w:r>
      <w:r>
        <w:t>86</w:t>
      </w:r>
      <w:r>
        <w:fldChar w:fldCharType="end"/>
      </w:r>
      <w:r>
        <w:fldChar w:fldCharType="end"/>
      </w:r>
    </w:p>
    <w:p w14:paraId="23629369">
      <w:pPr>
        <w:pStyle w:val="39"/>
        <w:tabs>
          <w:tab w:val="right" w:leader="dot" w:pos="9638"/>
        </w:tabs>
        <w:spacing w:before="0" w:after="0"/>
      </w:pPr>
      <w:r>
        <w:fldChar w:fldCharType="begin"/>
      </w:r>
      <w:r>
        <w:instrText xml:space="preserve"> HYPERLINK \l _Toc1796542323 </w:instrText>
      </w:r>
      <w:r>
        <w:fldChar w:fldCharType="separate"/>
      </w:r>
      <w:r>
        <w:rPr>
          <w:rFonts w:ascii="Times New Roman" w:hAnsi="Times New Roman" w:eastAsia="Times New Roman" w:cs="Times New Roman"/>
          <w:kern w:val="0"/>
          <w:szCs w:val="22"/>
          <w14:ligatures w14:val="none"/>
        </w:rPr>
        <w:t xml:space="preserve">3.1 Концепт мобильного приложения и границы </w:t>
      </w:r>
      <w:r>
        <w:rPr>
          <w:rFonts w:ascii="Times New Roman" w:hAnsi="Times New Roman" w:eastAsia="Times New Roman" w:cs="Times New Roman"/>
          <w:kern w:val="0"/>
          <w:szCs w:val="22"/>
          <w:lang w:val="en-US"/>
          <w14:ligatures w14:val="none"/>
        </w:rPr>
        <w:t>MVP</w:t>
      </w:r>
      <w:r>
        <w:tab/>
      </w:r>
      <w:r>
        <w:fldChar w:fldCharType="begin"/>
      </w:r>
      <w:r>
        <w:instrText xml:space="preserve"> PAGEREF _Toc1796542323 \h </w:instrText>
      </w:r>
      <w:r>
        <w:fldChar w:fldCharType="separate"/>
      </w:r>
      <w:r>
        <w:t>86</w:t>
      </w:r>
      <w:r>
        <w:fldChar w:fldCharType="end"/>
      </w:r>
      <w:r>
        <w:fldChar w:fldCharType="end"/>
      </w:r>
    </w:p>
    <w:p w14:paraId="7D0081F3">
      <w:pPr>
        <w:pStyle w:val="39"/>
        <w:tabs>
          <w:tab w:val="right" w:leader="dot" w:pos="9638"/>
        </w:tabs>
        <w:spacing w:before="0" w:after="0"/>
      </w:pPr>
      <w:r>
        <w:fldChar w:fldCharType="begin"/>
      </w:r>
      <w:r>
        <w:instrText xml:space="preserve"> HYPERLINK \l _Toc866745841 </w:instrText>
      </w:r>
      <w:r>
        <w:fldChar w:fldCharType="separate"/>
      </w:r>
      <w:r>
        <w:rPr>
          <w:rFonts w:ascii="Times New Roman" w:hAnsi="Times New Roman" w:eastAsia="Times New Roman" w:cs="Times New Roman"/>
          <w:kern w:val="0"/>
          <w:szCs w:val="22"/>
          <w14:ligatures w14:val="none"/>
        </w:rPr>
        <w:t xml:space="preserve">3.2. </w:t>
      </w:r>
      <w:r>
        <w:rPr>
          <w:rFonts w:ascii="Times New Roman" w:hAnsi="Times New Roman" w:eastAsia="Times New Roman" w:cs="Times New Roman"/>
          <w:bCs/>
          <w:kern w:val="0"/>
          <w:szCs w:val="22"/>
          <w14:ligatures w14:val="none"/>
        </w:rPr>
        <w:t xml:space="preserve">Моделирование будущего бизнес-процесса записи клиента на прием, описание архитектуры решения </w:t>
      </w:r>
      <w:r>
        <w:rPr>
          <w:rFonts w:ascii="Times New Roman" w:hAnsi="Times New Roman" w:eastAsia="Times New Roman" w:cs="Times New Roman"/>
          <w:kern w:val="0"/>
          <w:szCs w:val="22"/>
          <w14:ligatures w14:val="none"/>
        </w:rPr>
        <w:t>и технологического стека</w:t>
      </w:r>
      <w:r>
        <w:tab/>
      </w:r>
      <w:r>
        <w:fldChar w:fldCharType="begin"/>
      </w:r>
      <w:r>
        <w:instrText xml:space="preserve"> PAGEREF _Toc866745841 \h </w:instrText>
      </w:r>
      <w:r>
        <w:fldChar w:fldCharType="separate"/>
      </w:r>
      <w:r>
        <w:t>97</w:t>
      </w:r>
      <w:r>
        <w:fldChar w:fldCharType="end"/>
      </w:r>
      <w:r>
        <w:fldChar w:fldCharType="end"/>
      </w:r>
    </w:p>
    <w:p w14:paraId="0DCC9550">
      <w:pPr>
        <w:pStyle w:val="39"/>
        <w:tabs>
          <w:tab w:val="right" w:leader="dot" w:pos="9638"/>
        </w:tabs>
        <w:spacing w:before="0" w:after="0"/>
      </w:pPr>
      <w:r>
        <w:fldChar w:fldCharType="begin"/>
      </w:r>
      <w:r>
        <w:instrText xml:space="preserve"> HYPERLINK \l _Toc1015772086 </w:instrText>
      </w:r>
      <w:r>
        <w:fldChar w:fldCharType="separate"/>
      </w:r>
      <w:r>
        <w:rPr>
          <w:rFonts w:ascii="Times New Roman" w:hAnsi="Times New Roman" w:eastAsia="Times New Roman" w:cs="Times New Roman"/>
          <w:kern w:val="0"/>
          <w:szCs w:val="22"/>
          <w14:ligatures w14:val="none"/>
        </w:rPr>
        <w:t xml:space="preserve">3.3. Экономическая эффективность и прогнозный </w:t>
      </w:r>
      <w:r>
        <w:rPr>
          <w:rFonts w:ascii="Times New Roman" w:hAnsi="Times New Roman" w:eastAsia="Times New Roman" w:cs="Times New Roman"/>
          <w:kern w:val="0"/>
          <w:szCs w:val="22"/>
          <w:lang w:val="en-US"/>
          <w14:ligatures w14:val="none"/>
        </w:rPr>
        <w:t>ROI</w:t>
      </w:r>
      <w:r>
        <w:tab/>
      </w:r>
      <w:r>
        <w:fldChar w:fldCharType="begin"/>
      </w:r>
      <w:r>
        <w:instrText xml:space="preserve"> PAGEREF _Toc1015772086 \h </w:instrText>
      </w:r>
      <w:r>
        <w:fldChar w:fldCharType="separate"/>
      </w:r>
      <w:r>
        <w:t>121</w:t>
      </w:r>
      <w:r>
        <w:fldChar w:fldCharType="end"/>
      </w:r>
      <w:r>
        <w:fldChar w:fldCharType="end"/>
      </w:r>
    </w:p>
    <w:p w14:paraId="2F0020D6">
      <w:pPr>
        <w:pStyle w:val="38"/>
        <w:tabs>
          <w:tab w:val="right" w:leader="dot" w:pos="9638"/>
        </w:tabs>
        <w:spacing w:before="0" w:after="0"/>
      </w:pPr>
      <w:r>
        <w:fldChar w:fldCharType="begin"/>
      </w:r>
      <w:r>
        <w:instrText xml:space="preserve"> HYPERLINK \l _Toc1733939399 </w:instrText>
      </w:r>
      <w:r>
        <w:fldChar w:fldCharType="separate"/>
      </w:r>
      <w:r>
        <w:rPr>
          <w:rFonts w:ascii="Times New Roman" w:hAnsi="Times New Roman" w:eastAsia="Times New Roman" w:cs="Times New Roman"/>
          <w:bCs/>
          <w:szCs w:val="28"/>
          <w:lang w:eastAsia="ru-RU"/>
        </w:rPr>
        <w:t>ЗАКЛЮЧЕНИЕ</w:t>
      </w:r>
      <w:r>
        <w:tab/>
      </w:r>
      <w:r>
        <w:fldChar w:fldCharType="begin"/>
      </w:r>
      <w:r>
        <w:instrText xml:space="preserve"> PAGEREF _Toc1733939399 \h </w:instrText>
      </w:r>
      <w:r>
        <w:fldChar w:fldCharType="separate"/>
      </w:r>
      <w:r>
        <w:t>133</w:t>
      </w:r>
      <w:r>
        <w:fldChar w:fldCharType="end"/>
      </w:r>
      <w:r>
        <w:fldChar w:fldCharType="end"/>
      </w:r>
    </w:p>
    <w:p w14:paraId="2F5DFA1A">
      <w:pPr>
        <w:pStyle w:val="38"/>
        <w:tabs>
          <w:tab w:val="right" w:leader="dot" w:pos="9638"/>
        </w:tabs>
        <w:spacing w:before="0" w:after="0"/>
      </w:pPr>
      <w:r>
        <w:fldChar w:fldCharType="begin"/>
      </w:r>
      <w:r>
        <w:instrText xml:space="preserve"> HYPERLINK \l _Toc966389203 </w:instrText>
      </w:r>
      <w:r>
        <w:fldChar w:fldCharType="separate"/>
      </w:r>
      <w:r>
        <w:rPr>
          <w:rFonts w:ascii="Times New Roman" w:hAnsi="Times New Roman" w:eastAsia="Times New Roman" w:cs="Times New Roman"/>
          <w:bCs/>
          <w:szCs w:val="28"/>
          <w:lang w:eastAsia="ru-RU"/>
        </w:rPr>
        <w:t>СПИСОК ИСПОЛЬЗОВАННЫХ ИСТОЧНИКОВ</w:t>
      </w:r>
      <w:r>
        <w:tab/>
      </w:r>
      <w:r>
        <w:fldChar w:fldCharType="begin"/>
      </w:r>
      <w:r>
        <w:instrText xml:space="preserve"> PAGEREF _Toc966389203 \h </w:instrText>
      </w:r>
      <w:r>
        <w:fldChar w:fldCharType="separate"/>
      </w:r>
      <w:r>
        <w:t>137</w:t>
      </w:r>
      <w:r>
        <w:fldChar w:fldCharType="end"/>
      </w:r>
      <w:r>
        <w:fldChar w:fldCharType="end"/>
      </w:r>
    </w:p>
    <w:p w14:paraId="6664EEC2">
      <w:pPr>
        <w:pStyle w:val="38"/>
        <w:tabs>
          <w:tab w:val="right" w:leader="dot" w:pos="9638"/>
        </w:tabs>
        <w:spacing w:before="0" w:after="0"/>
      </w:pPr>
      <w:r>
        <w:fldChar w:fldCharType="begin"/>
      </w:r>
      <w:r>
        <w:instrText xml:space="preserve"> HYPERLINK \l _Toc684512560 </w:instrText>
      </w:r>
      <w:r>
        <w:fldChar w:fldCharType="separate"/>
      </w:r>
      <w:r>
        <w:rPr>
          <w:rFonts w:ascii="Times New Roman" w:hAnsi="Times New Roman" w:eastAsia="Times New Roman" w:cs="Times New Roman"/>
          <w:bCs/>
          <w:szCs w:val="28"/>
          <w:lang w:eastAsia="ru-RU"/>
        </w:rPr>
        <w:t>ПРИЛОЖЕНИЕ А</w:t>
      </w:r>
      <w:r>
        <w:tab/>
      </w:r>
      <w:r>
        <w:fldChar w:fldCharType="begin"/>
      </w:r>
      <w:r>
        <w:instrText xml:space="preserve"> PAGEREF _Toc684512560 \h </w:instrText>
      </w:r>
      <w:r>
        <w:fldChar w:fldCharType="separate"/>
      </w:r>
      <w:r>
        <w:t>143</w:t>
      </w:r>
      <w:r>
        <w:fldChar w:fldCharType="end"/>
      </w:r>
      <w:r>
        <w:fldChar w:fldCharType="end"/>
      </w:r>
    </w:p>
    <w:p w14:paraId="33F9029E">
      <w:pPr>
        <w:pStyle w:val="38"/>
        <w:tabs>
          <w:tab w:val="right" w:leader="dot" w:pos="9638"/>
        </w:tabs>
        <w:spacing w:before="0" w:after="0"/>
      </w:pPr>
      <w:r>
        <w:fldChar w:fldCharType="begin"/>
      </w:r>
      <w:r>
        <w:instrText xml:space="preserve"> HYPERLINK \l _Toc532698941 </w:instrText>
      </w:r>
      <w:r>
        <w:fldChar w:fldCharType="separate"/>
      </w:r>
      <w:r>
        <w:rPr>
          <w:rFonts w:ascii="Times New Roman" w:hAnsi="Times New Roman"/>
        </w:rPr>
        <w:t>ПРИЛОЖЕНИЕ Б</w:t>
      </w:r>
      <w:r>
        <w:tab/>
      </w:r>
      <w:r>
        <w:fldChar w:fldCharType="begin"/>
      </w:r>
      <w:r>
        <w:instrText xml:space="preserve"> PAGEREF _Toc532698941 \h </w:instrText>
      </w:r>
      <w:r>
        <w:fldChar w:fldCharType="separate"/>
      </w:r>
      <w:r>
        <w:t>156</w:t>
      </w:r>
      <w:r>
        <w:fldChar w:fldCharType="end"/>
      </w:r>
      <w:r>
        <w:fldChar w:fldCharType="end"/>
      </w:r>
    </w:p>
    <w:p w14:paraId="0A8BA2CF">
      <w:pPr>
        <w:pStyle w:val="38"/>
        <w:tabs>
          <w:tab w:val="right" w:leader="dot" w:pos="9638"/>
        </w:tabs>
        <w:spacing w:before="0" w:after="0"/>
      </w:pPr>
      <w:r>
        <w:fldChar w:fldCharType="begin"/>
      </w:r>
      <w:r>
        <w:instrText xml:space="preserve"> HYPERLINK \l _Toc211777044 </w:instrText>
      </w:r>
      <w:r>
        <w:fldChar w:fldCharType="separate"/>
      </w:r>
      <w:r>
        <w:rPr>
          <w:rFonts w:ascii="Times New Roman" w:hAnsi="Times New Roman"/>
        </w:rPr>
        <w:t>ПРИЛОЖЕНИЕ В</w:t>
      </w:r>
      <w:r>
        <w:tab/>
      </w:r>
      <w:r>
        <w:fldChar w:fldCharType="begin"/>
      </w:r>
      <w:r>
        <w:instrText xml:space="preserve"> PAGEREF _Toc211777044 \h </w:instrText>
      </w:r>
      <w:r>
        <w:fldChar w:fldCharType="separate"/>
      </w:r>
      <w:r>
        <w:t>159</w:t>
      </w:r>
      <w:r>
        <w:fldChar w:fldCharType="end"/>
      </w:r>
      <w:r>
        <w:fldChar w:fldCharType="end"/>
      </w:r>
    </w:p>
    <w:p w14:paraId="5EE43162">
      <w:pPr>
        <w:spacing w:before="0" w:after="0"/>
        <w:jc w:val="left"/>
      </w:pPr>
      <w:r>
        <w:fldChar w:fldCharType="end"/>
      </w:r>
    </w:p>
    <w:p w14:paraId="5F6B3F06">
      <w:pPr>
        <w:pStyle w:val="2"/>
        <w:pageBreakBefore/>
        <w:spacing w:before="0" w:after="0"/>
        <w:jc w:val="center"/>
      </w:pPr>
      <w:bookmarkStart w:id="2" w:name="_Toc693543930"/>
      <w:r>
        <w:rPr>
          <w:rFonts w:ascii="Times New Roman" w:hAnsi="Times New Roman"/>
          <w:b/>
          <w:sz w:val="28"/>
        </w:rPr>
        <w:t>СПИСОК СОКРАЩЕНИЙ И УСЛОВНЫХ ОБОЗНАЧЕНИЙ</w:t>
      </w:r>
      <w:bookmarkEnd w:id="2"/>
    </w:p>
    <w:p w14:paraId="01D6C517">
      <w:pPr>
        <w:spacing w:before="0" w:after="0" w:line="360" w:lineRule="auto"/>
        <w:ind w:firstLine="0"/>
        <w:jc w:val="left"/>
      </w:pPr>
      <w:r>
        <w:rPr>
          <w:rFonts w:ascii="Times New Roman" w:hAnsi="Times New Roman" w:cs="Times New Roman"/>
          <w:sz w:val="28"/>
        </w:rPr>
        <w:t>API — Application Programming Interface — интерфейс программирования приложений</w:t>
      </w:r>
    </w:p>
    <w:p w14:paraId="4962DD0A">
      <w:pPr>
        <w:spacing w:before="0" w:after="0" w:line="360" w:lineRule="auto"/>
        <w:ind w:firstLine="0"/>
        <w:jc w:val="left"/>
      </w:pPr>
      <w:r>
        <w:rPr>
          <w:rFonts w:ascii="Times New Roman" w:hAnsi="Times New Roman" w:cs="Times New Roman"/>
          <w:sz w:val="28"/>
        </w:rPr>
        <w:t>ARIS — Architecture of Integrated Information Systems — методология моделирования бизнес-процессов</w:t>
      </w:r>
    </w:p>
    <w:p w14:paraId="5B6F77D2">
      <w:pPr>
        <w:spacing w:before="0" w:after="0" w:line="360" w:lineRule="auto"/>
        <w:ind w:firstLine="0"/>
        <w:jc w:val="left"/>
      </w:pPr>
      <w:r>
        <w:rPr>
          <w:rFonts w:ascii="Times New Roman" w:hAnsi="Times New Roman" w:cs="Times New Roman"/>
          <w:sz w:val="28"/>
        </w:rPr>
        <w:t>AS-IS — As Is — модель текущего состояния бизнес-процесса</w:t>
      </w:r>
    </w:p>
    <w:p w14:paraId="722103B2">
      <w:pPr>
        <w:spacing w:before="0" w:after="0" w:line="360" w:lineRule="auto"/>
        <w:ind w:firstLine="0"/>
        <w:jc w:val="left"/>
      </w:pPr>
      <w:r>
        <w:rPr>
          <w:rFonts w:ascii="Times New Roman" w:hAnsi="Times New Roman" w:cs="Times New Roman"/>
          <w:sz w:val="28"/>
        </w:rPr>
        <w:t>AS-TO-BE — As To Be — модель целевого состояния бизнес-процесса</w:t>
      </w:r>
    </w:p>
    <w:p w14:paraId="4825D0B8">
      <w:pPr>
        <w:spacing w:before="0" w:after="0" w:line="360" w:lineRule="auto"/>
        <w:ind w:firstLine="0"/>
        <w:jc w:val="left"/>
      </w:pPr>
      <w:r>
        <w:rPr>
          <w:rFonts w:ascii="Times New Roman" w:hAnsi="Times New Roman" w:cs="Times New Roman"/>
          <w:sz w:val="28"/>
        </w:rPr>
        <w:t>CAPEX — Capital Expenditures — капитальные затраты</w:t>
      </w:r>
    </w:p>
    <w:p w14:paraId="2D22EA26">
      <w:pPr>
        <w:spacing w:before="0" w:after="0" w:line="360" w:lineRule="auto"/>
        <w:ind w:firstLine="0"/>
        <w:jc w:val="left"/>
      </w:pPr>
      <w:r>
        <w:rPr>
          <w:rFonts w:ascii="Times New Roman" w:hAnsi="Times New Roman" w:cs="Times New Roman"/>
          <w:sz w:val="28"/>
        </w:rPr>
        <w:t>CRM — Customer Relationship Management — система управления взаимоотношениями с клиентами</w:t>
      </w:r>
    </w:p>
    <w:p w14:paraId="4E1A00AB">
      <w:pPr>
        <w:spacing w:before="0" w:after="0" w:line="360" w:lineRule="auto"/>
        <w:ind w:firstLine="0"/>
        <w:jc w:val="left"/>
      </w:pPr>
      <w:r>
        <w:rPr>
          <w:rFonts w:ascii="Times New Roman" w:hAnsi="Times New Roman" w:cs="Times New Roman"/>
          <w:sz w:val="28"/>
        </w:rPr>
        <w:t>DPP — Discounted Payback Period — дисконтированный срок окупаемости</w:t>
      </w:r>
    </w:p>
    <w:p w14:paraId="36337598">
      <w:pPr>
        <w:spacing w:before="0" w:after="0" w:line="360" w:lineRule="auto"/>
        <w:ind w:firstLine="0"/>
        <w:jc w:val="left"/>
      </w:pPr>
      <w:r>
        <w:rPr>
          <w:rFonts w:ascii="Times New Roman" w:hAnsi="Times New Roman" w:cs="Times New Roman"/>
          <w:sz w:val="28"/>
        </w:rPr>
        <w:t>eEPC — Extended Event-driven Process Chain — нотация событийной цепочки процессов</w:t>
      </w:r>
    </w:p>
    <w:p w14:paraId="7A47E7A9">
      <w:pPr>
        <w:spacing w:before="0" w:after="0" w:line="360" w:lineRule="auto"/>
        <w:ind w:firstLine="0"/>
        <w:jc w:val="left"/>
      </w:pPr>
      <w:r>
        <w:rPr>
          <w:rFonts w:ascii="Times New Roman" w:hAnsi="Times New Roman" w:cs="Times New Roman"/>
          <w:sz w:val="28"/>
        </w:rPr>
        <w:t>IRR — Internal Rate of Return — внутренняя норма доходности</w:t>
      </w:r>
    </w:p>
    <w:p w14:paraId="7AD2AB4C">
      <w:pPr>
        <w:spacing w:before="0" w:after="0" w:line="360" w:lineRule="auto"/>
        <w:ind w:firstLine="0"/>
        <w:jc w:val="left"/>
      </w:pPr>
      <w:r>
        <w:rPr>
          <w:rFonts w:ascii="Times New Roman" w:hAnsi="Times New Roman" w:cs="Times New Roman"/>
          <w:sz w:val="28"/>
        </w:rPr>
        <w:t>KPI — Key Performance Indicators — ключевые показатели эффективности</w:t>
      </w:r>
    </w:p>
    <w:p w14:paraId="6B95EEFF">
      <w:pPr>
        <w:spacing w:before="0" w:after="0" w:line="360" w:lineRule="auto"/>
        <w:ind w:firstLine="0"/>
        <w:jc w:val="left"/>
      </w:pPr>
      <w:r>
        <w:rPr>
          <w:rFonts w:ascii="Times New Roman" w:hAnsi="Times New Roman" w:cs="Times New Roman"/>
          <w:sz w:val="28"/>
        </w:rPr>
        <w:t>LTV — Lifetime Value — пожизненная ценность клиента</w:t>
      </w:r>
    </w:p>
    <w:p w14:paraId="01F3E46C">
      <w:pPr>
        <w:spacing w:before="0" w:after="0" w:line="360" w:lineRule="auto"/>
        <w:ind w:firstLine="0"/>
        <w:jc w:val="left"/>
      </w:pPr>
      <w:r>
        <w:rPr>
          <w:rFonts w:ascii="Times New Roman" w:hAnsi="Times New Roman" w:cs="Times New Roman"/>
          <w:sz w:val="28"/>
        </w:rPr>
        <w:t>MVP — Minimum Viable Product — минимально жизнеспособный продукт</w:t>
      </w:r>
    </w:p>
    <w:p w14:paraId="0049382E">
      <w:pPr>
        <w:spacing w:before="0" w:after="0" w:line="360" w:lineRule="auto"/>
        <w:ind w:firstLine="0"/>
        <w:jc w:val="left"/>
      </w:pPr>
      <w:r>
        <w:rPr>
          <w:rFonts w:ascii="Times New Roman" w:hAnsi="Times New Roman" w:cs="Times New Roman"/>
          <w:sz w:val="28"/>
        </w:rPr>
        <w:t>NFR — Non-Functional Requirements — нефункциональные требования</w:t>
      </w:r>
    </w:p>
    <w:p w14:paraId="72F787CE">
      <w:pPr>
        <w:spacing w:before="0" w:after="0" w:line="360" w:lineRule="auto"/>
        <w:ind w:firstLine="0"/>
        <w:jc w:val="left"/>
      </w:pPr>
      <w:r>
        <w:rPr>
          <w:rFonts w:ascii="Times New Roman" w:hAnsi="Times New Roman" w:cs="Times New Roman"/>
          <w:sz w:val="28"/>
        </w:rPr>
        <w:t>NPV — Net Present Value — чистая приведённая стоимость</w:t>
      </w:r>
    </w:p>
    <w:p w14:paraId="17C7AC50">
      <w:pPr>
        <w:spacing w:before="0" w:after="0" w:line="360" w:lineRule="auto"/>
        <w:ind w:firstLine="0"/>
        <w:jc w:val="left"/>
      </w:pPr>
      <w:r>
        <w:rPr>
          <w:rFonts w:ascii="Times New Roman" w:hAnsi="Times New Roman" w:cs="Times New Roman"/>
          <w:sz w:val="28"/>
        </w:rPr>
        <w:t>OPEX — Operating Expenditures — операционные затраты</w:t>
      </w:r>
    </w:p>
    <w:p w14:paraId="49883750">
      <w:pPr>
        <w:spacing w:before="0" w:after="0" w:line="360" w:lineRule="auto"/>
        <w:ind w:firstLine="0"/>
        <w:jc w:val="left"/>
      </w:pPr>
      <w:r>
        <w:rPr>
          <w:rFonts w:ascii="Times New Roman" w:hAnsi="Times New Roman" w:cs="Times New Roman"/>
          <w:sz w:val="28"/>
        </w:rPr>
        <w:t>REST — Representational State Transfer — архитектурный стиль веб-сервисов</w:t>
      </w:r>
    </w:p>
    <w:p w14:paraId="5C6312EE">
      <w:pPr>
        <w:spacing w:before="0" w:after="0" w:line="360" w:lineRule="auto"/>
        <w:ind w:firstLine="0"/>
        <w:jc w:val="left"/>
      </w:pPr>
      <w:r>
        <w:rPr>
          <w:rFonts w:ascii="Times New Roman" w:hAnsi="Times New Roman" w:cs="Times New Roman"/>
          <w:sz w:val="28"/>
        </w:rPr>
        <w:t>ROI — Return on Investment — рентабельность инвестиций</w:t>
      </w:r>
    </w:p>
    <w:p w14:paraId="6BB30AAA">
      <w:pPr>
        <w:spacing w:before="0" w:after="0" w:line="360" w:lineRule="auto"/>
        <w:ind w:firstLine="0"/>
        <w:jc w:val="left"/>
      </w:pPr>
      <w:r>
        <w:rPr>
          <w:rFonts w:ascii="Times New Roman" w:hAnsi="Times New Roman" w:cs="Times New Roman"/>
          <w:sz w:val="28"/>
        </w:rPr>
        <w:t>SEO — Search Engine Optimization — поисковая оптимизация</w:t>
      </w:r>
    </w:p>
    <w:p w14:paraId="4404A918">
      <w:pPr>
        <w:spacing w:before="0" w:after="0" w:line="360" w:lineRule="auto"/>
        <w:ind w:firstLine="0"/>
        <w:jc w:val="left"/>
      </w:pPr>
      <w:r>
        <w:rPr>
          <w:rFonts w:ascii="Times New Roman" w:hAnsi="Times New Roman" w:cs="Times New Roman"/>
          <w:sz w:val="28"/>
        </w:rPr>
        <w:t>SMM — Social Media Marketing — маркетинг в социальных сетях</w:t>
      </w:r>
    </w:p>
    <w:p w14:paraId="0FCBCF88">
      <w:pPr>
        <w:spacing w:before="0" w:after="0" w:line="360" w:lineRule="auto"/>
        <w:ind w:firstLine="0"/>
        <w:jc w:val="left"/>
      </w:pPr>
      <w:r>
        <w:rPr>
          <w:rFonts w:ascii="Times New Roman" w:hAnsi="Times New Roman" w:cs="Times New Roman"/>
          <w:sz w:val="28"/>
        </w:rPr>
        <w:t>SMS — Short Message Service — служба коротких сообщений</w:t>
      </w:r>
    </w:p>
    <w:p w14:paraId="20B44F0F">
      <w:pPr>
        <w:spacing w:before="0" w:after="0" w:line="360" w:lineRule="auto"/>
        <w:ind w:firstLine="0"/>
        <w:jc w:val="left"/>
      </w:pPr>
      <w:r>
        <w:rPr>
          <w:rFonts w:ascii="Times New Roman" w:hAnsi="Times New Roman" w:cs="Times New Roman"/>
          <w:sz w:val="28"/>
        </w:rPr>
        <w:t>TLS — Transport Layer Security — протокол защиты транспортного уровня</w:t>
      </w:r>
    </w:p>
    <w:p w14:paraId="232DA876">
      <w:pPr>
        <w:spacing w:before="0" w:after="0" w:line="360" w:lineRule="auto"/>
        <w:ind w:firstLine="0"/>
        <w:jc w:val="left"/>
      </w:pPr>
      <w:r>
        <w:rPr>
          <w:rFonts w:ascii="Times New Roman" w:hAnsi="Times New Roman" w:cs="Times New Roman"/>
          <w:sz w:val="28"/>
        </w:rPr>
        <w:t>ЕГИСЗ — Единая государственная информационная система в сфере здравоохранения</w:t>
      </w:r>
    </w:p>
    <w:p w14:paraId="3D8A1F06">
      <w:pPr>
        <w:spacing w:before="0" w:after="0" w:line="360" w:lineRule="auto"/>
        <w:ind w:firstLine="0"/>
        <w:jc w:val="left"/>
      </w:pPr>
      <w:r>
        <w:rPr>
          <w:rFonts w:ascii="Times New Roman" w:hAnsi="Times New Roman" w:cs="Times New Roman"/>
          <w:sz w:val="28"/>
        </w:rPr>
        <w:t>ЕСИА — Единая система идентификации и аутентификации</w:t>
      </w:r>
    </w:p>
    <w:p w14:paraId="042DD5ED">
      <w:pPr>
        <w:spacing w:before="0" w:after="0" w:line="360" w:lineRule="auto"/>
        <w:ind w:firstLine="0"/>
        <w:jc w:val="left"/>
      </w:pPr>
      <w:r>
        <w:rPr>
          <w:rFonts w:ascii="Times New Roman" w:hAnsi="Times New Roman" w:cs="Times New Roman"/>
          <w:sz w:val="28"/>
        </w:rPr>
        <w:t>ИБ — Информационная безопасность</w:t>
      </w:r>
    </w:p>
    <w:p w14:paraId="6FCE9535">
      <w:pPr>
        <w:spacing w:before="0" w:after="0" w:line="360" w:lineRule="auto"/>
        <w:ind w:firstLine="0"/>
        <w:jc w:val="left"/>
      </w:pPr>
      <w:r>
        <w:rPr>
          <w:rFonts w:ascii="Times New Roman" w:hAnsi="Times New Roman" w:cs="Times New Roman"/>
          <w:sz w:val="28"/>
        </w:rPr>
        <w:t>ИИ — Искусственный интеллект</w:t>
      </w:r>
    </w:p>
    <w:p w14:paraId="389C144F">
      <w:pPr>
        <w:spacing w:before="0" w:after="0" w:line="360" w:lineRule="auto"/>
        <w:ind w:firstLine="0"/>
        <w:jc w:val="left"/>
      </w:pPr>
      <w:r>
        <w:rPr>
          <w:rFonts w:ascii="Times New Roman" w:hAnsi="Times New Roman" w:cs="Times New Roman"/>
          <w:sz w:val="28"/>
        </w:rPr>
        <w:t>ИНН — Идентификационный номер налогоплательщика</w:t>
      </w:r>
    </w:p>
    <w:p w14:paraId="1DEE77A0">
      <w:pPr>
        <w:spacing w:before="0" w:after="0" w:line="360" w:lineRule="auto"/>
        <w:ind w:firstLine="0"/>
        <w:jc w:val="left"/>
      </w:pPr>
      <w:r>
        <w:rPr>
          <w:rFonts w:ascii="Times New Roman" w:hAnsi="Times New Roman" w:cs="Times New Roman"/>
          <w:sz w:val="28"/>
        </w:rPr>
        <w:t>ИТ — Информационные технологии</w:t>
      </w:r>
    </w:p>
    <w:p w14:paraId="33E1CAA6">
      <w:pPr>
        <w:spacing w:before="0" w:after="0" w:line="360" w:lineRule="auto"/>
        <w:ind w:firstLine="0"/>
        <w:jc w:val="left"/>
      </w:pPr>
      <w:r>
        <w:rPr>
          <w:rFonts w:ascii="Times New Roman" w:hAnsi="Times New Roman" w:cs="Times New Roman"/>
          <w:sz w:val="28"/>
        </w:rPr>
        <w:t>ККТ — Контрольно-кассовая техника</w:t>
      </w:r>
    </w:p>
    <w:p w14:paraId="26C13D57">
      <w:pPr>
        <w:spacing w:before="0" w:after="0" w:line="360" w:lineRule="auto"/>
        <w:ind w:firstLine="0"/>
        <w:jc w:val="left"/>
      </w:pPr>
      <w:r>
        <w:rPr>
          <w:rFonts w:ascii="Times New Roman" w:hAnsi="Times New Roman" w:cs="Times New Roman"/>
          <w:sz w:val="28"/>
        </w:rPr>
        <w:t>МИС — Медицинская информационная система</w:t>
      </w:r>
    </w:p>
    <w:p w14:paraId="0A9C4C91">
      <w:pPr>
        <w:spacing w:before="0" w:after="0" w:line="360" w:lineRule="auto"/>
        <w:ind w:firstLine="0"/>
        <w:jc w:val="left"/>
      </w:pPr>
      <w:r>
        <w:rPr>
          <w:rFonts w:ascii="Times New Roman" w:hAnsi="Times New Roman" w:cs="Times New Roman"/>
          <w:sz w:val="28"/>
        </w:rPr>
        <w:t>НДФЛ — Налог на доходы физических лиц</w:t>
      </w:r>
    </w:p>
    <w:p w14:paraId="7D060D52">
      <w:pPr>
        <w:spacing w:before="0" w:after="0" w:line="360" w:lineRule="auto"/>
        <w:ind w:firstLine="0"/>
        <w:jc w:val="left"/>
      </w:pPr>
      <w:r>
        <w:rPr>
          <w:rFonts w:ascii="Times New Roman" w:hAnsi="Times New Roman" w:cs="Times New Roman"/>
          <w:sz w:val="28"/>
        </w:rPr>
        <w:t>ОФД — Оператор фискальных данных</w:t>
      </w:r>
    </w:p>
    <w:p w14:paraId="76987220">
      <w:pPr>
        <w:spacing w:before="0" w:after="0" w:line="360" w:lineRule="auto"/>
        <w:ind w:firstLine="0"/>
        <w:jc w:val="left"/>
      </w:pPr>
      <w:r>
        <w:rPr>
          <w:rFonts w:ascii="Times New Roman" w:hAnsi="Times New Roman" w:cs="Times New Roman"/>
          <w:sz w:val="28"/>
        </w:rPr>
        <w:t>ПДн — Персональные данные</w:t>
      </w:r>
    </w:p>
    <w:p w14:paraId="73C5BEA1">
      <w:pPr>
        <w:spacing w:before="0" w:after="0" w:line="360" w:lineRule="auto"/>
        <w:ind w:firstLine="0"/>
        <w:jc w:val="left"/>
      </w:pPr>
      <w:r>
        <w:rPr>
          <w:rFonts w:ascii="Times New Roman" w:hAnsi="Times New Roman" w:cs="Times New Roman"/>
          <w:sz w:val="28"/>
        </w:rPr>
        <w:t>ПО — Программное обеспечение</w:t>
      </w:r>
    </w:p>
    <w:p w14:paraId="2910D9FC">
      <w:pPr>
        <w:spacing w:before="0" w:after="0" w:line="360" w:lineRule="auto"/>
        <w:ind w:firstLine="0"/>
        <w:jc w:val="left"/>
      </w:pPr>
      <w:r>
        <w:rPr>
          <w:rFonts w:ascii="Times New Roman" w:hAnsi="Times New Roman" w:cs="Times New Roman"/>
          <w:sz w:val="28"/>
        </w:rPr>
        <w:t>РКН — Роскомнадзор</w:t>
      </w:r>
    </w:p>
    <w:p w14:paraId="42FB93CC">
      <w:pPr>
        <w:spacing w:before="0" w:after="0" w:line="360" w:lineRule="auto"/>
        <w:ind w:firstLine="0"/>
        <w:jc w:val="left"/>
      </w:pPr>
      <w:r>
        <w:rPr>
          <w:rFonts w:ascii="Times New Roman" w:hAnsi="Times New Roman" w:cs="Times New Roman"/>
          <w:sz w:val="28"/>
        </w:rPr>
        <w:t>СБИС — Система бизнес-интеграции и сервисов (сервис ЭДО и отчётности «Тензор»)</w:t>
      </w:r>
    </w:p>
    <w:p w14:paraId="2F150B8A">
      <w:pPr>
        <w:spacing w:before="0" w:after="0" w:line="360" w:lineRule="auto"/>
        <w:ind w:firstLine="0"/>
        <w:jc w:val="left"/>
      </w:pPr>
      <w:r>
        <w:rPr>
          <w:rFonts w:ascii="Times New Roman" w:hAnsi="Times New Roman" w:cs="Times New Roman"/>
          <w:sz w:val="28"/>
        </w:rPr>
        <w:t>СБП — Система быстрых платежей</w:t>
      </w:r>
    </w:p>
    <w:p w14:paraId="7A681BDE">
      <w:pPr>
        <w:spacing w:before="0" w:after="0" w:line="360" w:lineRule="auto"/>
        <w:ind w:firstLine="0"/>
        <w:jc w:val="left"/>
      </w:pPr>
      <w:r>
        <w:rPr>
          <w:rFonts w:ascii="Times New Roman" w:hAnsi="Times New Roman" w:cs="Times New Roman"/>
          <w:sz w:val="28"/>
        </w:rPr>
        <w:t>СУБД — Система управления базами данных</w:t>
      </w:r>
    </w:p>
    <w:p w14:paraId="77059850">
      <w:pPr>
        <w:spacing w:before="0" w:after="0" w:line="360" w:lineRule="auto"/>
        <w:ind w:firstLine="0"/>
        <w:jc w:val="left"/>
      </w:pPr>
      <w:r>
        <w:rPr>
          <w:rFonts w:ascii="Times New Roman" w:hAnsi="Times New Roman" w:cs="Times New Roman"/>
          <w:sz w:val="28"/>
        </w:rPr>
        <w:t>ТЗ — Техническое задание</w:t>
      </w:r>
    </w:p>
    <w:p w14:paraId="2E532897">
      <w:pPr>
        <w:spacing w:before="0" w:after="0" w:line="360" w:lineRule="auto"/>
        <w:ind w:firstLine="0"/>
        <w:jc w:val="left"/>
      </w:pPr>
      <w:r>
        <w:rPr>
          <w:rFonts w:ascii="Times New Roman" w:hAnsi="Times New Roman" w:cs="Times New Roman"/>
          <w:sz w:val="28"/>
        </w:rPr>
        <w:t>УЗ — Уровень защищённости персональных данных (по Постановлению Правительства РФ № 1119)</w:t>
      </w:r>
    </w:p>
    <w:p w14:paraId="00EC597B">
      <w:pPr>
        <w:spacing w:before="0" w:after="0" w:line="360" w:lineRule="auto"/>
        <w:ind w:firstLine="0"/>
        <w:jc w:val="left"/>
      </w:pPr>
      <w:r>
        <w:rPr>
          <w:rFonts w:ascii="Times New Roman" w:hAnsi="Times New Roman" w:cs="Times New Roman"/>
          <w:sz w:val="28"/>
        </w:rPr>
        <w:t>ФАС — Федеральная антимонопольная служба</w:t>
      </w:r>
    </w:p>
    <w:p w14:paraId="22C26D14">
      <w:pPr>
        <w:spacing w:before="0" w:after="0" w:line="360" w:lineRule="auto"/>
        <w:ind w:firstLine="0"/>
        <w:jc w:val="left"/>
      </w:pPr>
      <w:r>
        <w:rPr>
          <w:rFonts w:ascii="Times New Roman" w:hAnsi="Times New Roman" w:cs="Times New Roman"/>
          <w:sz w:val="28"/>
        </w:rPr>
        <w:t>ФЗ — Федеральный закон</w:t>
      </w:r>
    </w:p>
    <w:p w14:paraId="365B8D8E">
      <w:pPr>
        <w:spacing w:before="0" w:after="0" w:line="360" w:lineRule="auto"/>
        <w:ind w:firstLine="0"/>
        <w:jc w:val="left"/>
      </w:pPr>
      <w:r>
        <w:rPr>
          <w:rFonts w:ascii="Times New Roman" w:hAnsi="Times New Roman" w:cs="Times New Roman"/>
          <w:sz w:val="28"/>
        </w:rPr>
        <w:t>ФИО — Фамилия, имя, отчество</w:t>
      </w:r>
    </w:p>
    <w:p w14:paraId="00A964A8">
      <w:pPr>
        <w:spacing w:before="0" w:after="0" w:line="360" w:lineRule="auto"/>
        <w:ind w:firstLine="0"/>
        <w:jc w:val="left"/>
      </w:pPr>
      <w:r>
        <w:rPr>
          <w:rFonts w:ascii="Times New Roman" w:hAnsi="Times New Roman" w:cs="Times New Roman"/>
          <w:sz w:val="28"/>
        </w:rPr>
        <w:t>ФНС — Федеральная налоговая служба</w:t>
      </w:r>
    </w:p>
    <w:p w14:paraId="6698D9F4">
      <w:pPr>
        <w:spacing w:before="0" w:after="0" w:line="360" w:lineRule="auto"/>
        <w:ind w:firstLine="0"/>
        <w:jc w:val="left"/>
      </w:pPr>
      <w:r>
        <w:rPr>
          <w:rFonts w:ascii="Times New Roman" w:hAnsi="Times New Roman" w:cs="Times New Roman"/>
          <w:sz w:val="28"/>
        </w:rPr>
        <w:t>ФСТЭК — Федеральная служба по техническому и экспортному контролю</w:t>
      </w:r>
    </w:p>
    <w:p w14:paraId="31054E8F">
      <w:pPr>
        <w:spacing w:before="0" w:after="0" w:line="360" w:lineRule="auto"/>
        <w:ind w:firstLine="0"/>
        <w:jc w:val="left"/>
      </w:pPr>
      <w:r>
        <w:rPr>
          <w:rFonts w:ascii="Times New Roman" w:hAnsi="Times New Roman" w:cs="Times New Roman"/>
          <w:sz w:val="28"/>
        </w:rPr>
        <w:t>ЦБ РФ — Центральный банк Российской Федерации</w:t>
      </w:r>
    </w:p>
    <w:p w14:paraId="4685EE5B">
      <w:pPr>
        <w:spacing w:before="0" w:after="0" w:line="360" w:lineRule="auto"/>
        <w:ind w:firstLine="0"/>
        <w:jc w:val="left"/>
      </w:pPr>
      <w:r>
        <w:rPr>
          <w:rFonts w:ascii="Times New Roman" w:hAnsi="Times New Roman" w:cs="Times New Roman"/>
          <w:sz w:val="28"/>
        </w:rPr>
        <w:t>ЭДО — Электронный документооборот</w:t>
      </w:r>
    </w:p>
    <w:p w14:paraId="7CBA195C">
      <w:pPr>
        <w:spacing w:before="0" w:after="0" w:line="360" w:lineRule="auto"/>
        <w:ind w:firstLine="0"/>
        <w:jc w:val="left"/>
      </w:pPr>
      <w:r>
        <w:rPr>
          <w:rFonts w:ascii="Times New Roman" w:hAnsi="Times New Roman" w:cs="Times New Roman"/>
          <w:sz w:val="28"/>
        </w:rPr>
        <w:t>ЭМК — Электронная медицинская карта</w:t>
      </w:r>
    </w:p>
    <w:p w14:paraId="2A45230D">
      <w:pPr>
        <w:pStyle w:val="2"/>
        <w:pageBreakBefore/>
        <w:spacing w:before="0" w:after="0"/>
        <w:jc w:val="center"/>
      </w:pPr>
      <w:bookmarkStart w:id="3" w:name="_Toc1999079241"/>
      <w:r>
        <w:rPr>
          <w:rFonts w:ascii="Times New Roman" w:hAnsi="Times New Roman"/>
          <w:b/>
          <w:sz w:val="28"/>
        </w:rPr>
        <w:t>ТЕРМИНЫ И ОПРЕДЕЛЕНИЯ</w:t>
      </w:r>
      <w:bookmarkEnd w:id="3"/>
    </w:p>
    <w:p w14:paraId="5441336E">
      <w:pPr>
        <w:spacing w:before="0" w:after="0"/>
        <w:ind w:firstLine="709"/>
        <w:jc w:val="both"/>
      </w:pPr>
      <w:r>
        <w:rPr>
          <w:rFonts w:ascii="Times New Roman" w:hAnsi="Times New Roman"/>
          <w:b w:val="0"/>
          <w:sz w:val="28"/>
        </w:rPr>
        <w:t>Цифровой маркетинг — совокупность инструментов и методов продвижения товаров и услуг с использованием цифровых каналов: поисковых систем, социальных медиа, мессенджеров, мобильных приложений и веб-сайтов.</w:t>
      </w:r>
    </w:p>
    <w:p w14:paraId="1EDE8FAF">
      <w:pPr>
        <w:spacing w:before="0" w:after="0"/>
        <w:ind w:firstLine="709"/>
        <w:jc w:val="both"/>
      </w:pPr>
      <w:r>
        <w:rPr>
          <w:rFonts w:ascii="Times New Roman" w:hAnsi="Times New Roman"/>
          <w:b w:val="0"/>
          <w:sz w:val="28"/>
        </w:rPr>
        <w:t>Путь пациента (patient journey) — последовательность точек взаимодействия пациента с клиникой от момента возникновения потребности в медицинской услуге до завершения лечения и пост-клинического сопровождения.</w:t>
      </w:r>
    </w:p>
    <w:p w14:paraId="2AF32A4D">
      <w:pPr>
        <w:spacing w:before="0" w:after="0"/>
        <w:ind w:firstLine="709"/>
        <w:jc w:val="both"/>
      </w:pPr>
      <w:r>
        <w:rPr>
          <w:rFonts w:ascii="Times New Roman" w:hAnsi="Times New Roman"/>
          <w:b w:val="0"/>
          <w:sz w:val="28"/>
        </w:rPr>
        <w:t>Точка трения (friction point) — этап пути пациента, на котором возникает препятствие, задерживающее или прерывающее движение к целевому действию (записи, визиту, повторному обращению).</w:t>
      </w:r>
    </w:p>
    <w:p w14:paraId="1A666F65">
      <w:pPr>
        <w:spacing w:before="0" w:after="0"/>
        <w:ind w:firstLine="709"/>
        <w:jc w:val="both"/>
      </w:pPr>
      <w:r>
        <w:rPr>
          <w:rFonts w:ascii="Times New Roman" w:hAnsi="Times New Roman"/>
          <w:b w:val="0"/>
          <w:sz w:val="28"/>
        </w:rPr>
        <w:t>Конверсия — доля пользователей, совершивших целевое действие (переход от просмотра к записи, от записи к визиту), по отношению к общему числу пользователей, начавших соответствующий сценарий.</w:t>
      </w:r>
    </w:p>
    <w:p w14:paraId="21A6E23B">
      <w:pPr>
        <w:spacing w:before="0" w:after="0"/>
        <w:ind w:firstLine="709"/>
        <w:jc w:val="both"/>
      </w:pPr>
      <w:r>
        <w:rPr>
          <w:rFonts w:ascii="Times New Roman" w:hAnsi="Times New Roman"/>
          <w:b w:val="0"/>
          <w:sz w:val="28"/>
        </w:rPr>
        <w:t>Удержание пациента (retention) — способность клиники обеспечивать повторные визиты и долгосрочное взаимодействие с пациентом без привлечения дополнительных маркетинговых затрат.</w:t>
      </w:r>
    </w:p>
    <w:p w14:paraId="134A0C3E">
      <w:pPr>
        <w:spacing w:before="0" w:after="0"/>
        <w:ind w:firstLine="709"/>
        <w:jc w:val="both"/>
      </w:pPr>
      <w:r>
        <w:rPr>
          <w:rFonts w:ascii="Times New Roman" w:hAnsi="Times New Roman"/>
          <w:b w:val="0"/>
          <w:sz w:val="28"/>
        </w:rPr>
        <w:t>LTV (Lifetime Value, пожизненная ценность клиента) — суммарная выручка, генерируемая одним пациентом за весь период взаимодействия с клиникой.</w:t>
      </w:r>
    </w:p>
    <w:p w14:paraId="2D25146F">
      <w:pPr>
        <w:spacing w:before="0" w:after="0"/>
        <w:ind w:firstLine="709"/>
        <w:jc w:val="both"/>
      </w:pPr>
      <w:r>
        <w:rPr>
          <w:rFonts w:ascii="Times New Roman" w:hAnsi="Times New Roman"/>
          <w:b w:val="0"/>
          <w:sz w:val="28"/>
        </w:rPr>
        <w:t>No-show — неявка пациента на запланированный приём без предварительной отмены, влекущая прямые потери выручки и неэффективное использование рабочего времени врача.</w:t>
      </w:r>
    </w:p>
    <w:p w14:paraId="5EA75E1E">
      <w:pPr>
        <w:spacing w:before="0" w:after="0"/>
        <w:ind w:firstLine="709"/>
        <w:jc w:val="both"/>
      </w:pPr>
      <w:r>
        <w:rPr>
          <w:rFonts w:ascii="Times New Roman" w:hAnsi="Times New Roman"/>
          <w:b w:val="0"/>
          <w:sz w:val="28"/>
        </w:rPr>
        <w:t>Омниканальность — подход к организации коммуникаций, при котором все цифровые и офлайн-каналы взаимодействия с пациентом интегрированы в единую систему с общей историей контактов.</w:t>
      </w:r>
    </w:p>
    <w:p w14:paraId="78C1A201">
      <w:pPr>
        <w:spacing w:before="0" w:after="0"/>
        <w:ind w:firstLine="709"/>
        <w:jc w:val="both"/>
      </w:pPr>
      <w:r>
        <w:rPr>
          <w:rFonts w:ascii="Times New Roman" w:hAnsi="Times New Roman"/>
          <w:b w:val="0"/>
          <w:sz w:val="28"/>
        </w:rPr>
        <w:t>MVP (Minimum Viable Product, минимально жизнеспособный продукт) — версия продукта с минимальным набором функций, достаточным для проверки ключевых гипотез и получения обратной связи от реальных пользователей.</w:t>
      </w:r>
    </w:p>
    <w:p w14:paraId="7A249915">
      <w:pPr>
        <w:spacing w:before="0" w:after="0"/>
        <w:ind w:firstLine="709"/>
        <w:jc w:val="both"/>
      </w:pPr>
      <w:r>
        <w:rPr>
          <w:rFonts w:ascii="Times New Roman" w:hAnsi="Times New Roman"/>
          <w:b w:val="0"/>
          <w:sz w:val="28"/>
        </w:rPr>
        <w:t>AS-IS / AS-TO-BE — модели описания бизнес-процессов: AS-IS фиксирует текущее состояние процесса, AS-TO-BE — целевое состояние после внедрения проектного решения.</w:t>
      </w:r>
    </w:p>
    <w:p w14:paraId="702B6357">
      <w:pPr>
        <w:pStyle w:val="2"/>
        <w:pageBreakBefore/>
        <w:spacing w:before="0" w:after="0" w:line="360" w:lineRule="auto"/>
        <w:jc w:val="center"/>
        <w:rPr>
          <w:rFonts w:ascii="Times New Roman" w:hAnsi="Times New Roman" w:eastAsia="MS Mincho" w:cs="Times New Roman"/>
          <w:color w:val="000000"/>
          <w:kern w:val="0"/>
          <w:sz w:val="28"/>
          <w:szCs w:val="22"/>
          <w14:ligatures w14:val="none"/>
        </w:rPr>
      </w:pPr>
      <w:bookmarkStart w:id="4" w:name="_Toc1469006742"/>
      <w:r>
        <w:rPr>
          <w:rFonts w:ascii="Times New Roman" w:hAnsi="Times New Roman" w:eastAsia="Times New Roman" w:cs="Times New Roman"/>
          <w:b/>
          <w:color w:val="000000"/>
          <w:kern w:val="0"/>
          <w:sz w:val="28"/>
          <w:szCs w:val="22"/>
          <w14:ligatures w14:val="none"/>
        </w:rPr>
        <w:t>ВВЕДЕНИЕ</w:t>
      </w:r>
      <w:bookmarkEnd w:id="4"/>
    </w:p>
    <w:p w14:paraId="4B8EF771">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Российский рынок стоматологических услуг продолжает рост: по оценке </w:t>
      </w:r>
      <w:r>
        <w:rPr>
          <w:rFonts w:ascii="Times New Roman" w:hAnsi="Times New Roman" w:eastAsia="Times New Roman" w:cs="Times New Roman"/>
          <w:color w:val="000000"/>
          <w:kern w:val="0"/>
          <w:sz w:val="28"/>
          <w:szCs w:val="22"/>
          <w:lang w:val="en-US"/>
          <w14:ligatures w14:val="none"/>
        </w:rPr>
        <w:t>DentalData</w:t>
      </w:r>
      <w:r>
        <w:rPr>
          <w:rFonts w:ascii="Times New Roman" w:hAnsi="Times New Roman" w:eastAsia="Times New Roman" w:cs="Times New Roman"/>
          <w:color w:val="000000"/>
          <w:kern w:val="0"/>
          <w:sz w:val="28"/>
          <w:szCs w:val="22"/>
          <w14:ligatures w14:val="none"/>
        </w:rPr>
        <w:t xml:space="preserve">, оборот рынка частных стоматологических услуг в России за 2024 год вырос на 15,4 % и достиг 717 млрд руб., причём опережающими темпами растёт сегмент крупных городов, где конкуренция за лояльность пациента обострена сильнее [1]. Аналитика медицинского маркетинга за последний год фиксирует заметный рост расходов на рекламу в отрасли и удорожание единицы коммуникации – заявки или звонка. Несмотря на широкий выбор МИС и </w:t>
      </w:r>
      <w:r>
        <w:rPr>
          <w:rFonts w:ascii="Times New Roman" w:hAnsi="Times New Roman" w:eastAsia="Times New Roman" w:cs="Times New Roman"/>
          <w:color w:val="000000"/>
          <w:kern w:val="0"/>
          <w:sz w:val="28"/>
          <w:szCs w:val="22"/>
          <w:lang w:val="en-US"/>
          <w14:ligatures w14:val="none"/>
        </w:rPr>
        <w:t>CRM</w:t>
      </w:r>
      <w:r>
        <w:rPr>
          <w:rFonts w:ascii="Times New Roman" w:hAnsi="Times New Roman" w:eastAsia="Times New Roman" w:cs="Times New Roman"/>
          <w:color w:val="000000"/>
          <w:kern w:val="0"/>
          <w:sz w:val="28"/>
          <w:szCs w:val="22"/>
          <w14:ligatures w14:val="none"/>
        </w:rPr>
        <w:t xml:space="preserve"> на российском рынке, полноценный цифровой контур коммуникаций с пациентом внедрён в ограниченном числе клиник. Сочетание дорожающего привлечения и низкой цифровой зрелости каналов превращает цифровую трансформацию пути пациента в условие сохранения рентабельности клиники.</w:t>
      </w:r>
    </w:p>
    <w:p w14:paraId="46B78730">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Поведение пациента меняется параллельно с рынком. Телефонный звонок сохраняет лидерство в общем потоке обращений, однако среди первичных коммуникаций уже доминируют чаты и формы заявок: пациенты избегают голосового канала и ожидают от клиники удобной онлайн-записи, прозрачного ценообразования и доступа к истории визитов в одном цифровом контуре. Тот же запрос подтверждает и зарубежная статистика: до 83% пациентов предпочитают самостоятельную онлайн-запись [2], 81% готовы рекомендовать клинику при превышении ожиданий по коммуникациям [3].</w:t>
      </w:r>
    </w:p>
    <w:p w14:paraId="09CA0DD0">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Управленческая проблема исследования состоит в том, что текущая цепочка касаний клиники не соответствует ожиданиям пациента: удобной онлайн-записи, прозрачному ценообразованию, статусу лечения и доступу к истории визитов. Внешне это проявляется как низкая конверсия первичного трафика, рост числа неявок на записанные приёмы, отказы от лечения из-за трудоёмкости переноса записи, отток пациентов на этапе пост-диагностики, увеличение операционной нагрузки на регистратуру, снижение частоты профилактических визитов и зависимость бизнеса от единственного телефонного канала записи. </w:t>
      </w:r>
    </w:p>
    <w:p w14:paraId="2780A215">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Актуальность темы обусловлена и нормативной средой. На отрезке 2025-2026 годов последовательно меняются требования к работе с персональными данными, телемедицинским технологиям и рекламе медицинских услуг. С 30 мая и 1 сентября 2025 года вступили в силу изменения в Федеральный закон «О персональных данных», внесённые Федеральным законом от 23.05.2025 № 121-ФЗ: согласие должно оформляться отдельным документом, ужесточаются требования к составу обязательных реквизитов и хранению [4]. С 1 июля 2025 года введён запрет на обработку и хранение персональных данных российских граждан в базах, размещённых за пределами Российской Федерации [5]. С 1 сентября 2025 года действуют новый порядок применения телемедицинских технологий, утверждённый приказом Минздрава России № 193н [6], и универсальный запрет рекламы на ограниченных и нежелательных интернет-ресурсах (Федеральным законом от 07.04.2025 № 72-ФЗ) [7], который меняет правила продвижения медицинских услуг в интернете. Эти изменения напрямую определяют технические и продуктовые решения цифровых сервисов клиники.</w:t>
      </w:r>
    </w:p>
    <w:p w14:paraId="7BA411D3">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Объект исследования – сеть стоматологических клиник как субъект рынка медицинских услуг, реализующий цифровую модель взаимодействия с пациентом. </w:t>
      </w:r>
    </w:p>
    <w:p w14:paraId="0CD6B7FA">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Предмет исследования – инструменты цифрового маркетинга для привлечения и удержания пациентов.</w:t>
      </w:r>
    </w:p>
    <w:p w14:paraId="428190C4">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Исследовательский вопрос: Какие барьеры и «точки трения», возникающие в процессе записи клиента на прием и предварительной коммуникации, влияют на решение пациента совершить визит? </w:t>
      </w:r>
    </w:p>
    <w:p w14:paraId="2FB64702">
      <w:pPr>
        <w:spacing w:before="0" w:after="0"/>
        <w:ind w:firstLine="709"/>
        <w:jc w:val="both"/>
      </w:pPr>
      <w:r>
        <w:rPr>
          <w:rFonts w:ascii="Times New Roman" w:hAnsi="Times New Roman"/>
          <w:b w:val="0"/>
          <w:sz w:val="28"/>
        </w:rPr>
        <w:t>В соответствии с исследовательским вопросом выдвинуты три гипотезы: Г1 — онлайн-запись увеличивает конверсию первичного трафика; Г2 — автоматические напоминания сокращают долю неявок; Г3 — единый цифровой профиль пациента повышает удержание. Каждая из гипотез проверяется в соответствующем разделе работы.</w:t>
      </w:r>
    </w:p>
    <w:p w14:paraId="245CBC14">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Цель работы – обосновать состав цифровых инструментов, снимающих барьеры пути пациента в стоматологической клинике, и разработать концепт мобильного приложения уровня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 xml:space="preserve">, который реализует приоритетные сценарии записи, ведения профиля и оформления налогового вычета. </w:t>
      </w:r>
    </w:p>
    <w:p w14:paraId="33DE3AC6">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Для достижения цели поставлены следующие задачи:</w:t>
      </w:r>
    </w:p>
    <w:p w14:paraId="6C2284F3">
      <w:pPr>
        <w:pStyle w:val="151"/>
        <w:numPr>
          <w:ilvl w:val="0"/>
          <w:numId w:val="7"/>
        </w:numPr>
        <w:spacing w:before="0" w:after="0" w:line="360" w:lineRule="auto"/>
        <w:ind w:left="0"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проанализировать понятие и инструментарий цифрового маркетинга, рыночные тенденции его развития и особенности применения в стоматологии; </w:t>
      </w:r>
    </w:p>
    <w:p w14:paraId="4073C383">
      <w:pPr>
        <w:pStyle w:val="151"/>
        <w:numPr>
          <w:ilvl w:val="0"/>
          <w:numId w:val="7"/>
        </w:numPr>
        <w:spacing w:before="0" w:after="0" w:line="360" w:lineRule="auto"/>
        <w:ind w:left="0"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color w:val="000000"/>
          <w:kern w:val="0"/>
          <w:sz w:val="28"/>
          <w:szCs w:val="22"/>
          <w14:ligatures w14:val="none"/>
        </w:rPr>
        <w:t>про</w:t>
      </w:r>
      <w:r>
        <w:rPr>
          <w:rFonts w:ascii="Times New Roman" w:hAnsi="Times New Roman" w:eastAsia="Times New Roman" w:cs="Times New Roman"/>
          <w:kern w:val="0"/>
          <w:sz w:val="28"/>
          <w:szCs w:val="28"/>
          <w:lang w:eastAsia="ru-RU"/>
          <w14:ligatures w14:val="none"/>
        </w:rPr>
        <w:t>анализировать деятельность сети стоматологических клиник;</w:t>
      </w:r>
    </w:p>
    <w:p w14:paraId="1DAE9689">
      <w:pPr>
        <w:pStyle w:val="151"/>
        <w:numPr>
          <w:ilvl w:val="0"/>
          <w:numId w:val="7"/>
        </w:numPr>
        <w:spacing w:before="0" w:after="0" w:line="360" w:lineRule="auto"/>
        <w:ind w:left="0"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color w:val="000000"/>
          <w:kern w:val="0"/>
          <w:sz w:val="28"/>
          <w:szCs w:val="22"/>
          <w14:ligatures w14:val="none"/>
        </w:rPr>
        <w:t xml:space="preserve">изучить международный и российский опыт решения проблемы цифровых барьеров записи и повторных визитов пациентов, определить теоретические предпосылки её устранения; </w:t>
      </w:r>
    </w:p>
    <w:p w14:paraId="47EE10D5">
      <w:pPr>
        <w:pStyle w:val="151"/>
        <w:numPr>
          <w:ilvl w:val="0"/>
          <w:numId w:val="7"/>
        </w:numPr>
        <w:spacing w:before="0" w:after="0" w:line="360" w:lineRule="auto"/>
        <w:ind w:left="0"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color w:val="000000"/>
          <w:kern w:val="0"/>
          <w:sz w:val="28"/>
          <w:szCs w:val="22"/>
          <w14:ligatures w14:val="none"/>
        </w:rPr>
        <w:t xml:space="preserve">систематизировать нормативные изменения 2025-2026 годов в части персональных данных, телемедицины и рекламы медицинских услуг, оценить их влияние на проектные решения; </w:t>
      </w:r>
    </w:p>
    <w:p w14:paraId="07F40EC6">
      <w:pPr>
        <w:pStyle w:val="151"/>
        <w:numPr>
          <w:ilvl w:val="0"/>
          <w:numId w:val="7"/>
        </w:numPr>
        <w:spacing w:before="0" w:after="0" w:line="360" w:lineRule="auto"/>
        <w:ind w:left="0"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формализовать существующий бизнес-процесс записи и приема в стоматологическую клинику, обосновать необходимость его совершенствования;</w:t>
      </w:r>
    </w:p>
    <w:p w14:paraId="767A74E3">
      <w:pPr>
        <w:pStyle w:val="151"/>
        <w:numPr>
          <w:ilvl w:val="0"/>
          <w:numId w:val="7"/>
        </w:numPr>
        <w:spacing w:before="0" w:after="0" w:line="360" w:lineRule="auto"/>
        <w:ind w:left="0"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обосновать выбор конкретного состава цифровых инструментов для клиники и сформулировать критерии их отбора; </w:t>
      </w:r>
    </w:p>
    <w:p w14:paraId="188A44BE">
      <w:pPr>
        <w:pStyle w:val="151"/>
        <w:numPr>
          <w:ilvl w:val="0"/>
          <w:numId w:val="7"/>
        </w:numPr>
        <w:spacing w:before="0" w:after="0" w:line="360" w:lineRule="auto"/>
        <w:ind w:left="0"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разработать концепт мобильного приложения уровня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 xml:space="preserve"> и оценить прогнозный экономический эффект внедрения. </w:t>
      </w:r>
    </w:p>
    <w:p w14:paraId="61298943">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Методологическую основу исследования составили общенаучные методы анализа и синтеза, системный и сравнительный подходы, методы кабинетного анализа открытых данных, контент-анализ научной литературы, нормативных актов и внутренних документов компании, методы проектирования программного обеспечения по ГОСТ 34.602-89 и модели качества </w:t>
      </w:r>
      <w:r>
        <w:rPr>
          <w:rFonts w:ascii="Times New Roman" w:hAnsi="Times New Roman" w:eastAsia="Times New Roman" w:cs="Times New Roman"/>
          <w:color w:val="000000"/>
          <w:kern w:val="0"/>
          <w:sz w:val="28"/>
          <w:szCs w:val="22"/>
          <w:lang w:val="en-US"/>
          <w14:ligatures w14:val="none"/>
        </w:rPr>
        <w:t>ISO</w:t>
      </w:r>
      <w:r>
        <w:rPr>
          <w:rFonts w:ascii="Times New Roman" w:hAnsi="Times New Roman" w:eastAsia="Times New Roman" w:cs="Times New Roman"/>
          <w:color w:val="000000"/>
          <w:kern w:val="0"/>
          <w:sz w:val="28"/>
          <w:szCs w:val="22"/>
          <w14:ligatures w14:val="none"/>
        </w:rPr>
        <w:t>/</w:t>
      </w:r>
      <w:r>
        <w:rPr>
          <w:rFonts w:ascii="Times New Roman" w:hAnsi="Times New Roman" w:eastAsia="Times New Roman" w:cs="Times New Roman"/>
          <w:color w:val="000000"/>
          <w:kern w:val="0"/>
          <w:sz w:val="28"/>
          <w:szCs w:val="22"/>
          <w:lang w:val="en-US"/>
          <w14:ligatures w14:val="none"/>
        </w:rPr>
        <w:t>IEC</w:t>
      </w:r>
      <w:r>
        <w:rPr>
          <w:rFonts w:ascii="Times New Roman" w:hAnsi="Times New Roman" w:eastAsia="Times New Roman" w:cs="Times New Roman"/>
          <w:color w:val="000000"/>
          <w:kern w:val="0"/>
          <w:sz w:val="28"/>
          <w:szCs w:val="22"/>
          <w14:ligatures w14:val="none"/>
        </w:rPr>
        <w:t xml:space="preserve"> 25010:2011, а также расчётные методы прогнозной экономической оценки. </w:t>
      </w:r>
    </w:p>
    <w:p w14:paraId="1183BBC4">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Информационная база исследования включает работы российских и зарубежных авторов в области цифрового маркетинга и медицинских коммуникаций, отраслевые отчёты </w:t>
      </w:r>
      <w:r>
        <w:rPr>
          <w:rFonts w:ascii="Times New Roman" w:hAnsi="Times New Roman" w:eastAsia="Times New Roman" w:cs="Times New Roman"/>
          <w:color w:val="000000"/>
          <w:kern w:val="0"/>
          <w:sz w:val="28"/>
          <w:szCs w:val="22"/>
          <w:lang w:val="en-US"/>
          <w14:ligatures w14:val="none"/>
        </w:rPr>
        <w:t>BusinesStat</w:t>
      </w:r>
      <w:r>
        <w:rPr>
          <w:rFonts w:ascii="Times New Roman" w:hAnsi="Times New Roman" w:eastAsia="Times New Roman" w:cs="Times New Roman"/>
          <w:color w:val="000000"/>
          <w:kern w:val="0"/>
          <w:sz w:val="28"/>
          <w:szCs w:val="22"/>
          <w14:ligatures w14:val="none"/>
        </w:rPr>
        <w:t xml:space="preserve"> и аналитические обзоры медицинского маркетинга, законодательные и подзаконные акты Российской Федерации (в том числе федеральные законы № 152-ФЗ, № 323-ФЗ, № 38-ФЗ, приказы Минздрава России и ФСТЭК), международные источники (материалы Американской стоматологической ассоциации, Национальной службы здравоохранения Великобритании, профильные мета-анализы), а также собственные расчёты автора по базовому сценарию внедрения мобильного приложения.</w:t>
      </w:r>
    </w:p>
    <w:p w14:paraId="05C6FB50">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Научная и практическая значимость работы состоит в том, что в ней систематизирована связь между конкретными барьерами пути пациента в стоматологии и составом цифровых инструментов, способных эти барьеры снимать. Систематизация выполнена с привязкой к актуальной нормативной среде и проверяемым эмпирическим данным. Полученные проектные решения применимы сетями клиник среднего размера при подготовке цифровых продуктов и обосновании инвестиционных решений. </w:t>
      </w:r>
    </w:p>
    <w:p w14:paraId="3DA3ECE0">
      <w:pPr>
        <w:spacing w:before="0" w:after="0"/>
        <w:ind w:firstLine="709"/>
        <w:jc w:val="both"/>
        <w:rPr>
          <w:rFonts w:ascii="Times New Roman" w:hAnsi="Times New Roman" w:eastAsia="MS Mincho"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Работа состоит из введения, трёх глав, заключения, списка использованных источников и приложений. Первая глава посвящена теоретическим и рыночным основам применения цифрового маркетинга в стоматологии, а также рассмотрена международная и российская практика решения проблемы цифровых барьеров. Во второй главе выполняется анализ среды и пути пациента сети клиник, обосновывается выбор цифровых инструментов, формулируются критерии отбора. Третья глава содержит концепт мобильного приложения уровня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 xml:space="preserve"> и расчёт прогнозного экономического эффекта. </w:t>
      </w:r>
    </w:p>
    <w:p w14:paraId="329ED175">
      <w:pPr>
        <w:pStyle w:val="2"/>
        <w:pageBreakBefore/>
        <w:spacing w:before="0" w:after="0" w:line="360" w:lineRule="auto"/>
        <w:ind w:firstLine="709"/>
        <w:jc w:val="both"/>
        <w:rPr>
          <w:rFonts w:ascii="Times New Roman" w:hAnsi="Times New Roman" w:eastAsia="Calibri" w:cs="Times New Roman"/>
          <w:b/>
          <w:bCs/>
          <w:kern w:val="0"/>
          <w:sz w:val="28"/>
          <w:szCs w:val="28"/>
          <w14:ligatures w14:val="none"/>
        </w:rPr>
      </w:pPr>
      <w:bookmarkStart w:id="5" w:name="_Toc2124306882"/>
      <w:r>
        <w:rPr>
          <w:rFonts w:ascii="Times New Roman" w:hAnsi="Times New Roman" w:eastAsia="Calibri" w:cs="Times New Roman"/>
          <w:b/>
          <w:bCs/>
          <w:kern w:val="0"/>
          <w:sz w:val="28"/>
          <w:szCs w:val="28"/>
          <w14:ligatures w14:val="none"/>
        </w:rPr>
        <w:t>1 ТЕОРЕТИЧЕСКИЕ И РЫНОЧНЫЕ ОСНОВЫ ПРИМЕНЕНИЯ ИНСТРУМЕНТОВ DIGITAL-МАРКЕТИНГА В УПРАВЛЕНИИ СТОМАТОЛОГИЧЕСКОЙ КЛИНИКОЙ</w:t>
      </w:r>
      <w:bookmarkEnd w:id="5"/>
    </w:p>
    <w:p w14:paraId="648F4192">
      <w:pPr>
        <w:pStyle w:val="3"/>
        <w:spacing w:before="0" w:after="0" w:line="360" w:lineRule="auto"/>
        <w:ind w:firstLine="709"/>
        <w:jc w:val="both"/>
        <w:rPr>
          <w:rFonts w:ascii="Times New Roman" w:hAnsi="Times New Roman" w:eastAsia="Calibri" w:cs="Times New Roman"/>
          <w:b/>
          <w:bCs/>
          <w:kern w:val="0"/>
          <w:sz w:val="28"/>
          <w:szCs w:val="28"/>
          <w14:ligatures w14:val="none"/>
        </w:rPr>
      </w:pPr>
      <w:bookmarkStart w:id="6" w:name="_Toc1310134399"/>
      <w:r>
        <w:rPr>
          <w:rFonts w:ascii="Times New Roman" w:hAnsi="Times New Roman" w:eastAsia="Calibri" w:cs="Times New Roman"/>
          <w:b/>
          <w:bCs/>
          <w:kern w:val="0"/>
          <w:sz w:val="28"/>
          <w:szCs w:val="28"/>
          <w14:ligatures w14:val="none"/>
        </w:rPr>
        <w:t>1.1 Понятие и инструменты Digital-маркетинга</w:t>
      </w:r>
      <w:bookmarkEnd w:id="6"/>
    </w:p>
    <w:p w14:paraId="66D373E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первую очередь необходимо проанализировать понятие </w:t>
      </w:r>
      <w:r>
        <w:rPr>
          <w:rFonts w:ascii="Times New Roman" w:hAnsi="Times New Roman" w:eastAsia="Calibri" w:cs="Times New Roman"/>
          <w:kern w:val="0"/>
          <w:sz w:val="28"/>
          <w:szCs w:val="28"/>
          <w:lang w:val="en-US"/>
          <w14:ligatures w14:val="none"/>
        </w:rPr>
        <w:t>digital</w:t>
      </w:r>
      <w:r>
        <w:rPr>
          <w:rFonts w:ascii="Times New Roman" w:hAnsi="Times New Roman" w:eastAsia="Calibri" w:cs="Times New Roman"/>
          <w:kern w:val="0"/>
          <w:sz w:val="28"/>
          <w:szCs w:val="28"/>
          <w14:ligatures w14:val="none"/>
        </w:rPr>
        <w:t xml:space="preserve">-маркетинга (или цифрового маркетинга), представленные в научной литературе. </w:t>
      </w:r>
    </w:p>
    <w:p w14:paraId="5912340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Цифровой маркетинг представляет собой привлечение потребителей и продвижение с помощью электронных каналов связи и социальных сетей. Появление цифрового маркетинга связывается с глобальным трендом на цифровизацию. В данном контексте цифровой маркетинг рассматривается автором как система, объединяющая новейшие направления маркетинга, связанными с цифровыми методами и инструментами [8].</w:t>
      </w:r>
    </w:p>
    <w:p w14:paraId="2A635CA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lang w:val="en-US"/>
          <w14:ligatures w14:val="none"/>
        </w:rPr>
        <w:t>Digital</w:t>
      </w:r>
      <w:r>
        <w:rPr>
          <w:rFonts w:ascii="Times New Roman" w:hAnsi="Times New Roman" w:eastAsia="Calibri" w:cs="Times New Roman"/>
          <w:kern w:val="0"/>
          <w:sz w:val="28"/>
          <w:szCs w:val="28"/>
          <w14:ligatures w14:val="none"/>
        </w:rPr>
        <w:t>-маркетинг – комплекс маркетинга, использующий цифровые устройства (персональный компьютер, телефон, телевизор и т. д.) и цифровые каналы доступа (интернет, локальные сети, базы данных).</w:t>
      </w:r>
    </w:p>
    <w:p w14:paraId="40E5E6D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Можно выделить следующие элементы системы цифрового маркетинга:</w:t>
      </w:r>
    </w:p>
    <w:p w14:paraId="4ED5386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интернет-маркетинг – продвижение в поисковой системе, социальных сетях, по электронной почте, сайты и контент-маркетинг;</w:t>
      </w:r>
    </w:p>
    <w:p w14:paraId="64E14B5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2) цифровые продажи через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-системы, электронные коммерческие предложения, запись телефонных звонов, мессенджеры, онлайн-консультанты, колл-центры;</w:t>
      </w:r>
    </w:p>
    <w:p w14:paraId="321326F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3) мобильный маркетинг – мобильные приложения, СМС, сайты, мобильная реклама, мессенджеры, чат-боты;</w:t>
      </w:r>
    </w:p>
    <w:p w14:paraId="23CB731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4) </w:t>
      </w:r>
      <w:r>
        <w:rPr>
          <w:rFonts w:ascii="Times New Roman" w:hAnsi="Times New Roman" w:eastAsia="Calibri" w:cs="Times New Roman"/>
          <w:kern w:val="0"/>
          <w:sz w:val="28"/>
          <w:szCs w:val="28"/>
          <w:lang w:val="en-US"/>
          <w14:ligatures w14:val="none"/>
        </w:rPr>
        <w:t>IT</w:t>
      </w:r>
      <w:r>
        <w:rPr>
          <w:rFonts w:ascii="Times New Roman" w:hAnsi="Times New Roman" w:eastAsia="Calibri" w:cs="Times New Roman"/>
          <w:kern w:val="0"/>
          <w:sz w:val="28"/>
          <w:szCs w:val="28"/>
          <w14:ligatures w14:val="none"/>
        </w:rPr>
        <w:t>-системы – системы формирования запросов, проверки запасов, генераторы сайтов, системы обучения клиентов;</w:t>
      </w:r>
    </w:p>
    <w:p w14:paraId="4F0B995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5) аналитика – веб-аналитика, интеграция с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 системы визуализации данных, аналитика каналов коммуникации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[9].</w:t>
      </w:r>
    </w:p>
    <w:p w14:paraId="0B058F5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Согласно И. Манн, цифровые каналы маркетинга необходимы для повышения онлайн-присутствия, компании должны повышать удобство сайта, оптимизировать его для сокращения времени загрузки страницы. Также важно развивать различные каналы рекламы, а особенно таргетированную рекламу, направленную на пользователей, уже посещавших сайт для повышения их вовлеченности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[10].</w:t>
      </w:r>
    </w:p>
    <w:p w14:paraId="6F58F16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Цифровой маркетинг, по мнению А.А. Лаврентьева, трансформировался в комплексную систему взаимоотношений и коммуникаций между брендом и потребителями, включающую в себя совокупность методов и инструментов, направленных на привлечение и удержание клиентов с помощью электронных платформ. При этом, клиентами могут выступать как частные пользователи, так и бизнес, то есть он актуален как для В2С-сегмента, так и для В2В</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[11]. </w:t>
      </w:r>
    </w:p>
    <w:p w14:paraId="4232768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Выделяют следующие виды инструментов цифрового маркетинга:</w:t>
      </w:r>
    </w:p>
    <w:p w14:paraId="24F9FF2C">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создание контента;</w:t>
      </w:r>
    </w:p>
    <w:p w14:paraId="25BF0491">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lang w:val="en-US"/>
          <w14:ligatures w14:val="none"/>
        </w:rPr>
        <w:t>e</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mail</w:t>
      </w:r>
      <w:r>
        <w:rPr>
          <w:rFonts w:ascii="Times New Roman" w:hAnsi="Times New Roman" w:eastAsia="Calibri" w:cs="Times New Roman"/>
          <w:kern w:val="0"/>
          <w:sz w:val="28"/>
          <w:szCs w:val="28"/>
          <w14:ligatures w14:val="none"/>
        </w:rPr>
        <w:t>-маркетинг;</w:t>
      </w:r>
    </w:p>
    <w:p w14:paraId="2C1EF064">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пресс-релизы;</w:t>
      </w:r>
    </w:p>
    <w:p w14:paraId="39F8EB45">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целевая страница;</w:t>
      </w:r>
    </w:p>
    <w:p w14:paraId="1D667FB9">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совместное творчество;</w:t>
      </w:r>
    </w:p>
    <w:p w14:paraId="003EA4E4">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дополненная реальность;</w:t>
      </w:r>
    </w:p>
    <w:p w14:paraId="7E4879A5">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блоги и социальные сети;</w:t>
      </w:r>
    </w:p>
    <w:p w14:paraId="3D6F9F56">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поисковая оптимизация;</w:t>
      </w:r>
    </w:p>
    <w:p w14:paraId="7E4079C9">
      <w:pPr>
        <w:pStyle w:val="151"/>
        <w:numPr>
          <w:ilvl w:val="0"/>
          <w:numId w:val="8"/>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виртуальная реальность.</w:t>
      </w:r>
    </w:p>
    <w:p w14:paraId="0A8D022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Исходя из выделенных инструментов цифрового маркетинга, можно сделать вывод о том, что понятие цифрового маркетинга не равносильно понятию интернет-маркетинга. Цифровой маркетинг – более широкое понятие, к которому относятся инструменты продвижения с помощью цифровых технологий, которые, в частности, могут быть связаны с интернетом (например, поисковая оптимизация, социальные сети, сайты и прочее), но могут и не быть связаны с ним – например, виртуальная и дополненная реальность, </w:t>
      </w:r>
      <w:r>
        <w:rPr>
          <w:rFonts w:ascii="Times New Roman" w:hAnsi="Times New Roman" w:eastAsia="Calibri" w:cs="Times New Roman"/>
          <w:kern w:val="0"/>
          <w:sz w:val="28"/>
          <w:szCs w:val="28"/>
          <w:lang w:val="en-US"/>
          <w14:ligatures w14:val="none"/>
        </w:rPr>
        <w:t>SMS</w:t>
      </w:r>
      <w:r>
        <w:rPr>
          <w:rFonts w:ascii="Times New Roman" w:hAnsi="Times New Roman" w:eastAsia="Calibri" w:cs="Times New Roman"/>
          <w:kern w:val="0"/>
          <w:sz w:val="28"/>
          <w:szCs w:val="28"/>
          <w14:ligatures w14:val="none"/>
        </w:rPr>
        <w:t>-рассылки. Такие технологии относятся к цифровым, но не относятся к Интернет-технологиям.</w:t>
      </w:r>
    </w:p>
    <w:p w14:paraId="5E98DFB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 аналогичному выводу приходит и исследователь Д. А. Шевченко, утверждающий, что цифровой маркетинг может включать в себя каналы, не требующие продвижения в Интернете, поэтому цифровой маркетинг как понятие шире, чем интернет-маркетинг</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[12]. </w:t>
      </w:r>
    </w:p>
    <w:p w14:paraId="7D536F1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На основе рассмотренных определений, digital-маркетинг в медицине – это не просто набор каналов (SEO, SMM, контекст), а человекоцентричная экосистема управления путем пациента. </w:t>
      </w:r>
    </w:p>
    <w:p w14:paraId="675916E0">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Таблица 1 — Ключевые акценты digital-маркетинга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3"/>
        <w:gridCol w:w="5522"/>
      </w:tblGrid>
      <w:tr w14:paraId="1F660D2D">
        <w:tc>
          <w:tcPr>
            <w:tcW w:w="3823" w:type="dxa"/>
          </w:tcPr>
          <w:p w14:paraId="2FD167BF">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Источник </w:t>
            </w:r>
          </w:p>
        </w:tc>
        <w:tc>
          <w:tcPr>
            <w:tcW w:w="5522" w:type="dxa"/>
          </w:tcPr>
          <w:p w14:paraId="0F85E9C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Ключевой акцент</w:t>
            </w:r>
          </w:p>
        </w:tc>
      </w:tr>
      <w:tr w14:paraId="2A35395B">
        <w:tc>
          <w:tcPr>
            <w:tcW w:w="3823" w:type="dxa"/>
          </w:tcPr>
          <w:p w14:paraId="29142C53">
            <w:pPr>
              <w:spacing w:before="0" w:after="0" w:line="240" w:lineRule="auto"/>
              <w:ind w:firstLine="0"/>
              <w:jc w:val="both"/>
              <w:rPr>
                <w:rFonts w:ascii="Times New Roman" w:hAnsi="Times New Roman" w:cs="Times New Roman"/>
                <w:kern w:val="0"/>
                <w14:ligatures w14:val="none"/>
              </w:rPr>
            </w:pPr>
            <w:r>
              <w:rPr>
                <w:rFonts w:ascii="Times New Roman" w:hAnsi="Times New Roman" w:cs="Times New Roman"/>
                <w:kern w:val="0"/>
                <w:sz w:val="24"/>
                <w:lang w:val="en-US"/>
                <w14:ligatures w14:val="none"/>
              </w:rPr>
              <w:t>Digital</w:t>
            </w:r>
            <w:r>
              <w:rPr>
                <w:rFonts w:ascii="Times New Roman" w:hAnsi="Times New Roman" w:cs="Times New Roman"/>
                <w:kern w:val="0"/>
                <w:sz w:val="24"/>
                <w14:ligatures w14:val="none"/>
              </w:rPr>
              <w:t>-маркетинг. Главная книга интернет-маркетолога / А. Гавриков</w:t>
            </w:r>
          </w:p>
        </w:tc>
        <w:tc>
          <w:tcPr>
            <w:tcW w:w="5522" w:type="dxa"/>
          </w:tcPr>
          <w:p w14:paraId="05F52FBE">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Комплекс маркетинга с использованием электронных средств связи. </w:t>
            </w:r>
          </w:p>
        </w:tc>
      </w:tr>
      <w:tr w14:paraId="0AE1C87A">
        <w:tc>
          <w:tcPr>
            <w:tcW w:w="3823" w:type="dxa"/>
          </w:tcPr>
          <w:p w14:paraId="56E62DC7">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cs="Times New Roman"/>
                <w:kern w:val="0"/>
                <w:sz w:val="24"/>
                <w14:ligatures w14:val="none"/>
              </w:rPr>
              <w:t xml:space="preserve">Лаврентьев А.А. Эволюция цифрового маркетинга: анализ ключевых изменений в </w:t>
            </w:r>
            <w:r>
              <w:rPr>
                <w:rFonts w:ascii="Times New Roman" w:hAnsi="Times New Roman" w:cs="Times New Roman"/>
                <w:kern w:val="0"/>
                <w:sz w:val="24"/>
                <w:lang w:val="en-US"/>
                <w14:ligatures w14:val="none"/>
              </w:rPr>
              <w:t>digital</w:t>
            </w:r>
            <w:r>
              <w:rPr>
                <w:rFonts w:ascii="Times New Roman" w:hAnsi="Times New Roman" w:cs="Times New Roman"/>
                <w:kern w:val="0"/>
                <w:sz w:val="24"/>
                <w14:ligatures w14:val="none"/>
              </w:rPr>
              <w:t xml:space="preserve">-среде и их влияния на стратегии брендов </w:t>
            </w:r>
          </w:p>
        </w:tc>
        <w:tc>
          <w:tcPr>
            <w:tcW w:w="5522" w:type="dxa"/>
          </w:tcPr>
          <w:p w14:paraId="5776FD57">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Продвижение бренда в цифровом медиапространстве через множество инструментов. </w:t>
            </w:r>
          </w:p>
        </w:tc>
      </w:tr>
      <w:tr w14:paraId="1F78AF15">
        <w:tc>
          <w:tcPr>
            <w:tcW w:w="3823" w:type="dxa"/>
          </w:tcPr>
          <w:p w14:paraId="12D4A9F1">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cs="Times New Roman"/>
                <w:kern w:val="0"/>
                <w:sz w:val="24"/>
                <w14:ligatures w14:val="none"/>
              </w:rPr>
              <w:t xml:space="preserve">Шевченко Д.А. Цифровой маркетинг: обзор каналов и инструментов </w:t>
            </w:r>
          </w:p>
        </w:tc>
        <w:tc>
          <w:tcPr>
            <w:tcW w:w="5522" w:type="dxa"/>
          </w:tcPr>
          <w:p w14:paraId="0388502E">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Использование цифровых технологий для привлечения и удержания клиентов. </w:t>
            </w:r>
          </w:p>
        </w:tc>
      </w:tr>
    </w:tbl>
    <w:p w14:paraId="301AAD20">
      <w:pPr>
        <w:spacing w:before="0" w:after="0" w:line="360" w:lineRule="auto"/>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Источник: составлено автором на основе данных [10, 11, 12]</w:t>
      </w:r>
    </w:p>
    <w:p w14:paraId="228051D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Из этого можно сформулировать следующее определение: </w:t>
      </w:r>
      <w:r>
        <w:rPr>
          <w:rFonts w:ascii="Times New Roman" w:hAnsi="Times New Roman" w:eastAsia="Calibri" w:cs="Times New Roman"/>
          <w:kern w:val="0"/>
          <w:sz w:val="28"/>
          <w:szCs w:val="28"/>
          <w:lang w:val="en-US"/>
          <w14:ligatures w14:val="none"/>
        </w:rPr>
        <w:t>d</w:t>
      </w:r>
      <w:r>
        <w:rPr>
          <w:rFonts w:ascii="Times New Roman" w:hAnsi="Times New Roman" w:eastAsia="Calibri" w:cs="Times New Roman"/>
          <w:kern w:val="0"/>
          <w:sz w:val="28"/>
          <w:szCs w:val="28"/>
          <w14:ligatures w14:val="none"/>
        </w:rPr>
        <w:t xml:space="preserve">igital-маркетинг – это комплексная стратегия управления взаимоотношениями с пациентом в цифровой среде, направленная на минимизацию когнитивной нагрузки при выборе клиники и записи на прием, а также на формирование доверия через экспертный контент и бесшовный пользовательский опыт (UX) на всех этапах взаимодействия. </w:t>
      </w:r>
    </w:p>
    <w:p w14:paraId="5B6B7BA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Для того, чтобы продемонстрировать отличие цифрового маркетинга от интернет-маркетинга и определить сущность цифрового маркетинга, необходимо представить его основные каналы влияния.</w:t>
      </w:r>
    </w:p>
    <w:p w14:paraId="4572A0B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 каналам цифрового маркетинга относятся:</w:t>
      </w:r>
    </w:p>
    <w:p w14:paraId="598C3C0F">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Интернет;</w:t>
      </w:r>
    </w:p>
    <w:p w14:paraId="73E8F266">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мобильные устройства;</w:t>
      </w:r>
    </w:p>
    <w:p w14:paraId="4AA822EC">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цифровое телевидение;</w:t>
      </w:r>
    </w:p>
    <w:p w14:paraId="2F5098EB">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lang w:val="en-US"/>
          <w14:ligatures w14:val="none"/>
        </w:rPr>
        <w:t>digital</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art</w:t>
      </w:r>
      <w:r>
        <w:rPr>
          <w:rFonts w:ascii="Times New Roman" w:hAnsi="Times New Roman" w:eastAsia="Calibri" w:cs="Times New Roman"/>
          <w:kern w:val="0"/>
          <w:sz w:val="28"/>
          <w:szCs w:val="28"/>
          <w14:ligatures w14:val="none"/>
        </w:rPr>
        <w:t>;</w:t>
      </w:r>
    </w:p>
    <w:p w14:paraId="42073967">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локальные сети;</w:t>
      </w:r>
    </w:p>
    <w:p w14:paraId="2A31E994">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интерактивные экраны;</w:t>
      </w:r>
    </w:p>
    <w:p w14:paraId="57DA9F57">
      <w:pPr>
        <w:pStyle w:val="151"/>
        <w:numPr>
          <w:ilvl w:val="0"/>
          <w:numId w:val="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умные гаджеты</w:t>
      </w:r>
      <w:r>
        <w:rPr>
          <w:rFonts w:ascii="Times New Roman" w:hAnsi="Times New Roman" w:cs="Times New Roman"/>
          <w:sz w:val="28"/>
          <w:szCs w:val="28"/>
          <w:vertAlign w:val="superscript"/>
          <w:lang w:val="en-US"/>
        </w:rPr>
        <w:t xml:space="preserve"> </w:t>
      </w:r>
      <w:r>
        <w:rPr>
          <w:rFonts w:ascii="Times New Roman" w:hAnsi="Times New Roman" w:cs="Times New Roman"/>
          <w:sz w:val="28"/>
          <w:szCs w:val="28"/>
          <w:lang w:val="en-US"/>
        </w:rPr>
        <w:t>[13]</w:t>
      </w:r>
      <w:r>
        <w:rPr>
          <w:rFonts w:ascii="Times New Roman" w:hAnsi="Times New Roman" w:eastAsia="Calibri" w:cs="Times New Roman"/>
          <w:kern w:val="0"/>
          <w:sz w:val="28"/>
          <w:szCs w:val="28"/>
          <w14:ligatures w14:val="none"/>
        </w:rPr>
        <w:t>.</w:t>
      </w:r>
    </w:p>
    <w:p w14:paraId="791FBED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Рассмотрим подробнее ключевые инструменты цифрового маркетинга.</w:t>
      </w:r>
    </w:p>
    <w:p w14:paraId="51EA4AE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Наиболее актуальным и современным инструментом продвижения и удержания клиентов с помощью цифровых инструментов являются социальные медиа.</w:t>
      </w:r>
    </w:p>
    <w:p w14:paraId="3D10BC3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таблице 2 представлены существующие определения социальных медиа, сформулированные в научной литературе.</w:t>
      </w:r>
    </w:p>
    <w:p w14:paraId="28F8ADEE">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color w:val="000000"/>
          <w:kern w:val="0"/>
          <w:sz w:val="28"/>
          <w:szCs w:val="28"/>
          <w14:ligatures w14:val="none"/>
        </w:rPr>
        <w:t>Таблица 2 — Понятие социальных медиа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2609"/>
        <w:gridCol w:w="5081"/>
      </w:tblGrid>
      <w:tr w14:paraId="1EDC37B1">
        <w:trPr>
          <w:trHeight w:val="525" w:hRule="atLeast"/>
        </w:trPr>
        <w:tc>
          <w:tcPr>
            <w:tcW w:w="1655" w:type="dxa"/>
          </w:tcPr>
          <w:p w14:paraId="6735520F">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Источник</w:t>
            </w:r>
          </w:p>
        </w:tc>
        <w:tc>
          <w:tcPr>
            <w:tcW w:w="2609" w:type="dxa"/>
          </w:tcPr>
          <w:p w14:paraId="0399F80C">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Подход</w:t>
            </w:r>
          </w:p>
        </w:tc>
        <w:tc>
          <w:tcPr>
            <w:tcW w:w="5081" w:type="dxa"/>
          </w:tcPr>
          <w:p w14:paraId="44CD9BBB">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Определение</w:t>
            </w:r>
          </w:p>
        </w:tc>
      </w:tr>
      <w:tr w14:paraId="496C50C2">
        <w:tc>
          <w:tcPr>
            <w:tcW w:w="1655" w:type="dxa"/>
          </w:tcPr>
          <w:p w14:paraId="01514437">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Исследование Фонда развития интернет-инициатив «Развитие российского рынка социальных медиа: тенденции настоящего и сценарии будущего»</w:t>
            </w:r>
          </w:p>
        </w:tc>
        <w:tc>
          <w:tcPr>
            <w:tcW w:w="2609" w:type="dxa"/>
          </w:tcPr>
          <w:p w14:paraId="25B2AD53">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 xml:space="preserve">Сетевой. Акцент на создание контента сетевым принципом </w:t>
            </w:r>
          </w:p>
        </w:tc>
        <w:tc>
          <w:tcPr>
            <w:tcW w:w="5081" w:type="dxa"/>
          </w:tcPr>
          <w:p w14:paraId="52B01D99">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 xml:space="preserve">Социальные медиа – информационные сервисы для обмена контентом по принципу сетевого взаимодействия [14]. </w:t>
            </w:r>
          </w:p>
        </w:tc>
      </w:tr>
      <w:tr w14:paraId="65CB0BEE">
        <w:tc>
          <w:tcPr>
            <w:tcW w:w="1655" w:type="dxa"/>
          </w:tcPr>
          <w:p w14:paraId="5B630049">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 xml:space="preserve">Друкер М.М., Яновская Г.В. </w:t>
            </w:r>
          </w:p>
        </w:tc>
        <w:tc>
          <w:tcPr>
            <w:tcW w:w="2609" w:type="dxa"/>
          </w:tcPr>
          <w:p w14:paraId="000EDA3F">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Социально-коммуникативный. Акцент на социальную природу и партисипаторность взаимодействий.</w:t>
            </w:r>
          </w:p>
        </w:tc>
        <w:tc>
          <w:tcPr>
            <w:tcW w:w="5081" w:type="dxa"/>
          </w:tcPr>
          <w:p w14:paraId="54D761AD">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 xml:space="preserve">Социальные медиа – платформы, предназначенные для взаимодействия пользователей в сети через публикации и распространение информации в различных формах [15]. </w:t>
            </w:r>
          </w:p>
        </w:tc>
      </w:tr>
      <w:tr w14:paraId="68EBB0E0">
        <w:tc>
          <w:tcPr>
            <w:tcW w:w="1655" w:type="dxa"/>
          </w:tcPr>
          <w:p w14:paraId="39958805">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lang w:val="en-US"/>
                <w14:ligatures w14:val="none"/>
              </w:rPr>
            </w:pPr>
            <w:r>
              <w:rPr>
                <w:rFonts w:ascii="Times New Roman" w:hAnsi="Times New Roman" w:eastAsia="Calibri" w:cs="Times New Roman"/>
                <w:color w:val="000000"/>
                <w:kern w:val="0"/>
                <w:sz w:val="24"/>
                <w:szCs w:val="28"/>
                <w14:ligatures w14:val="none"/>
              </w:rPr>
              <w:t xml:space="preserve">Дукин Р. А. </w:t>
            </w:r>
          </w:p>
        </w:tc>
        <w:tc>
          <w:tcPr>
            <w:tcW w:w="2609" w:type="dxa"/>
          </w:tcPr>
          <w:p w14:paraId="38900A7F">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Пользовательский – акцент на создание контента пользователями.</w:t>
            </w:r>
          </w:p>
        </w:tc>
        <w:tc>
          <w:tcPr>
            <w:tcW w:w="5081" w:type="dxa"/>
          </w:tcPr>
          <w:p w14:paraId="08EF8C72">
            <w:pPr>
              <w:tabs>
                <w:tab w:val="left" w:pos="112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Социальные медиа – это группа интернет-приложений, которые основываются на идеологических и технологических основах Веб 2.0 и позволяют создавать пользовательский контент и обмениваться им</w:t>
            </w:r>
            <w:r>
              <w:rPr>
                <w:rFonts w:ascii="Times New Roman" w:hAnsi="Times New Roman" w:eastAsia="Calibri" w:cs="Times New Roman"/>
                <w:color w:val="000000"/>
                <w:kern w:val="0"/>
                <w:sz w:val="24"/>
                <w:szCs w:val="28"/>
                <w:vertAlign w:val="superscript"/>
                <w14:ligatures w14:val="none"/>
              </w:rPr>
              <w:t xml:space="preserve"> </w:t>
            </w:r>
            <w:r>
              <w:rPr>
                <w:rFonts w:ascii="Times New Roman" w:hAnsi="Times New Roman" w:eastAsia="Calibri" w:cs="Times New Roman"/>
                <w:color w:val="000000"/>
                <w:kern w:val="0"/>
                <w:sz w:val="24"/>
                <w:szCs w:val="28"/>
                <w14:ligatures w14:val="none"/>
              </w:rPr>
              <w:t xml:space="preserve">[16]. </w:t>
            </w:r>
          </w:p>
        </w:tc>
      </w:tr>
      <w:tr w14:paraId="2B1443E1">
        <w:tc>
          <w:tcPr>
            <w:tcW w:w="1655" w:type="dxa"/>
          </w:tcPr>
          <w:p w14:paraId="34ED7BCF">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lang w:val="en-US"/>
                <w14:ligatures w14:val="none"/>
              </w:rPr>
            </w:pPr>
            <w:r>
              <w:rPr>
                <w:rFonts w:ascii="Times New Roman" w:hAnsi="Times New Roman" w:eastAsia="Calibri" w:cs="Times New Roman"/>
                <w:color w:val="000000"/>
                <w:kern w:val="0"/>
                <w:sz w:val="24"/>
                <w:szCs w:val="28"/>
                <w14:ligatures w14:val="none"/>
              </w:rPr>
              <w:t xml:space="preserve">Замаратская А.  С. </w:t>
            </w:r>
            <w:r>
              <w:rPr>
                <w:rFonts w:ascii="Times New Roman" w:hAnsi="Times New Roman" w:eastAsia="Calibri" w:cs="Times New Roman"/>
                <w:color w:val="000000"/>
                <w:kern w:val="0"/>
                <w:sz w:val="24"/>
                <w:szCs w:val="28"/>
                <w:lang w:val="en-US"/>
                <w14:ligatures w14:val="none"/>
              </w:rPr>
              <w:t>[17]</w:t>
            </w:r>
          </w:p>
        </w:tc>
        <w:tc>
          <w:tcPr>
            <w:tcW w:w="2609" w:type="dxa"/>
          </w:tcPr>
          <w:p w14:paraId="15B38666">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Технологический. Акцент на технологии, обеспечивающие функции общения.</w:t>
            </w:r>
          </w:p>
        </w:tc>
        <w:tc>
          <w:tcPr>
            <w:tcW w:w="5081" w:type="dxa"/>
          </w:tcPr>
          <w:p w14:paraId="2337B47F">
            <w:pPr>
              <w:tabs>
                <w:tab w:val="left" w:pos="112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Социальные медиа – компьютерные технологии, облегчающие создание и обмен информацией, идеями через виртуальные сообщества и сети</w:t>
            </w:r>
            <w:r>
              <w:rPr>
                <w:rFonts w:ascii="Times New Roman" w:hAnsi="Times New Roman" w:eastAsia="Calibri" w:cs="Times New Roman"/>
                <w:color w:val="000000"/>
                <w:kern w:val="0"/>
                <w:sz w:val="24"/>
                <w:szCs w:val="28"/>
                <w:vertAlign w:val="superscript"/>
                <w14:ligatures w14:val="none"/>
              </w:rPr>
              <w:t xml:space="preserve"> </w:t>
            </w:r>
            <w:r>
              <w:rPr>
                <w:rFonts w:ascii="Times New Roman" w:hAnsi="Times New Roman" w:eastAsia="Calibri" w:cs="Times New Roman"/>
                <w:color w:val="000000"/>
                <w:kern w:val="0"/>
                <w:sz w:val="24"/>
                <w:szCs w:val="28"/>
                <w14:ligatures w14:val="none"/>
              </w:rPr>
              <w:t>[17].</w:t>
            </w:r>
          </w:p>
        </w:tc>
      </w:tr>
      <w:tr w14:paraId="66B17777">
        <w:tc>
          <w:tcPr>
            <w:tcW w:w="1655" w:type="dxa"/>
          </w:tcPr>
          <w:p w14:paraId="437CDD1D">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lang w:val="en-US"/>
                <w14:ligatures w14:val="none"/>
              </w:rPr>
            </w:pPr>
            <w:r>
              <w:rPr>
                <w:rFonts w:ascii="Times New Roman" w:hAnsi="Times New Roman" w:eastAsia="Calibri" w:cs="Times New Roman"/>
                <w:kern w:val="0"/>
                <w:sz w:val="24"/>
                <w:lang w:val="en-US"/>
                <w14:ligatures w14:val="none"/>
              </w:rPr>
              <w:t>Laroche M., Habibi M. R., Richard M.O. [18]</w:t>
            </w:r>
          </w:p>
        </w:tc>
        <w:tc>
          <w:tcPr>
            <w:tcW w:w="2609" w:type="dxa"/>
          </w:tcPr>
          <w:p w14:paraId="283B7B3A">
            <w:pPr>
              <w:tabs>
                <w:tab w:val="left" w:pos="560"/>
                <w:tab w:val="left" w:pos="1120"/>
                <w:tab w:val="left" w:pos="1680"/>
                <w:tab w:val="left" w:pos="224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Акцент на сообществах и влиянии на поведение пользователей.</w:t>
            </w:r>
          </w:p>
        </w:tc>
        <w:tc>
          <w:tcPr>
            <w:tcW w:w="5081" w:type="dxa"/>
          </w:tcPr>
          <w:p w14:paraId="0CF323CF">
            <w:pPr>
              <w:tabs>
                <w:tab w:val="left" w:pos="1120"/>
              </w:tabs>
              <w:autoSpaceDE w:val="0"/>
              <w:autoSpaceDN w:val="0"/>
              <w:adjustRightInd w:val="0"/>
              <w:spacing w:before="0" w:after="0" w:line="240" w:lineRule="auto"/>
              <w:ind w:firstLine="0"/>
              <w:jc w:val="both"/>
              <w:rPr>
                <w:rFonts w:ascii="Times New Roman" w:hAnsi="Times New Roman" w:eastAsia="Calibri" w:cs="Times New Roman"/>
                <w:color w:val="000000"/>
                <w:kern w:val="0"/>
                <w:szCs w:val="28"/>
                <w14:ligatures w14:val="none"/>
              </w:rPr>
            </w:pPr>
            <w:r>
              <w:rPr>
                <w:rFonts w:ascii="Times New Roman" w:hAnsi="Times New Roman" w:eastAsia="Calibri" w:cs="Times New Roman"/>
                <w:color w:val="000000"/>
                <w:kern w:val="0"/>
                <w:sz w:val="24"/>
                <w:szCs w:val="28"/>
                <w14:ligatures w14:val="none"/>
              </w:rPr>
              <w:t>Социальные медиа как инструмент создания виртуальных сообществ, взаимодействующих индивидов и компаний. Социальные медиа стали определяющим фактором развития маркетинга, влияющим на потребительское поведение</w:t>
            </w:r>
            <w:r>
              <w:rPr>
                <w:rFonts w:ascii="Times New Roman" w:hAnsi="Times New Roman" w:eastAsia="Calibri" w:cs="Times New Roman"/>
                <w:color w:val="000000"/>
                <w:kern w:val="0"/>
                <w:sz w:val="24"/>
                <w:szCs w:val="28"/>
                <w:vertAlign w:val="superscript"/>
                <w14:ligatures w14:val="none"/>
              </w:rPr>
              <w:t xml:space="preserve"> </w:t>
            </w:r>
            <w:r>
              <w:rPr>
                <w:rFonts w:ascii="Times New Roman" w:hAnsi="Times New Roman" w:eastAsia="Calibri" w:cs="Times New Roman"/>
                <w:kern w:val="0"/>
                <w:sz w:val="24"/>
                <w14:ligatures w14:val="none"/>
              </w:rPr>
              <w:t>[18]</w:t>
            </w:r>
            <w:r>
              <w:rPr>
                <w:rFonts w:ascii="Times New Roman" w:hAnsi="Times New Roman" w:eastAsia="Calibri" w:cs="Times New Roman"/>
                <w:color w:val="000000"/>
                <w:kern w:val="0"/>
                <w:sz w:val="24"/>
                <w:szCs w:val="28"/>
                <w14:ligatures w14:val="none"/>
              </w:rPr>
              <w:t>.</w:t>
            </w:r>
          </w:p>
        </w:tc>
      </w:tr>
    </w:tbl>
    <w:p w14:paraId="41410412">
      <w:pPr>
        <w:spacing w:before="0" w:after="0" w:line="360" w:lineRule="auto"/>
        <w:ind w:firstLine="708"/>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Источник: составлено автором на основе данных [14-18]</w:t>
      </w:r>
    </w:p>
    <w:p w14:paraId="7645F95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На основе приведенных определений можно выделить ключевые характеристики социальных медиа, которые следуют из существующих в научной теории определений:</w:t>
      </w:r>
    </w:p>
    <w:p w14:paraId="757B271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социальные медиа обеспечивают социальные взаимодействие пользователей посредством коммуникаций и создания контента;</w:t>
      </w:r>
    </w:p>
    <w:p w14:paraId="1096945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 возможность создания и распространения контента пользователями практически без ограничений, массовый обмен информацией;</w:t>
      </w:r>
    </w:p>
    <w:p w14:paraId="7BC4928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3) социальные медиа – это технологический инструмент обеспечения обмена информацией, и одновременно посредник в доставке информации между пользователями;</w:t>
      </w:r>
    </w:p>
    <w:p w14:paraId="3F35701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4) социальные медиа – инструмент продвижения как отдельных личностей, так и компаний.</w:t>
      </w:r>
    </w:p>
    <w:p w14:paraId="001963A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Продвижение в социальных медиа (</w:t>
      </w:r>
      <w:r>
        <w:rPr>
          <w:rFonts w:ascii="Times New Roman" w:hAnsi="Times New Roman" w:eastAsia="Calibri" w:cs="Times New Roman"/>
          <w:kern w:val="0"/>
          <w:sz w:val="28"/>
          <w:szCs w:val="28"/>
          <w:lang w:val="en-US"/>
          <w14:ligatures w14:val="none"/>
        </w:rPr>
        <w:t>SMM</w:t>
      </w:r>
      <w:r>
        <w:rPr>
          <w:rFonts w:ascii="Times New Roman" w:hAnsi="Times New Roman" w:eastAsia="Calibri" w:cs="Times New Roman"/>
          <w:kern w:val="0"/>
          <w:sz w:val="28"/>
          <w:szCs w:val="28"/>
          <w14:ligatures w14:val="none"/>
        </w:rPr>
        <w:t>) – создание собственной страницы в социальных сетях и популяризация собственного бренда, периодическая и активная загрузка контента в аккаунт компании, взаимодействие с пользователями, получение обратной связи. Стоит упомянуть, что использование социальных сетей наиболее эффективно для бизнеса в секторе В2С, так как пользователи социальных сетей воспринимают данные площадки в качестве определенного личного пространства, и воспринимают бизнес только для личного пользования. Бизнес же, в поисках своих поставщиков, реже использует социальные медиа, соответственно, это снижает эффективность использования социальных сетей для продвижения продукции и компаний в секторе В2В. Однако, не стоит говорить о полной неэффективности данного инструмента для В2В сектора, стоит отметить, что данная сфера в продвижении не является приоритетной.</w:t>
      </w:r>
    </w:p>
    <w:p w14:paraId="6910632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Преимуществом использования социальных медиа является то, что они могут быть использованы не только для продвижения, повышения узнаваемости бренда, но и для удержания клиентов – повышения лояльности, вовлеченности за счет постоянного контакта и взаимодействия между брендом и потребителем, а также возможностью наблюдать живые реакции других пользователей на компанию.</w:t>
      </w:r>
    </w:p>
    <w:p w14:paraId="34B850B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 цифровым инструментам маркетинга также можно отнести контент-маркетинг – он может осуществляться как в социальных сетях, так и на других цифровых площадках: блогах, видеохостингах, сайтах.</w:t>
      </w:r>
    </w:p>
    <w:p w14:paraId="1DFE696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Контент-маркетинг представляет собой загрузку полезного для пользователей контента, связанного с основной деятельностью компании на различных площадках: сайте, страницах в социальных сетях, своих и чужих блогах. Данный вид продвижения позволяет повысить лояльность к бренду компании.</w:t>
      </w:r>
    </w:p>
    <w:p w14:paraId="441D9EB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Контент-маркетинг направлен на создание релевантного и актуального для пользователей контента. Преимуществом данного инструмента является то, что он способствует повышению вовлеченности и конверсии среди пользователей</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[19].</w:t>
      </w:r>
    </w:p>
    <w:p w14:paraId="3F5E51E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Также значимым инструментом продвижения является реклама – публикации, которые нацелены на информирование пользователях о том или ином товаре или компании. Реклама медиа может быть разнообразной: явной, скрытой, контекстной.</w:t>
      </w:r>
    </w:p>
    <w:p w14:paraId="2078138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Реклама может представляться в виде фотографий, видеороликов или графики. При этом, выбор между разновидностями рекламы основывается на ряде факторов, таких как бюджет компании, технических возможностей компании, целевой аудитории и многого другого. Представляется необходимым отметить виды рекламы в социальных медиа:</w:t>
      </w:r>
    </w:p>
    <w:p w14:paraId="3993213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1. Контекстная реклама – рекламные баннеры зависят от контента, который просматривает пользователь, – системы в социальных медиа собирают данные о пользовательском поведении. Данный вид рекламы представляется эффективным, так как объявления контекстной рекламы видны всем, и они крайне заметны. Их возможно скрыть только используя специальные сервисы по блокировке рекламы, которыми пользуется крайне малое количество пользователей. Также, к контекстной рекламе относятся объявления, находящиеся до первых результатов выдачи поисковых систем. При этом, некоторые рекламные объявление невозможно скрыть даже при помощи таких сервисов. Данный вид рекламы способствует повышению продаж компании.  Среди инструментов контекстной рекламы стоит выделить Яндекс.Директ (сервис от компании Яндекс, размещающий контекстную рекламу на своих интернет-страницах). Существенным плюсом использования данного сервиса является то, что оплата происходит не за показы объявлений пользователям, а за клики на объявление, что существенно снижает стоимость рекламы и увеличивает ее эффективность. Существует также аналог сервиса Яндекс.Директ – контекстная реклама от Google. </w:t>
      </w:r>
    </w:p>
    <w:p w14:paraId="5C6E847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2. Таргетированная (целевая) реклама – как правило, реклама в социальных сетях. На основе установленных параметров о целевой аудитории, реклама показывается только пользователям, подпадающим под установленные критерии. </w:t>
      </w:r>
    </w:p>
    <w:p w14:paraId="16DC8D4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3. Реклама в мобильных приложениях – баннеры в приложениях (социальные сети, мессенджеры, игры, и иных приложениях). Как правило, чтобы приложения оставались бесплатными для пользователей, разработчики данных приложений делают возможным размещение в них баннеров, чтобы окупить свою деятельность. </w:t>
      </w:r>
    </w:p>
    <w:p w14:paraId="262440D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4. Рекламные ролики на видеохостингах – рекламные ролики могут появляться как на канале компании, так и на сторонних каналах, с уже набранной аудиторией.</w:t>
      </w:r>
    </w:p>
    <w:p w14:paraId="57D881D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5. Наружная реклама – реклама на плакатах, листовках, транспарантах, цифровых билбордах, расположенная в городском пространстве, – может относится к цифровым инструментам в связи с использованием цифровых билбордах, а также цифровых методов ее создания.</w:t>
      </w:r>
    </w:p>
    <w:p w14:paraId="27F94FF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6. Вирусная реклама – вид материалов, особенностью которых является то, что распространяются они конкретными пользователями, а также сам контент (наполнение материалов) может создаваться пользователями по структуре или примеру, созданными компанией в рамках маркетинговой стратегии.</w:t>
      </w:r>
    </w:p>
    <w:p w14:paraId="227CDE0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7. Продакт-плейсмент – интеграция рекламируемого товара или услуги в контекст, не связанным с рекламой (фильмы, музыка, игры).</w:t>
      </w:r>
    </w:p>
    <w:p w14:paraId="2B5E16E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8. Рекламная почтовая рассылка – рассылка рекламных материалов с помощью электронной почте по заранее заготовленным контактам на большую аудиторию. Однако в последнее время данный тип рекламы носит раздражающий характер, а почтовые сервисы автоматически блокируют рассылки.</w:t>
      </w:r>
    </w:p>
    <w:p w14:paraId="53A1280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9. Геоконтекстная реклама – реклама, учитывающее месторасположение пользователя для небольших маркетинговых кампаний и продуктов, привязанных к конкретной локации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[20].</w:t>
      </w:r>
    </w:p>
    <w:p w14:paraId="688A8B4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Реклама в первую очередь направлена на популяризацию и продвижение бренда – повышение его узнаваемости. При этом, существует проблема баннерной слепоты – когда из-за переизбытка рекламы как в Интернет-пространстве, так и в физическом, люди автоматически не замечают рекламу, а если говорить об Интернет-пространстве, то блокируют ее с помощью специальных сервисов. </w:t>
      </w:r>
    </w:p>
    <w:p w14:paraId="260D4B9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таком контексте перед компаниями стоит задача преодоления баннерной слепоты различными методами: например, развитием </w:t>
      </w:r>
      <w:r>
        <w:rPr>
          <w:rFonts w:ascii="Times New Roman" w:hAnsi="Times New Roman" w:eastAsia="Calibri" w:cs="Times New Roman"/>
          <w:kern w:val="0"/>
          <w:sz w:val="28"/>
          <w:szCs w:val="28"/>
          <w:lang w:val="en-US"/>
          <w14:ligatures w14:val="none"/>
        </w:rPr>
        <w:t>SMM</w:t>
      </w:r>
      <w:r>
        <w:rPr>
          <w:rFonts w:ascii="Times New Roman" w:hAnsi="Times New Roman" w:eastAsia="Calibri" w:cs="Times New Roman"/>
          <w:kern w:val="0"/>
          <w:sz w:val="28"/>
          <w:szCs w:val="28"/>
          <w14:ligatures w14:val="none"/>
        </w:rPr>
        <w:t>, внедрением скрытой рекламы или продакт-плейсмента, амбассадорства и других инструментов продвижения.</w:t>
      </w:r>
    </w:p>
    <w:p w14:paraId="6719361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Также в качестве инструмент цифрового маркетинга стоит отметить корпоративный сайт. В контексте оказания стоматологических услуг данный инструмент является основой не только для продвижения клиники, но и для формирования лояльности клиентов и доверия, что особенно важно в сфере медицины и здоровья.</w:t>
      </w:r>
    </w:p>
    <w:p w14:paraId="4D3E166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Продвижение компании с помощью сайта – это часть цифрового маркетинга, комплекс мероприятий, направленных на повышение узнаваемости бренда, привлечение и удержание клиентов через официальные веб-ресурсы компании. </w:t>
      </w:r>
    </w:p>
    <w:p w14:paraId="61EF6BA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Сайт служит коммуникационным каналом для взаимодействия с целевой аудиторией, предоставления информации о товарах, услугах и создании положительного имиджа компании в сети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[21]. </w:t>
      </w:r>
    </w:p>
    <w:p w14:paraId="3900C805">
      <w:pPr>
        <w:spacing w:before="0" w:after="0"/>
        <w:ind w:firstLine="709"/>
        <w:jc w:val="both"/>
        <w:rPr>
          <w:rFonts w:ascii="Times New Roman" w:hAnsi="Times New Roman" w:eastAsia="Calibri" w:cs="Times New Roman"/>
          <w:bCs/>
          <w:sz w:val="28"/>
          <w:szCs w:val="28"/>
        </w:rPr>
      </w:pPr>
      <w:r>
        <w:rPr>
          <w:rFonts w:ascii="Times New Roman" w:hAnsi="Times New Roman" w:eastAsia="Calibri" w:cs="Times New Roman"/>
          <w:bCs/>
          <w:sz w:val="28"/>
          <w:szCs w:val="28"/>
        </w:rPr>
        <w:t>Продвижение посредством корпоративного сайта позволяет расширить каналы коммуникации с аудиторией, улучшить точность таргетинга и повысить эффективность рекламных кампаний за счет цифровых инструментов аналитики и автоматизации. В совокупности это снижает издержки и увеличивает охват потенциальных клиентов</w:t>
      </w:r>
      <w:r>
        <w:rPr>
          <w:rFonts w:ascii="Times New Roman" w:hAnsi="Times New Roman" w:eastAsia="Calibri" w:cs="Times New Roman"/>
          <w:bCs/>
          <w:sz w:val="28"/>
          <w:szCs w:val="28"/>
          <w:vertAlign w:val="superscript"/>
        </w:rPr>
        <w:t xml:space="preserve"> </w:t>
      </w:r>
      <w:r>
        <w:rPr>
          <w:rFonts w:ascii="Times New Roman" w:hAnsi="Times New Roman" w:eastAsia="Calibri" w:cs="Times New Roman"/>
          <w:bCs/>
          <w:sz w:val="28"/>
          <w:szCs w:val="28"/>
        </w:rPr>
        <w:t>[22].</w:t>
      </w:r>
    </w:p>
    <w:p w14:paraId="6E063B0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Важными аспектами сайта как инструмента продвижения являются:</w:t>
      </w:r>
    </w:p>
    <w:p w14:paraId="0014A717">
      <w:pPr>
        <w:pStyle w:val="151"/>
        <w:numPr>
          <w:ilvl w:val="0"/>
          <w:numId w:val="10"/>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создание удобного пользовательского интерфейса;</w:t>
      </w:r>
    </w:p>
    <w:p w14:paraId="335ABB8D">
      <w:pPr>
        <w:pStyle w:val="151"/>
        <w:numPr>
          <w:ilvl w:val="0"/>
          <w:numId w:val="10"/>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качество контента;</w:t>
      </w:r>
    </w:p>
    <w:p w14:paraId="3AD9F1C8">
      <w:pPr>
        <w:pStyle w:val="151"/>
        <w:numPr>
          <w:ilvl w:val="0"/>
          <w:numId w:val="10"/>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адаптация под мобильные устройства (смартфоны, планшеты);</w:t>
      </w:r>
    </w:p>
    <w:p w14:paraId="561D59CD">
      <w:pPr>
        <w:pStyle w:val="151"/>
        <w:numPr>
          <w:ilvl w:val="0"/>
          <w:numId w:val="10"/>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скорость загрузки;</w:t>
      </w:r>
    </w:p>
    <w:p w14:paraId="3F0AE6A3">
      <w:pPr>
        <w:pStyle w:val="151"/>
        <w:numPr>
          <w:ilvl w:val="0"/>
          <w:numId w:val="10"/>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SEO-оптимизация;</w:t>
      </w:r>
    </w:p>
    <w:p w14:paraId="203EDAE7">
      <w:pPr>
        <w:pStyle w:val="151"/>
        <w:numPr>
          <w:ilvl w:val="0"/>
          <w:numId w:val="10"/>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наличие интерактивных элементов и обратной связи.</w:t>
      </w:r>
    </w:p>
    <w:p w14:paraId="266081AC">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Эффективность сайта оценивается по показателям трафика, конверсии, времени пребывания пользователей и вовлеченности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[23].</w:t>
      </w:r>
    </w:p>
    <w:p w14:paraId="5F5B6E5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Выделим значение продвижения компании с помощью корпоративного сайта как эффективного инструмента маркетинговой деятельности:</w:t>
      </w:r>
    </w:p>
    <w:p w14:paraId="51A4C4B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Сайт является центральной показателем цифрового присутствия компании и базой для интеграции различных инструментов интернет-маркетинга (SEO, контекстная реклама, email-маркетинг, SMM).</w:t>
      </w:r>
    </w:p>
    <w:p w14:paraId="391A7FE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 В условиях цифровой экономики продвижение через сайт помогает формировать конкурентоспособность, расширять потребительскую базу и обеспечивать лояльность клиентов через персонализацию и адаптацию маркетинговых коммуникаций.</w:t>
      </w:r>
    </w:p>
    <w:p w14:paraId="48A9DDA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3. Сайт способствует обеспечению прозрачности информации, доступности услуг, онлайн-бронированию и сбору обратной связи, что особенно актуально для высококонкурентных отраслей.</w:t>
      </w:r>
    </w:p>
    <w:p w14:paraId="37A9C2A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4. Научные исследования подчеркивают необходимость постоянного совершенствования сайтов с учетом новых технологий (искусственный интеллект, интерактивный и мультимедийный контент) и анализа данных для повышения эффективности маркетинга</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[21].</w:t>
      </w:r>
    </w:p>
    <w:p w14:paraId="069DA98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5. Наличие и качество корпоративного сайта повышает лояльность и доверие среди клиентов за счет открытой информации и возможности пользователю самостоятельно оценить надежность компании. Наличие сайта и его контентное наполнение становится одним из важных критериев выбора подрядчика в В2В-секторе и компании, предоставляющей услуги на В2С-секторе.</w:t>
      </w:r>
    </w:p>
    <w:p w14:paraId="697E967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При внедрении цифрового маркетинга особенно важно использовать современные инструменты аналитики. </w:t>
      </w:r>
    </w:p>
    <w:p w14:paraId="385EF99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цифровом маркетинге легко сосредоточиться на явных метриках: кликах, конверсиях, времени на сайте. Однако «тёмные данные» – это информация, которую мы не собираем или не учитываем: например, мотивы пользователей, которые покинули сайт без действия, или реакции на рекламу, которые не были зафиксированы. Д. Хэнд подчёркивает, что игнорирование таких данных может привести к искажённым выводам.</w:t>
      </w:r>
    </w:p>
    <w:p w14:paraId="2E9A160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цифровом маркетинге легко фокусироваться на положительных показателях (рост трафика, увеличение продаж), но важно учитывать и «тёмные данные», которые могут указывать на проблемы: например, рост числа отказов от подписки, негативные отзывы, которые не были обработаны, или снижение вовлечённости после обновления интерфейса. Хэнд сравнивает «тёмные данные» с тёмной материей: они невидимы, но оказывают существенное влияние. В маркетинге это значит, что неучтённые негативные сигналы могут привести к потере клиентов и снижению эффективности стратегий</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[24].</w:t>
      </w:r>
    </w:p>
    <w:p w14:paraId="684D0F1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Таким образом, можно отметить, что цифровой маркетинг является современным инструментом продвижения бренда компаний, и в его основе лежат современные технологии, формирующие инструментарий данного направления маркетинга. </w:t>
      </w:r>
    </w:p>
    <w:p w14:paraId="6F49F1A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Представленные инструменты основаны на том, чтобы максимально вовлекать пользователей во взаимодействие с брендом, путем создания совместного контента, пользовательского контента, а также создания каналов для обратной связи пользователей (в социальных сетях и сайте компании). </w:t>
      </w:r>
    </w:p>
    <w:p w14:paraId="02C861E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условиях «баннерной слепоты» и изобилия рекламы, компаниям требуется создавать вовлекающий контент, который будет способствовать доверительным отношениям между пользователем и брендом.</w:t>
      </w:r>
    </w:p>
    <w:p w14:paraId="549676B6">
      <w:pPr>
        <w:pStyle w:val="3"/>
        <w:spacing w:before="0" w:after="0" w:line="360" w:lineRule="auto"/>
        <w:ind w:firstLine="709"/>
        <w:jc w:val="both"/>
        <w:rPr>
          <w:rFonts w:ascii="Times New Roman" w:hAnsi="Times New Roman" w:eastAsia="Calibri" w:cs="Times New Roman"/>
          <w:b/>
          <w:bCs/>
          <w:kern w:val="0"/>
          <w:sz w:val="28"/>
          <w:szCs w:val="28"/>
          <w14:ligatures w14:val="none"/>
        </w:rPr>
      </w:pPr>
      <w:bookmarkStart w:id="7" w:name="_Toc1279011302"/>
      <w:r>
        <w:rPr>
          <w:rFonts w:ascii="Times New Roman" w:hAnsi="Times New Roman" w:eastAsia="Calibri" w:cs="Times New Roman"/>
          <w:b/>
          <w:bCs/>
          <w:kern w:val="0"/>
          <w:sz w:val="28"/>
          <w:szCs w:val="28"/>
          <w14:ligatures w14:val="none"/>
        </w:rPr>
        <w:t>1.2 Рыночные тенденции развития инструментов Digital-маркетинга</w:t>
      </w:r>
      <w:bookmarkEnd w:id="7"/>
    </w:p>
    <w:p w14:paraId="2B5515E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настоящее время происходит трансформация всех бизнес-процессов, включая и сферу цифрового маркетинга. </w:t>
      </w:r>
    </w:p>
    <w:p w14:paraId="7A37484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текущей практике выделяют следующие ключевые тенденции развития инструментов цифрового маркетинга:</w:t>
      </w:r>
    </w:p>
    <w:p w14:paraId="35DD304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искусственный интеллект и автоматизация процессов;</w:t>
      </w:r>
    </w:p>
    <w:p w14:paraId="0190DA5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 оптимизация контента под запросы в нейросети;</w:t>
      </w:r>
    </w:p>
    <w:p w14:paraId="2D154CA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3) сокращение воронки продаж – упрощение процесса покупки;</w:t>
      </w:r>
    </w:p>
    <w:p w14:paraId="252B08C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4) адаптивность контекстной и таргетированной рекламы под конкретных пользователей для повышения конверсии;</w:t>
      </w:r>
    </w:p>
    <w:p w14:paraId="7EFC724C">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5) увеличение значения собственных данных и аналитики – компании переходят к тому, чтобы самостоятельно собирать и обрабатывать данные о пользователях и их поведении;</w:t>
      </w:r>
    </w:p>
    <w:p w14:paraId="35B9D86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6) коллаборации с блоггерами и известными личностями для повышения доверия к бренду, обмена целевой аудиторией, а также укрепления экспертности;</w:t>
      </w:r>
    </w:p>
    <w:p w14:paraId="35B0340C">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7) трансформация бизнес-коммуникаций, связанная с переходом в мессенджеры – развитие корпоративных каналов, чат-ботов (например, для записи на прием к врачу или на обследование);</w:t>
      </w:r>
    </w:p>
    <w:p w14:paraId="43C98C8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8) усиление роли работы с репутацией с помощью отзывов, комментариев пользователей и работы с пользовательским контентом;</w:t>
      </w:r>
    </w:p>
    <w:p w14:paraId="74E7BD0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9) использование коротких видеороликов в рекламных целях (нативная реклама, реклама от площадки, реклама от блогера</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[25].</w:t>
      </w:r>
    </w:p>
    <w:p w14:paraId="789F58B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Упоминая о воронке продаж, следует описать основной путь, который проходит клиент в процессе записи и приёма в клинику. </w:t>
      </w:r>
    </w:p>
    <w:p w14:paraId="2AE6425C">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Таблица 3 — Процесс записи клиента на прием</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373"/>
      </w:tblGrid>
      <w:tr w14:paraId="6DF28492">
        <w:tc>
          <w:tcPr>
            <w:tcW w:w="2972" w:type="dxa"/>
          </w:tcPr>
          <w:p w14:paraId="7C5CBA8E">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Этап  </w:t>
            </w:r>
          </w:p>
        </w:tc>
        <w:tc>
          <w:tcPr>
            <w:tcW w:w="6373" w:type="dxa"/>
          </w:tcPr>
          <w:p w14:paraId="0C6DDE3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Описание</w:t>
            </w:r>
          </w:p>
        </w:tc>
      </w:tr>
      <w:tr w14:paraId="14936588">
        <w:tc>
          <w:tcPr>
            <w:tcW w:w="2972" w:type="dxa"/>
          </w:tcPr>
          <w:p w14:paraId="0BD4D5C5">
            <w:pPr>
              <w:spacing w:before="0" w:after="0" w:line="240" w:lineRule="auto"/>
              <w:ind w:firstLine="0"/>
              <w:jc w:val="both"/>
              <w:rPr>
                <w:rFonts w:ascii="Times New Roman" w:hAnsi="Times New Roman" w:cs="Times New Roman"/>
                <w:kern w:val="0"/>
                <w14:ligatures w14:val="none"/>
              </w:rPr>
            </w:pPr>
            <w:r>
              <w:rPr>
                <w:rFonts w:ascii="Times New Roman" w:hAnsi="Times New Roman" w:cs="Times New Roman"/>
                <w:kern w:val="0"/>
                <w:sz w:val="24"/>
                <w14:ligatures w14:val="none"/>
              </w:rPr>
              <w:t xml:space="preserve">Поиск/Осознание </w:t>
            </w:r>
          </w:p>
        </w:tc>
        <w:tc>
          <w:tcPr>
            <w:tcW w:w="6373" w:type="dxa"/>
          </w:tcPr>
          <w:p w14:paraId="7F199C70">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Пациент ищет клинику через поисковики или агрегаторы </w:t>
            </w:r>
          </w:p>
        </w:tc>
      </w:tr>
      <w:tr w14:paraId="30BD3E6B">
        <w:tc>
          <w:tcPr>
            <w:tcW w:w="2972" w:type="dxa"/>
          </w:tcPr>
          <w:p w14:paraId="75AADB29">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Первичный контакт </w:t>
            </w:r>
          </w:p>
        </w:tc>
        <w:tc>
          <w:tcPr>
            <w:tcW w:w="6373" w:type="dxa"/>
          </w:tcPr>
          <w:p w14:paraId="36A69C0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Звонок в клинику или оставление заявки на сайте </w:t>
            </w:r>
          </w:p>
        </w:tc>
      </w:tr>
      <w:tr w14:paraId="6F6DF910">
        <w:tc>
          <w:tcPr>
            <w:tcW w:w="2972" w:type="dxa"/>
          </w:tcPr>
          <w:p w14:paraId="67106257">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Обработка администратором</w:t>
            </w:r>
          </w:p>
        </w:tc>
        <w:tc>
          <w:tcPr>
            <w:tcW w:w="6373" w:type="dxa"/>
          </w:tcPr>
          <w:p w14:paraId="7A998AC7">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Администратор перезванивает (часто с задержкой), уточняет симптомы, ищет свободное окно в МИС </w:t>
            </w:r>
          </w:p>
        </w:tc>
      </w:tr>
      <w:tr w14:paraId="552C7DE6">
        <w:tc>
          <w:tcPr>
            <w:tcW w:w="2972" w:type="dxa"/>
          </w:tcPr>
          <w:p w14:paraId="7BDEE00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Запись </w:t>
            </w:r>
          </w:p>
        </w:tc>
        <w:tc>
          <w:tcPr>
            <w:tcW w:w="6373" w:type="dxa"/>
          </w:tcPr>
          <w:p w14:paraId="3044A9A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Ручное внесение данных о пациенте </w:t>
            </w:r>
          </w:p>
        </w:tc>
      </w:tr>
      <w:tr w14:paraId="03CE6A8D">
        <w:tc>
          <w:tcPr>
            <w:tcW w:w="2972" w:type="dxa"/>
          </w:tcPr>
          <w:p w14:paraId="27C1250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Ожидание </w:t>
            </w:r>
          </w:p>
        </w:tc>
        <w:tc>
          <w:tcPr>
            <w:tcW w:w="6373" w:type="dxa"/>
          </w:tcPr>
          <w:p w14:paraId="37B70883">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Период между записью и визитом (от до дней) </w:t>
            </w:r>
          </w:p>
        </w:tc>
      </w:tr>
      <w:tr w14:paraId="697C1FDF">
        <w:tc>
          <w:tcPr>
            <w:tcW w:w="2972" w:type="dxa"/>
          </w:tcPr>
          <w:p w14:paraId="440E8B6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Напоминание </w:t>
            </w:r>
          </w:p>
        </w:tc>
        <w:tc>
          <w:tcPr>
            <w:tcW w:w="6373" w:type="dxa"/>
          </w:tcPr>
          <w:p w14:paraId="7D05FB0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Один звонок за день до приема </w:t>
            </w:r>
          </w:p>
        </w:tc>
      </w:tr>
    </w:tbl>
    <w:p w14:paraId="70FB1CFA">
      <w:pPr>
        <w:spacing w:before="0" w:after="0" w:line="360" w:lineRule="auto"/>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Источник: составлено автором</w:t>
      </w:r>
    </w:p>
    <w:p w14:paraId="2610245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Из этого вытекают следующие «точки трения»:</w:t>
      </w:r>
    </w:p>
    <w:p w14:paraId="07AF27A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длительное ожидание ответа. Если администратор занят, пациент уходит к конкуренту;</w:t>
      </w:r>
    </w:p>
    <w:p w14:paraId="6590305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 неудобство записи в нерабочее время, т.к. отсутствует возможность записаться онлайн;</w:t>
      </w:r>
    </w:p>
    <w:p w14:paraId="6EE80D7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3) человеческий фактор, заключающийся в ошибках администратора при записи и забытых напоминаний о дате приема. </w:t>
      </w:r>
    </w:p>
    <w:p w14:paraId="507910B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таблице 4 представлены бенчмарки конверсии записи клиента на прием по рынку РФ за 2024-2025 гг.</w:t>
      </w:r>
    </w:p>
    <w:p w14:paraId="52DBD2E8">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Таблица 4 — Данные о конверсии</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814"/>
      </w:tblGrid>
      <w:tr w14:paraId="7D341F1B">
        <w:tc>
          <w:tcPr>
            <w:tcW w:w="4531" w:type="dxa"/>
          </w:tcPr>
          <w:p w14:paraId="655AB92F">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Этап воронки</w:t>
            </w:r>
          </w:p>
        </w:tc>
        <w:tc>
          <w:tcPr>
            <w:tcW w:w="4814" w:type="dxa"/>
          </w:tcPr>
          <w:p w14:paraId="647F282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Показатель конверсии </w:t>
            </w:r>
          </w:p>
        </w:tc>
      </w:tr>
      <w:tr w14:paraId="5D2854B7">
        <w:tc>
          <w:tcPr>
            <w:tcW w:w="4531" w:type="dxa"/>
          </w:tcPr>
          <w:p w14:paraId="539A3ED3">
            <w:pPr>
              <w:spacing w:before="0" w:after="0" w:line="240" w:lineRule="auto"/>
              <w:ind w:firstLine="0"/>
              <w:jc w:val="both"/>
              <w:rPr>
                <w:rFonts w:ascii="Times New Roman" w:hAnsi="Times New Roman" w:cs="Times New Roman"/>
                <w:kern w:val="0"/>
                <w14:ligatures w14:val="none"/>
              </w:rPr>
            </w:pPr>
            <w:r>
              <w:rPr>
                <w:rFonts w:ascii="Times New Roman" w:hAnsi="Times New Roman" w:cs="Times New Roman"/>
                <w:kern w:val="0"/>
                <w:sz w:val="24"/>
                <w14:ligatures w14:val="none"/>
              </w:rPr>
              <w:t xml:space="preserve">Посетитель сайта </w:t>
            </w:r>
            <w:r>
              <w:rPr>
                <w:rFonts w:ascii="Times New Roman" w:hAnsi="Times New Roman" w:cs="Times New Roman"/>
                <w:kern w:val="0"/>
                <w:sz w:val="24"/>
                <w:lang w:val="en-US"/>
                <w14:ligatures w14:val="none"/>
              </w:rPr>
              <w:sym w:font="Wingdings" w:char="F0E0"/>
            </w:r>
            <w:r>
              <w:rPr>
                <w:rFonts w:ascii="Times New Roman" w:hAnsi="Times New Roman" w:cs="Times New Roman"/>
                <w:kern w:val="0"/>
                <w:sz w:val="24"/>
                <w:lang w:val="en-US"/>
                <w14:ligatures w14:val="none"/>
              </w:rPr>
              <w:t xml:space="preserve"> </w:t>
            </w:r>
            <w:r>
              <w:rPr>
                <w:rFonts w:ascii="Times New Roman" w:hAnsi="Times New Roman" w:cs="Times New Roman"/>
                <w:kern w:val="0"/>
                <w:sz w:val="24"/>
                <w14:ligatures w14:val="none"/>
              </w:rPr>
              <w:t xml:space="preserve">Заявка/Звонок </w:t>
            </w:r>
          </w:p>
        </w:tc>
        <w:tc>
          <w:tcPr>
            <w:tcW w:w="4814" w:type="dxa"/>
          </w:tcPr>
          <w:p w14:paraId="5F6913C5">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lang w:val="en-US"/>
                <w14:ligatures w14:val="none"/>
              </w:rPr>
              <w:t>1%</w:t>
            </w:r>
            <w:r>
              <w:rPr>
                <w:rFonts w:ascii="Times New Roman" w:hAnsi="Times New Roman" w:eastAsia="Calibri" w:cs="Times New Roman"/>
                <w:kern w:val="0"/>
                <w:sz w:val="24"/>
                <w14:ligatures w14:val="none"/>
              </w:rPr>
              <w:t xml:space="preserve"> – </w:t>
            </w:r>
            <w:r>
              <w:rPr>
                <w:rFonts w:ascii="Times New Roman" w:hAnsi="Times New Roman" w:eastAsia="Calibri" w:cs="Times New Roman"/>
                <w:kern w:val="0"/>
                <w:sz w:val="24"/>
                <w:lang w:val="en-US"/>
                <w14:ligatures w14:val="none"/>
              </w:rPr>
              <w:t>3%</w:t>
            </w:r>
            <w:r>
              <w:rPr>
                <w:rFonts w:ascii="Times New Roman" w:hAnsi="Times New Roman" w:eastAsia="Calibri" w:cs="Times New Roman"/>
                <w:kern w:val="0"/>
                <w:sz w:val="24"/>
                <w14:ligatures w14:val="none"/>
              </w:rPr>
              <w:t xml:space="preserve"> </w:t>
            </w:r>
          </w:p>
        </w:tc>
      </w:tr>
      <w:tr w14:paraId="7C9FB25B">
        <w:tc>
          <w:tcPr>
            <w:tcW w:w="4531" w:type="dxa"/>
          </w:tcPr>
          <w:p w14:paraId="6F46DCC0">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cs="Times New Roman"/>
                <w:kern w:val="0"/>
                <w:sz w:val="24"/>
                <w14:ligatures w14:val="none"/>
              </w:rPr>
              <w:t xml:space="preserve">Лид </w:t>
            </w:r>
            <w:r>
              <w:rPr>
                <w:rFonts w:ascii="Times New Roman" w:hAnsi="Times New Roman" w:cs="Times New Roman"/>
                <w:kern w:val="0"/>
                <w:sz w:val="24"/>
                <w:lang w:val="en-US"/>
                <w14:ligatures w14:val="none"/>
              </w:rPr>
              <w:sym w:font="Wingdings" w:char="F0E0"/>
            </w:r>
            <w:r>
              <w:rPr>
                <w:rFonts w:ascii="Times New Roman" w:hAnsi="Times New Roman" w:cs="Times New Roman"/>
                <w:kern w:val="0"/>
                <w:sz w:val="24"/>
                <w:lang w:val="en-US"/>
                <w14:ligatures w14:val="none"/>
              </w:rPr>
              <w:t xml:space="preserve"> </w:t>
            </w:r>
            <w:r>
              <w:rPr>
                <w:rFonts w:ascii="Times New Roman" w:hAnsi="Times New Roman" w:cs="Times New Roman"/>
                <w:kern w:val="0"/>
                <w:sz w:val="24"/>
                <w14:ligatures w14:val="none"/>
              </w:rPr>
              <w:t>Запись на прием</w:t>
            </w:r>
            <w:r>
              <w:rPr>
                <w:rFonts w:ascii="Times New Roman" w:hAnsi="Times New Roman" w:cs="Times New Roman"/>
                <w:kern w:val="0"/>
                <w:sz w:val="24"/>
                <w:lang w:val="en-US"/>
                <w14:ligatures w14:val="none"/>
              </w:rPr>
              <w:t xml:space="preserve"> </w:t>
            </w:r>
          </w:p>
        </w:tc>
        <w:tc>
          <w:tcPr>
            <w:tcW w:w="4814" w:type="dxa"/>
          </w:tcPr>
          <w:p w14:paraId="0C8F9DA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40% – 60%  </w:t>
            </w:r>
          </w:p>
        </w:tc>
      </w:tr>
      <w:tr w14:paraId="467F85A5">
        <w:tc>
          <w:tcPr>
            <w:tcW w:w="4531" w:type="dxa"/>
          </w:tcPr>
          <w:p w14:paraId="158A511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cs="Times New Roman"/>
                <w:kern w:val="0"/>
                <w:sz w:val="24"/>
                <w14:ligatures w14:val="none"/>
              </w:rPr>
              <w:t xml:space="preserve">Запись </w:t>
            </w:r>
            <w:r>
              <w:rPr>
                <w:rFonts w:ascii="Times New Roman" w:hAnsi="Times New Roman" w:cs="Times New Roman"/>
                <w:kern w:val="0"/>
                <w:sz w:val="24"/>
                <w:lang w:val="en-US"/>
                <w14:ligatures w14:val="none"/>
              </w:rPr>
              <w:sym w:font="Wingdings" w:char="F0E0"/>
            </w:r>
            <w:r>
              <w:rPr>
                <w:rFonts w:ascii="Times New Roman" w:hAnsi="Times New Roman" w:cs="Times New Roman"/>
                <w:kern w:val="0"/>
                <w:sz w:val="24"/>
                <w:lang w:val="en-US"/>
                <w14:ligatures w14:val="none"/>
              </w:rPr>
              <w:t xml:space="preserve"> </w:t>
            </w:r>
            <w:r>
              <w:rPr>
                <w:rFonts w:ascii="Times New Roman" w:hAnsi="Times New Roman" w:cs="Times New Roman"/>
                <w:kern w:val="0"/>
                <w:sz w:val="24"/>
                <w14:ligatures w14:val="none"/>
              </w:rPr>
              <w:t xml:space="preserve">Визит (Show-up Rate) </w:t>
            </w:r>
          </w:p>
        </w:tc>
        <w:tc>
          <w:tcPr>
            <w:tcW w:w="4814" w:type="dxa"/>
          </w:tcPr>
          <w:p w14:paraId="76556E90">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75% – 90% (10% – 25% неявок)</w:t>
            </w:r>
          </w:p>
        </w:tc>
      </w:tr>
    </w:tbl>
    <w:p w14:paraId="07C3BE66">
      <w:pPr>
        <w:spacing w:before="0" w:after="0" w:line="360" w:lineRule="auto"/>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Источник: составлено автором</w:t>
      </w:r>
    </w:p>
    <w:p w14:paraId="4FAD888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Наиболее ключевым и актуальным трендом развития инструментов цифрового маркетинга является развитие искусственного интеллекта и автоматизация процессов, которые интегрируются в процессы и инструменты цифрового маркетинга. </w:t>
      </w:r>
    </w:p>
    <w:p w14:paraId="4F5B7CE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Искусственный интеллект может применяться различными способами, например: генерация фотографий, иллюстраций, изображений и видео для маркетинговых кампаний, рекламных объявлений, а также контента в социальные сети. Также искусственный интеллект используется и при создании текстов – он позволяет не только оформлять смыслы в текст, но и проверять контент на ошибки, оформлять текст в карточки, текстовые формы, и проверять информацию.</w:t>
      </w:r>
    </w:p>
    <w:p w14:paraId="03D2BBC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Помимо этого, искусственный интеллект используется в маркетинговой аналитике и анализе больших данных, что, в свою очередь, используется в контекстной и таргетированной рекламах для поиска релевантной аудитории.</w:t>
      </w:r>
    </w:p>
    <w:p w14:paraId="467A745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Развитие нейросетей и искусственного интеллекта также трансформирует инструмент оптимизации контента. Если раньше сайты адаптировались только под требования поисковых систем (Яндекс Поиск, </w:t>
      </w:r>
      <w:r>
        <w:rPr>
          <w:rFonts w:ascii="Times New Roman" w:hAnsi="Times New Roman" w:eastAsia="Calibri" w:cs="Times New Roman"/>
          <w:kern w:val="0"/>
          <w:sz w:val="28"/>
          <w:szCs w:val="28"/>
          <w:lang w:val="en-US"/>
          <w14:ligatures w14:val="none"/>
        </w:rPr>
        <w:t>Google</w:t>
      </w:r>
      <w:r>
        <w:rPr>
          <w:rFonts w:ascii="Times New Roman" w:hAnsi="Times New Roman" w:eastAsia="Calibri" w:cs="Times New Roman"/>
          <w:kern w:val="0"/>
          <w:sz w:val="28"/>
          <w:szCs w:val="28"/>
          <w14:ligatures w14:val="none"/>
        </w:rPr>
        <w:t xml:space="preserve">) – проводилась </w:t>
      </w:r>
      <w:r>
        <w:rPr>
          <w:rFonts w:ascii="Times New Roman" w:hAnsi="Times New Roman" w:eastAsia="Calibri" w:cs="Times New Roman"/>
          <w:kern w:val="0"/>
          <w:sz w:val="28"/>
          <w:szCs w:val="28"/>
          <w:lang w:val="en-US"/>
          <w14:ligatures w14:val="none"/>
        </w:rPr>
        <w:t>SEO</w:t>
      </w:r>
      <w:r>
        <w:rPr>
          <w:rFonts w:ascii="Times New Roman" w:hAnsi="Times New Roman" w:eastAsia="Calibri" w:cs="Times New Roman"/>
          <w:kern w:val="0"/>
          <w:sz w:val="28"/>
          <w:szCs w:val="28"/>
          <w14:ligatures w14:val="none"/>
        </w:rPr>
        <w:t>-оптимизация контента таким образом, чтобы сайт компании оказывался на первых строках выдачи и повышалась узнаваемость компании, то сейчас добавляются новые инструменты цифрового маркетинга:</w:t>
      </w:r>
    </w:p>
    <w:p w14:paraId="62CD3C0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1) </w:t>
      </w:r>
      <w:r>
        <w:rPr>
          <w:rFonts w:ascii="Times New Roman" w:hAnsi="Times New Roman" w:eastAsia="Calibri" w:cs="Times New Roman"/>
          <w:kern w:val="0"/>
          <w:sz w:val="28"/>
          <w:szCs w:val="28"/>
          <w:lang w:val="en-US"/>
          <w14:ligatures w14:val="none"/>
        </w:rPr>
        <w:t>GEO</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Generative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Engine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Optimization</w:t>
      </w:r>
      <w:r>
        <w:rPr>
          <w:rFonts w:ascii="Times New Roman" w:hAnsi="Times New Roman" w:eastAsia="Calibri" w:cs="Times New Roman"/>
          <w:kern w:val="0"/>
          <w:sz w:val="28"/>
          <w:szCs w:val="28"/>
          <w14:ligatures w14:val="none"/>
        </w:rPr>
        <w:t xml:space="preserve">) – продвижение в генеративной выдаче, позволяющий цитировать контент со страницы сайта в ответах нейросетей – «Алисы» (Яндекс) и </w:t>
      </w:r>
      <w:r>
        <w:rPr>
          <w:rFonts w:ascii="Times New Roman" w:hAnsi="Times New Roman" w:eastAsia="Calibri" w:cs="Times New Roman"/>
          <w:kern w:val="0"/>
          <w:sz w:val="28"/>
          <w:szCs w:val="28"/>
          <w:lang w:val="en-US"/>
          <w14:ligatures w14:val="none"/>
        </w:rPr>
        <w:t>Google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Generative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Engine</w:t>
      </w:r>
      <w:r>
        <w:rPr>
          <w:rFonts w:ascii="Times New Roman" w:hAnsi="Times New Roman" w:eastAsia="Calibri" w:cs="Times New Roman"/>
          <w:kern w:val="0"/>
          <w:sz w:val="28"/>
          <w:szCs w:val="28"/>
          <w14:ligatures w14:val="none"/>
        </w:rPr>
        <w:t xml:space="preserve">; </w:t>
      </w:r>
    </w:p>
    <w:p w14:paraId="7684313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2) </w:t>
      </w:r>
      <w:r>
        <w:rPr>
          <w:rFonts w:ascii="Times New Roman" w:hAnsi="Times New Roman" w:eastAsia="Calibri" w:cs="Times New Roman"/>
          <w:kern w:val="0"/>
          <w:sz w:val="28"/>
          <w:szCs w:val="28"/>
          <w:lang w:val="en-US"/>
          <w14:ligatures w14:val="none"/>
        </w:rPr>
        <w:t>AIO</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Artificial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Engine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Optimization</w:t>
      </w:r>
      <w:r>
        <w:rPr>
          <w:rFonts w:ascii="Times New Roman" w:hAnsi="Times New Roman" w:eastAsia="Calibri" w:cs="Times New Roman"/>
          <w:kern w:val="0"/>
          <w:sz w:val="28"/>
          <w:szCs w:val="28"/>
          <w14:ligatures w14:val="none"/>
        </w:rPr>
        <w:t xml:space="preserve">) – адаптация контента под алгоритмы машинного обучения, позволяющий представлять контент со страницы сайта в ответы нейросетей </w:t>
      </w:r>
      <w:r>
        <w:rPr>
          <w:rFonts w:ascii="Times New Roman" w:hAnsi="Times New Roman" w:eastAsia="Calibri" w:cs="Times New Roman"/>
          <w:kern w:val="0"/>
          <w:sz w:val="28"/>
          <w:szCs w:val="28"/>
          <w:lang w:val="en-US"/>
          <w14:ligatures w14:val="none"/>
        </w:rPr>
        <w:t>ChatGPT</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Claude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DeepSeek</w:t>
      </w:r>
      <w:r>
        <w:rPr>
          <w:rFonts w:ascii="Times New Roman" w:hAnsi="Times New Roman" w:eastAsia="Calibri" w:cs="Times New Roman"/>
          <w:kern w:val="0"/>
          <w:sz w:val="28"/>
          <w:szCs w:val="28"/>
          <w14:ligatures w14:val="none"/>
        </w:rPr>
        <w:t xml:space="preserve"> и т. д. </w:t>
      </w:r>
    </w:p>
    <w:p w14:paraId="48608A3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Одним из направлений использования нейросетей является создание чат-ботов и голосовых помощников, которые создаются на базе мессенджеров или корпоративного сайта</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[19].</w:t>
      </w:r>
    </w:p>
    <w:p w14:paraId="3AA3DA7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Чат-боты могут быть использованы как для технической поддержки пользователей, так и для записи на прием, консультации, выбора товаров и услуг, а также решения тех или иных шаблонных вопросов.</w:t>
      </w:r>
    </w:p>
    <w:p w14:paraId="3B00E9B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Немаловажным трендом является и обновление, и расширение инструментов работы с данными о клиентах и потребительском поведении. Компании собирают данные в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-системы, обрабатывают их и анализируют с целью формирования бизнес-решений.</w:t>
      </w:r>
    </w:p>
    <w:p w14:paraId="2D11D25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современной маркетинговой деятельности активно используется </w:t>
      </w:r>
      <w:r>
        <w:rPr>
          <w:rFonts w:ascii="Times New Roman" w:hAnsi="Times New Roman" w:eastAsia="Calibri" w:cs="Times New Roman"/>
          <w:kern w:val="0"/>
          <w:sz w:val="28"/>
          <w:szCs w:val="28"/>
          <w:lang w:val="en-US"/>
          <w14:ligatures w14:val="none"/>
        </w:rPr>
        <w:t>data</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driven</w:t>
      </w:r>
      <w:r>
        <w:rPr>
          <w:rFonts w:ascii="Times New Roman" w:hAnsi="Times New Roman" w:eastAsia="Calibri" w:cs="Times New Roman"/>
          <w:kern w:val="0"/>
          <w:sz w:val="28"/>
          <w:szCs w:val="28"/>
          <w14:ligatures w14:val="none"/>
        </w:rPr>
        <w:t xml:space="preserve"> подход, который заключается в проверке гипотез на имеющихся фактах и реально собранных данных. Внедрение </w:t>
      </w:r>
      <w:r>
        <w:rPr>
          <w:rFonts w:ascii="Times New Roman" w:hAnsi="Times New Roman" w:eastAsia="Calibri" w:cs="Times New Roman"/>
          <w:kern w:val="0"/>
          <w:sz w:val="28"/>
          <w:szCs w:val="28"/>
          <w:lang w:val="en-US"/>
          <w14:ligatures w14:val="none"/>
        </w:rPr>
        <w:t>data</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driven</w:t>
      </w:r>
      <w:r>
        <w:rPr>
          <w:rFonts w:ascii="Times New Roman" w:hAnsi="Times New Roman" w:eastAsia="Calibri" w:cs="Times New Roman"/>
          <w:kern w:val="0"/>
          <w:sz w:val="28"/>
          <w:szCs w:val="28"/>
          <w14:ligatures w14:val="none"/>
        </w:rPr>
        <w:t xml:space="preserve"> подхода позволяет перейти от интуитивного управления к принятию решений, основанных на данных, что обеспечивает повышение эффективности управленческих процессов, минимизацию рисков и оптимизацию внутренних ресурсов.</w:t>
      </w:r>
    </w:p>
    <w:p w14:paraId="1FBF1F6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Внедрение </w:t>
      </w:r>
      <w:r>
        <w:rPr>
          <w:rFonts w:ascii="Times New Roman" w:hAnsi="Times New Roman" w:eastAsia="Calibri" w:cs="Times New Roman"/>
          <w:kern w:val="0"/>
          <w:sz w:val="28"/>
          <w:szCs w:val="28"/>
          <w:lang w:val="en-US"/>
          <w14:ligatures w14:val="none"/>
        </w:rPr>
        <w:t>data</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driven</w:t>
      </w:r>
      <w:r>
        <w:rPr>
          <w:rFonts w:ascii="Times New Roman" w:hAnsi="Times New Roman" w:eastAsia="Calibri" w:cs="Times New Roman"/>
          <w:kern w:val="0"/>
          <w:sz w:val="28"/>
          <w:szCs w:val="28"/>
          <w14:ligatures w14:val="none"/>
        </w:rPr>
        <w:t xml:space="preserve"> подхода на практике в сфере управления путем клиента возможно с помощью внедрения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-систем.</w:t>
      </w:r>
    </w:p>
    <w:p w14:paraId="0225B84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-системы позволяют организовать данные о клиентах, управлять коммуникацией, анализировать данные о клиентах, их потребностях и предпочтениях. На практике данные системы представляют собой программное обеспечение для автоматизации стратегий взаимодействия с заказчиками.</w:t>
      </w:r>
    </w:p>
    <w:p w14:paraId="7C1B0BD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Данные из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 xml:space="preserve">-систем позволяют компаниям формировать персонифицированные предложения для постоянных клиентов, автоматизировать напоминания о бронировании, акциях и специальных предложениях. Преимуществом внедрения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-систем является также то, что они позволяют синхронизировать работу различных отделов компании (маркетинговый отдел, отдел продаж, службы обслуживания клиентов и технической поддержки)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[26].</w:t>
      </w:r>
    </w:p>
    <w:p w14:paraId="34A198E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Можно выделить следующие основные функции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-систем, которые присущи практически для всех видов программного обеспечения:</w:t>
      </w:r>
    </w:p>
    <w:p w14:paraId="36740BC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хранение данных о клиентах (демографические, контактные, данные о предпочтениях, диагноз и т. д.);</w:t>
      </w:r>
    </w:p>
    <w:p w14:paraId="1CF4585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 управление продажами (история покупок, история посещений, данные о запланированных посещениях, отслеживание этапов продаж, управление воронкой продаж, прогноз доходов);</w:t>
      </w:r>
    </w:p>
    <w:p w14:paraId="64EDB7E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3) автоматизация маркетинга (рассылки, напоминания, автоматизация взаимодействия в разных каналах связи, сегментация аудитории, анализ эффективности рекламных кампаний);</w:t>
      </w:r>
    </w:p>
    <w:p w14:paraId="0EB5F36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4) поддержка клиентов (управление запросами клиентов, отслеживание обращений в службу поддержки);</w:t>
      </w:r>
    </w:p>
    <w:p w14:paraId="7546F33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5) аналитика и отчетность (анализ финансовых показателей, анализ статистики продаж);</w:t>
      </w:r>
    </w:p>
    <w:p w14:paraId="3DED14B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6) совместная работа между отделами компании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[27].</w:t>
      </w:r>
    </w:p>
    <w:p w14:paraId="4B40900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Таким образом, ключевым трендом является автоматизация коммуникаций с клиентом. В условиях огромного потока информации, использование </w:t>
      </w:r>
      <w:r>
        <w:rPr>
          <w:rFonts w:ascii="Times New Roman" w:hAnsi="Times New Roman" w:eastAsia="Calibri" w:cs="Times New Roman"/>
          <w:kern w:val="0"/>
          <w:sz w:val="28"/>
          <w:szCs w:val="28"/>
          <w:lang w:val="en-US"/>
          <w14:ligatures w14:val="none"/>
        </w:rPr>
        <w:t>CRM</w:t>
      </w:r>
      <w:r>
        <w:rPr>
          <w:rFonts w:ascii="Times New Roman" w:hAnsi="Times New Roman" w:eastAsia="Calibri" w:cs="Times New Roman"/>
          <w:kern w:val="0"/>
          <w:sz w:val="28"/>
          <w:szCs w:val="28"/>
          <w14:ligatures w14:val="none"/>
        </w:rPr>
        <w:t xml:space="preserve">-систем важно не только в крупных компаниях, но в малом и среднем предпринимательстве, что позволяет повысить качество взаимодействия с клиентом. </w:t>
      </w:r>
    </w:p>
    <w:p w14:paraId="06E1B3A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Следующей тенденцией стоит выделить увеличение значения пользовательского контента. Как тренд это возникло в условиях «баннерной слепоты», когда пользователи намеренно и ненамеренно не обращают внимание на рекламный контент, поэтому контент, созданный самими пользователями, вызывает больше доверия, чем контент компаний.</w:t>
      </w:r>
    </w:p>
    <w:p w14:paraId="1BB520F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При этом, особенно актуальными становятся короткие ролики, созданные без профессионального оборудования и специально заданных условий освещения, сценария и т. д. </w:t>
      </w:r>
    </w:p>
    <w:p w14:paraId="0EBDCE9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Отдельной тенденцией стоит выделить создание мобильных приложений у компаний для персонификации взаимодействия с клиентом, повышения лояльности и укрепления взаимоотношений.</w:t>
      </w:r>
    </w:p>
    <w:p w14:paraId="22AC29B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Современной тенденцией в продвижении с помощью мобильных приложений стало использование таких инструментов как геймификация, персонализированные предложения и </w:t>
      </w:r>
      <w:r>
        <w:rPr>
          <w:rFonts w:ascii="Times New Roman" w:hAnsi="Times New Roman" w:eastAsia="Calibri" w:cs="Times New Roman"/>
          <w:kern w:val="0"/>
          <w:sz w:val="28"/>
          <w:szCs w:val="28"/>
          <w:lang w:val="en-US"/>
          <w14:ligatures w14:val="none"/>
        </w:rPr>
        <w:t>push</w:t>
      </w:r>
      <w:r>
        <w:rPr>
          <w:rFonts w:ascii="Times New Roman" w:hAnsi="Times New Roman" w:eastAsia="Calibri" w:cs="Times New Roman"/>
          <w:kern w:val="0"/>
          <w:sz w:val="28"/>
          <w:szCs w:val="28"/>
          <w14:ligatures w14:val="none"/>
        </w:rPr>
        <w:t>-уведомления.</w:t>
      </w:r>
    </w:p>
    <w:p w14:paraId="41C817C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Преимуществами использования мобильных приложений для продвижения и удержания пользователей являются:</w:t>
      </w:r>
    </w:p>
    <w:p w14:paraId="344635F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 обеспечение быстрого доступа к услугам и продуктам;</w:t>
      </w:r>
    </w:p>
    <w:p w14:paraId="04922A4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 возможность адаптации контента и предложения под индивидуальные предпочтения пользователей;</w:t>
      </w:r>
    </w:p>
    <w:p w14:paraId="766D2AA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3) мгновенное информирование пользователей о новых продуктах и услугах, акциях, изменениях с помощью </w:t>
      </w:r>
      <w:r>
        <w:rPr>
          <w:rFonts w:ascii="Times New Roman" w:hAnsi="Times New Roman" w:eastAsia="Calibri" w:cs="Times New Roman"/>
          <w:kern w:val="0"/>
          <w:sz w:val="28"/>
          <w:szCs w:val="28"/>
          <w:lang w:val="en-US"/>
          <w14:ligatures w14:val="none"/>
        </w:rPr>
        <w:t>push</w:t>
      </w:r>
      <w:r>
        <w:rPr>
          <w:rFonts w:ascii="Times New Roman" w:hAnsi="Times New Roman" w:eastAsia="Calibri" w:cs="Times New Roman"/>
          <w:kern w:val="0"/>
          <w:sz w:val="28"/>
          <w:szCs w:val="28"/>
          <w14:ligatures w14:val="none"/>
        </w:rPr>
        <w:t>-уведомлений, что способствует повышению вовлеченности пользователей;</w:t>
      </w:r>
    </w:p>
    <w:p w14:paraId="550942D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4) удержание пользователей за счет постоянного взаимодействия с приложением, что формирует лояльность бренду;</w:t>
      </w:r>
    </w:p>
    <w:p w14:paraId="5F56491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5) возможность сегментации аудитории и создания таргетированного предложения для выявленных сегментов пользователей, что повышает эффективность маркетинговых кампаний.</w:t>
      </w:r>
    </w:p>
    <w:p w14:paraId="0C3EAB0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Геймификация как тренд в мобильных приложениях направлен на трансформацию взаимодействия пользователя с функциями приложения – данный процесс превращает действия пользователя в игру, что повышает вовлеченность, способствует тому, чтобы пользователь снова и снова возвращался в приложение.</w:t>
      </w:r>
    </w:p>
    <w:p w14:paraId="5B351EA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Для повышения качества пользовательского опыта в мобильных приложениях внедряют искусственный интеллект, который анализирует поведение пользователя, его покупки и на основе этих данных формирует систему рекомендаций – клиент видит в первую очередь те товары и услуги (или публикации), которые персонализированы под его интересы</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[28].</w:t>
      </w:r>
    </w:p>
    <w:p w14:paraId="5C50EA5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Приложения услуг – это сервисы, объединяющие поставщиков услуг и товаров с потребителями.</w:t>
      </w:r>
    </w:p>
    <w:p w14:paraId="273BFFB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Мобильные приложения в сфере услуг развиты в различных сферах экономики. В туризме – это сервисы по бронированию жилья (Суточно.ру) и билетов («ТуТу»), в сфере общественного питания – это поиск заведений, заказ блюд онлайн, в сфере развлечений – это бронирование различных экскурсий и прочего («Т</w:t>
      </w:r>
      <w:r>
        <w:rPr>
          <w:rFonts w:ascii="Times New Roman" w:hAnsi="Times New Roman" w:eastAsia="Calibri" w:cs="Times New Roman"/>
          <w:kern w:val="0"/>
          <w:sz w:val="28"/>
          <w:szCs w:val="28"/>
          <w:lang w:val="en-US"/>
          <w14:ligatures w14:val="none"/>
        </w:rPr>
        <w:t>ripAdviser</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[29]. </w:t>
      </w:r>
    </w:p>
    <w:p w14:paraId="43CD50E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сфере государственной медицины аналогом могут выступать сервисы онлайн-записи к врачу (в Санкт-Петербурге – это «Здоровье Петербуржца», в Москве – сервис </w:t>
      </w:r>
      <w:r>
        <w:rPr>
          <w:rFonts w:ascii="Times New Roman" w:hAnsi="Times New Roman" w:eastAsia="Calibri" w:cs="Times New Roman"/>
          <w:kern w:val="0"/>
          <w:sz w:val="28"/>
          <w:szCs w:val="28"/>
          <w:lang w:val="en-US"/>
          <w14:ligatures w14:val="none"/>
        </w:rPr>
        <w:t>MOS</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RU</w:t>
      </w:r>
      <w:r>
        <w:rPr>
          <w:rFonts w:ascii="Times New Roman" w:hAnsi="Times New Roman" w:eastAsia="Calibri" w:cs="Times New Roman"/>
          <w:kern w:val="0"/>
          <w:sz w:val="28"/>
          <w:szCs w:val="28"/>
          <w14:ligatures w14:val="none"/>
        </w:rPr>
        <w:t>).</w:t>
      </w:r>
    </w:p>
    <w:p w14:paraId="1A7AF2A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частной медицине также есть сервисы онлайн-записи к врачу и выбора врача и клиники – например, СберЗдоровье.</w:t>
      </w:r>
    </w:p>
    <w:p w14:paraId="79BB9DC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Использование данных сервисов имеет свои преимущества и недостатки. Наиболее значимым преимуществом можно отметить то, что они позволяют компании, которая неизвестна на рынке, конкурировать и получать узнаваемость, а также за счет системы отзывов и оценок, используется социальный эффект, когда пользователи выбирают ту клинику, которая уже имеет отзывы и оценки других пользователей. </w:t>
      </w:r>
    </w:p>
    <w:p w14:paraId="2DA09C1B">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Помимо этого, с помощью данных сервисов компании могут анализировать конкурентов и выявлять направления для развития.</w:t>
      </w:r>
    </w:p>
    <w:p w14:paraId="0591964C">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 этом, есть и недостатки, связанные с высоким уровнем конкуренции на таких сервисах.</w:t>
      </w:r>
    </w:p>
    <w:p w14:paraId="3D3F96F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Омниканальный маркетинг, как одна из современных тенденций, представляет собой стратегию создания непрерывного клиентского опыта через различные каналы взаимодействия (например, онлайн-платформы, социальные сети, клиники, и др.).</w:t>
      </w:r>
    </w:p>
    <w:p w14:paraId="4B8F1B6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Ключевым принципом омниканального маркетинга является согласованность всех каналов взаимодействия с клиентом</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[30]. </w:t>
      </w:r>
    </w:p>
    <w:p w14:paraId="4C1C306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 принятии решения о покупке услуги, пользователь взаимодействует с различными каналами связи с компанией, в данном контексте важным аспектом является создание бесшовного пути клиента.</w:t>
      </w:r>
    </w:p>
    <w:p w14:paraId="707A2A1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Поскольку пользователи уходят от модели потребления в одном канале связи, старые воронки продаж снижают свою эффективность, и современные исследователи предлагают внедрение искусственного интеллекта для формирования бесшовного клиентского пути.</w:t>
      </w:r>
    </w:p>
    <w:p w14:paraId="19ADE7E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Соединение различных каналов связи с пользователями и клиентами как одна из современных рыночных тенденций включает в себя использование как онлайн, так и оффлайн-каналов продвижения и удержания клиентов. </w:t>
      </w:r>
    </w:p>
    <w:p w14:paraId="3FA5AB0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рамках исследования уже рассмотрено большое количество онлайн-инструментов взаимодействия с пользователями, однако стоит выделить и оффлайн-инструменты, которые имеют тенденцию к развитию. </w:t>
      </w:r>
    </w:p>
    <w:p w14:paraId="519F3B4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К оффлайн-инструментам относятся СМС-рассылки, реклама через приложения, цифровые экраны на городских улицах и общественных пространствах. </w:t>
      </w:r>
    </w:p>
    <w:p w14:paraId="64B1154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 Азиатских странах также распространен такой инструмент как </w:t>
      </w:r>
      <w:r>
        <w:rPr>
          <w:rFonts w:ascii="Times New Roman" w:hAnsi="Times New Roman" w:eastAsia="Calibri" w:cs="Times New Roman"/>
          <w:kern w:val="0"/>
          <w:sz w:val="28"/>
          <w:szCs w:val="28"/>
          <w:lang w:val="en-US"/>
          <w14:ligatures w14:val="none"/>
        </w:rPr>
        <w:t>QR</w:t>
      </w:r>
      <w:r>
        <w:rPr>
          <w:rFonts w:ascii="Times New Roman" w:hAnsi="Times New Roman" w:eastAsia="Calibri" w:cs="Times New Roman"/>
          <w:kern w:val="0"/>
          <w:sz w:val="28"/>
          <w:szCs w:val="28"/>
          <w14:ligatures w14:val="none"/>
        </w:rPr>
        <w:t xml:space="preserve">-коды, которые становятся популярными и в России. </w:t>
      </w:r>
      <w:r>
        <w:rPr>
          <w:rFonts w:ascii="Times New Roman" w:hAnsi="Times New Roman" w:eastAsia="Calibri" w:cs="Times New Roman"/>
          <w:kern w:val="0"/>
          <w:sz w:val="28"/>
          <w:szCs w:val="28"/>
          <w:lang w:val="en-US"/>
          <w14:ligatures w14:val="none"/>
        </w:rPr>
        <w:t>QR</w:t>
      </w:r>
      <w:r>
        <w:rPr>
          <w:rFonts w:ascii="Times New Roman" w:hAnsi="Times New Roman" w:eastAsia="Calibri" w:cs="Times New Roman"/>
          <w:kern w:val="0"/>
          <w:sz w:val="28"/>
          <w:szCs w:val="28"/>
          <w14:ligatures w14:val="none"/>
        </w:rPr>
        <w:t xml:space="preserve"> используют как в онлайн, так и в оффлайн-пространстве для того, чтобы пользователи могли переходить на сайт или приложение компании.</w:t>
      </w:r>
    </w:p>
    <w:p w14:paraId="788A883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Также стоит выделить развитие виртуальной и дополненной реальности как один из трендов в развитии цифрового маркетинга – этот инструмент используется для создания интерактивных рекламных кампаний для вовлечения пользователей и повышения конверсии. </w:t>
      </w:r>
    </w:p>
    <w:p w14:paraId="7598284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Виртуальная реальность – технология, позволяющая пользователям погружаться в полностью созданную компьютерную среду с помощью шлемов виртуальной реальности.</w:t>
      </w:r>
    </w:p>
    <w:p w14:paraId="694F041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Дополненная реальность – наложение цифровых элементов на реальные объекты посредством использования смартфонов и очков дополненной реальности.</w:t>
      </w:r>
    </w:p>
    <w:p w14:paraId="175CB26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Например, есть практика съемки клиник для Яндекс Карт – пользователи могут «заглянуть» в стоматологическую клинику и посмотреть, как она устроена изнутри, что повышает лояльность и доверие.</w:t>
      </w:r>
    </w:p>
    <w:p w14:paraId="5A3527A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Виртуальная реальность используется в стоматологии для планирования лечения – методами компьютерного проектирования (</w:t>
      </w:r>
      <w:r>
        <w:rPr>
          <w:rFonts w:ascii="Times New Roman" w:hAnsi="Times New Roman" w:eastAsia="Calibri" w:cs="Times New Roman"/>
          <w:kern w:val="0"/>
          <w:sz w:val="28"/>
          <w:szCs w:val="28"/>
          <w:lang w:val="en-US"/>
          <w14:ligatures w14:val="none"/>
        </w:rPr>
        <w:t>CAD</w:t>
      </w:r>
      <w:r>
        <w:rPr>
          <w:rFonts w:ascii="Times New Roman" w:hAnsi="Times New Roman" w:eastAsia="Calibri" w:cs="Times New Roman"/>
          <w:kern w:val="0"/>
          <w:sz w:val="28"/>
          <w:szCs w:val="28"/>
          <w14:ligatures w14:val="none"/>
        </w:rPr>
        <w:t xml:space="preserve">) и подхода зубных реставраций и обратного планирования лечения. </w:t>
      </w:r>
    </w:p>
    <w:p w14:paraId="443E424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частности, существует приложение виртуального артикулятора, моделирующее реальные данные пациента, что позволяет проводить анализ статической и динамической окклюзии и соотношения челюстей</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[31].</w:t>
      </w:r>
    </w:p>
    <w:p w14:paraId="2380674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таблице 5 систематизируем все рассмотренные выше тенденции развития цифрового маркетинга.</w:t>
      </w:r>
    </w:p>
    <w:p w14:paraId="5C07B96A">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Таблица 5 — Рыночные тенденции развития инструментов цифрового маркетинга</w:t>
      </w:r>
      <w:bookmarkStart w:id="8" w:name="_Hlk228995295"/>
      <w:bookmarkEnd w:id="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373"/>
      </w:tblGrid>
      <w:tr w14:paraId="0B9715A9">
        <w:tc>
          <w:tcPr>
            <w:tcW w:w="2972" w:type="dxa"/>
          </w:tcPr>
          <w:p w14:paraId="65DA8482">
            <w:pPr>
              <w:spacing w:before="0" w:after="0" w:line="240" w:lineRule="auto"/>
              <w:ind w:firstLine="0"/>
              <w:jc w:val="both"/>
              <w:rPr>
                <w:rFonts w:ascii="Times New Roman" w:hAnsi="Times New Roman" w:eastAsia="Calibri" w:cs="Times New Roman"/>
                <w:kern w:val="0"/>
                <w14:ligatures w14:val="none"/>
              </w:rPr>
            </w:pPr>
            <w:bookmarkStart w:id="9" w:name="_Hlk228979096"/>
            <w:r>
              <w:rPr>
                <w:rFonts w:ascii="Times New Roman" w:hAnsi="Times New Roman" w:eastAsia="Calibri" w:cs="Times New Roman"/>
                <w:kern w:val="0"/>
                <w:sz w:val="24"/>
                <w14:ligatures w14:val="none"/>
              </w:rPr>
              <w:t>Тенденция</w:t>
            </w:r>
          </w:p>
        </w:tc>
        <w:tc>
          <w:tcPr>
            <w:tcW w:w="6373" w:type="dxa"/>
          </w:tcPr>
          <w:p w14:paraId="0B1A50B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Характеристика</w:t>
            </w:r>
          </w:p>
        </w:tc>
      </w:tr>
      <w:tr w14:paraId="2AE59C37">
        <w:tc>
          <w:tcPr>
            <w:tcW w:w="2972" w:type="dxa"/>
          </w:tcPr>
          <w:p w14:paraId="3E26A91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Искусственный интеллект и автоматизация</w:t>
            </w:r>
          </w:p>
        </w:tc>
        <w:tc>
          <w:tcPr>
            <w:tcW w:w="6373" w:type="dxa"/>
          </w:tcPr>
          <w:p w14:paraId="6C30E59D">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Внедрение искусственного интеллекта для генерации контента (фото, видео, тексты), анализа больших данных, оптимизации рекламных кампаний и автоматизации маркетинговых процессов.</w:t>
            </w:r>
          </w:p>
        </w:tc>
      </w:tr>
      <w:bookmarkEnd w:id="9"/>
      <w:tr w14:paraId="77A9BAD8">
        <w:tc>
          <w:tcPr>
            <w:tcW w:w="2972" w:type="dxa"/>
          </w:tcPr>
          <w:p w14:paraId="45A6BE4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Оптимизация контента</w:t>
            </w:r>
          </w:p>
        </w:tc>
        <w:tc>
          <w:tcPr>
            <w:tcW w:w="6373" w:type="dxa"/>
          </w:tcPr>
          <w:p w14:paraId="28DE6A88">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Адаптация контента под алгоритмы нейросетей (SEO, GEO – генеративная выдача, AIO – адаптация под ChatGPT, Claude, DeepSeek и др.) для повышения видимости в ответах поисковых систем и нейросетей.</w:t>
            </w:r>
          </w:p>
        </w:tc>
      </w:tr>
      <w:tr w14:paraId="4DBFDF15">
        <w:tc>
          <w:tcPr>
            <w:tcW w:w="2972" w:type="dxa"/>
          </w:tcPr>
          <w:p w14:paraId="4571EFB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Сокращение воронки продаж</w:t>
            </w:r>
          </w:p>
        </w:tc>
        <w:tc>
          <w:tcPr>
            <w:tcW w:w="6373" w:type="dxa"/>
          </w:tcPr>
          <w:p w14:paraId="3F0569FD">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Упрощение процесса покупки для клиента, минимизация шагов до конверсии.</w:t>
            </w:r>
          </w:p>
        </w:tc>
      </w:tr>
      <w:tr w14:paraId="758E5D31">
        <w:tc>
          <w:tcPr>
            <w:tcW w:w="2972" w:type="dxa"/>
          </w:tcPr>
          <w:p w14:paraId="54DE101B">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Адаптивная реклама</w:t>
            </w:r>
          </w:p>
        </w:tc>
        <w:tc>
          <w:tcPr>
            <w:tcW w:w="6373" w:type="dxa"/>
          </w:tcPr>
          <w:p w14:paraId="661CAFB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Персонализация контекстной и таргетированной рекламы под конкретного пользователя для увеличения конверсии.</w:t>
            </w:r>
          </w:p>
        </w:tc>
      </w:tr>
      <w:tr w14:paraId="16FDAEE4">
        <w:tc>
          <w:tcPr>
            <w:tcW w:w="2972" w:type="dxa"/>
          </w:tcPr>
          <w:p w14:paraId="719A0CD8">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Аналитика данных</w:t>
            </w:r>
          </w:p>
        </w:tc>
        <w:tc>
          <w:tcPr>
            <w:tcW w:w="6373" w:type="dxa"/>
          </w:tcPr>
          <w:p w14:paraId="3DEBB7F9">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Сбор и анализ собственных данных о пользователях с помощью CRM-систем и Data-driven подхода для принятия обоснованных бизнес-решений.</w:t>
            </w:r>
          </w:p>
        </w:tc>
      </w:tr>
      <w:tr w14:paraId="6610F009">
        <w:tc>
          <w:tcPr>
            <w:tcW w:w="2972" w:type="dxa"/>
          </w:tcPr>
          <w:p w14:paraId="1D2B15BB">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Коллаборации с блогерами</w:t>
            </w:r>
          </w:p>
        </w:tc>
        <w:tc>
          <w:tcPr>
            <w:tcW w:w="6373" w:type="dxa"/>
          </w:tcPr>
          <w:p w14:paraId="18ED638E">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Сотрудничество с инфлюенсерами для повышения доверия к бренду, обмена аудиторией и укрепления экспертности.</w:t>
            </w:r>
          </w:p>
        </w:tc>
      </w:tr>
      <w:tr w14:paraId="7BC2006F">
        <w:tc>
          <w:tcPr>
            <w:tcW w:w="2972" w:type="dxa"/>
          </w:tcPr>
          <w:p w14:paraId="32D584F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Мессенджеры и чат-боты</w:t>
            </w:r>
          </w:p>
        </w:tc>
        <w:tc>
          <w:tcPr>
            <w:tcW w:w="6373" w:type="dxa"/>
          </w:tcPr>
          <w:p w14:paraId="445B4063">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Развитие корпоративных каналов общения в мессенджерах, внедрение чат-ботов для автоматизации поддержки, записи на услуги, консультаций.</w:t>
            </w:r>
          </w:p>
        </w:tc>
      </w:tr>
      <w:tr w14:paraId="6F4767A3">
        <w:tc>
          <w:tcPr>
            <w:tcW w:w="2972" w:type="dxa"/>
          </w:tcPr>
          <w:p w14:paraId="5C97A6C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Работа с репутацией</w:t>
            </w:r>
          </w:p>
        </w:tc>
        <w:tc>
          <w:tcPr>
            <w:tcW w:w="6373" w:type="dxa"/>
          </w:tcPr>
          <w:p w14:paraId="40E6BF58">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Активное использование отзывов, комментариев и пользовательского контента для формирования положительного имиджа бренда.</w:t>
            </w:r>
          </w:p>
        </w:tc>
      </w:tr>
      <w:tr w14:paraId="4EA25586">
        <w:tc>
          <w:tcPr>
            <w:tcW w:w="2972" w:type="dxa"/>
          </w:tcPr>
          <w:p w14:paraId="215FBBC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Короткие видеоролики</w:t>
            </w:r>
          </w:p>
        </w:tc>
        <w:tc>
          <w:tcPr>
            <w:tcW w:w="6373" w:type="dxa"/>
          </w:tcPr>
          <w:p w14:paraId="70B44405">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Рост популярности коротких видео (нативная реклама, ролики от блогеров) как эффективного рекламного формата.</w:t>
            </w:r>
          </w:p>
        </w:tc>
      </w:tr>
      <w:tr w14:paraId="67C8E52B">
        <w:tc>
          <w:tcPr>
            <w:tcW w:w="2972" w:type="dxa"/>
          </w:tcPr>
          <w:p w14:paraId="44B7CA20">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Мобильные приложения</w:t>
            </w:r>
          </w:p>
        </w:tc>
        <w:tc>
          <w:tcPr>
            <w:tcW w:w="6373" w:type="dxa"/>
          </w:tcPr>
          <w:p w14:paraId="59D1FC4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Разработка мобильных приложений с элементами геймификации, персонализации и push-уведомлений для удержания пользователей и повышения лояльности.</w:t>
            </w:r>
          </w:p>
        </w:tc>
      </w:tr>
      <w:tr w14:paraId="6C8FEDDE">
        <w:tc>
          <w:tcPr>
            <w:tcW w:w="2972" w:type="dxa"/>
          </w:tcPr>
          <w:p w14:paraId="210CA29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Омниканальный маркетинг</w:t>
            </w:r>
          </w:p>
        </w:tc>
        <w:tc>
          <w:tcPr>
            <w:tcW w:w="6373" w:type="dxa"/>
          </w:tcPr>
          <w:p w14:paraId="7CC6AAB5">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Создание единого клиентского опыта через все каналы взаимодействия (онлайн-платформы, соцсети, офлайн-точки).</w:t>
            </w:r>
          </w:p>
        </w:tc>
      </w:tr>
      <w:tr w14:paraId="7F689146">
        <w:tc>
          <w:tcPr>
            <w:tcW w:w="2972" w:type="dxa"/>
          </w:tcPr>
          <w:p w14:paraId="68A55143">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lang w:val="en-US"/>
                <w14:ligatures w14:val="none"/>
              </w:rPr>
              <w:t xml:space="preserve">AR </w:t>
            </w:r>
            <w:r>
              <w:rPr>
                <w:rFonts w:ascii="Times New Roman" w:hAnsi="Times New Roman" w:eastAsia="Calibri" w:cs="Times New Roman"/>
                <w:kern w:val="0"/>
                <w:sz w:val="24"/>
                <w14:ligatures w14:val="none"/>
              </w:rPr>
              <w:t xml:space="preserve">и </w:t>
            </w:r>
            <w:r>
              <w:rPr>
                <w:rFonts w:ascii="Times New Roman" w:hAnsi="Times New Roman" w:eastAsia="Calibri" w:cs="Times New Roman"/>
                <w:kern w:val="0"/>
                <w:sz w:val="24"/>
                <w:lang w:val="en-US"/>
                <w14:ligatures w14:val="none"/>
              </w:rPr>
              <w:t>VR</w:t>
            </w:r>
          </w:p>
        </w:tc>
        <w:tc>
          <w:tcPr>
            <w:tcW w:w="6373" w:type="dxa"/>
          </w:tcPr>
          <w:p w14:paraId="292B5BA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Применение виртуальной и дополненной реальности для создания интерактивных рекламных кампаний и повышения вовлечённости пользователей.</w:t>
            </w:r>
          </w:p>
        </w:tc>
      </w:tr>
      <w:tr w14:paraId="5713BEC8">
        <w:tc>
          <w:tcPr>
            <w:tcW w:w="2972" w:type="dxa"/>
          </w:tcPr>
          <w:p w14:paraId="699A28AF">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Персонализация предложения</w:t>
            </w:r>
          </w:p>
        </w:tc>
        <w:tc>
          <w:tcPr>
            <w:tcW w:w="6373" w:type="dxa"/>
          </w:tcPr>
          <w:p w14:paraId="5A179DF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Использование ИИ для анализа поведения пользователя и формирования индивидуальных рекомендаций.</w:t>
            </w:r>
          </w:p>
        </w:tc>
      </w:tr>
      <w:tr w14:paraId="20BE70C9">
        <w:tc>
          <w:tcPr>
            <w:tcW w:w="2972" w:type="dxa"/>
          </w:tcPr>
          <w:p w14:paraId="2B8AE56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Оффлайн-инструменты</w:t>
            </w:r>
          </w:p>
        </w:tc>
        <w:tc>
          <w:tcPr>
            <w:tcW w:w="6373" w:type="dxa"/>
          </w:tcPr>
          <w:p w14:paraId="0A8EBB91">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Развитие традиционных каналов продвижения (СМС-рассылки, цифровые экраны, QR-коды) в связке с онлайн-стратегиями.</w:t>
            </w:r>
          </w:p>
        </w:tc>
      </w:tr>
    </w:tbl>
    <w:p w14:paraId="1FAED0F1">
      <w:pPr>
        <w:spacing w:before="0" w:after="0"/>
        <w:ind w:firstLine="709"/>
        <w:jc w:val="both"/>
      </w:pPr>
      <w:r>
        <w:rPr>
          <w:rFonts w:ascii="Times New Roman" w:hAnsi="Times New Roman"/>
          <w:b w:val="0"/>
          <w:sz w:val="28"/>
        </w:rPr>
        <w:t>Цифровой маркетинг в медицинской сфере не существует в правовом вакууме: реклама, сбор данных пациентов, таргетинг и телемедицина регулируются отдельными федеральными законами и ведомственными актами. Их требования учтены при разработке проектного решения — иначе готовый продукт не прошёл бы юридическую проверку до старта пилота. В таблице 6 каждый инструмент сопоставлен с конкретным ограничением; показано, как это ограничение отразилось на концепте приложения. Сводный перечень нормативных изменений и их влияние на цифровой продукт приведены в таблице 15.</w:t>
      </w:r>
    </w:p>
    <w:p w14:paraId="2D15D9E9">
      <w:pPr>
        <w:spacing w:before="0" w:after="0"/>
        <w:jc w:val="left"/>
      </w:pPr>
      <w:r>
        <w:rPr>
          <w:rFonts w:ascii="Times New Roman" w:hAnsi="Times New Roman"/>
          <w:b w:val="0"/>
          <w:sz w:val="28"/>
        </w:rPr>
        <w:t>Таблица 6 — Применимость инструментов цифрового маркетинга в медицинской сфере с учётом правовых ограничений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2470"/>
        <w:gridCol w:w="2338"/>
        <w:gridCol w:w="2338"/>
      </w:tblGrid>
      <w:tr w14:paraId="1CFB557F">
        <w:tc>
          <w:tcPr>
            <w:tcW w:w="2338" w:type="dxa"/>
          </w:tcPr>
          <w:p w14:paraId="42F154BB">
            <w:pPr>
              <w:spacing w:before="0" w:after="0" w:line="240" w:lineRule="auto"/>
              <w:ind w:firstLine="0"/>
              <w:jc w:val="both"/>
              <w:rPr>
                <w:kern w:val="0"/>
                <w14:ligatures w14:val="none"/>
              </w:rPr>
            </w:pPr>
            <w:r>
              <w:rPr>
                <w:rFonts w:ascii="Times New Roman" w:hAnsi="Times New Roman"/>
                <w:b/>
                <w:kern w:val="0"/>
                <w:sz w:val="24"/>
                <w14:ligatures w14:val="none"/>
              </w:rPr>
              <w:t>Инструмент / практика</w:t>
            </w:r>
          </w:p>
        </w:tc>
        <w:tc>
          <w:tcPr>
            <w:tcW w:w="2338" w:type="dxa"/>
          </w:tcPr>
          <w:p w14:paraId="298D9492">
            <w:pPr>
              <w:spacing w:before="0" w:after="0" w:line="240" w:lineRule="auto"/>
              <w:ind w:firstLine="0"/>
              <w:jc w:val="both"/>
              <w:rPr>
                <w:kern w:val="0"/>
                <w14:ligatures w14:val="none"/>
              </w:rPr>
            </w:pPr>
            <w:r>
              <w:rPr>
                <w:rFonts w:ascii="Times New Roman" w:hAnsi="Times New Roman"/>
                <w:b/>
                <w:kern w:val="0"/>
                <w:sz w:val="24"/>
                <w14:ligatures w14:val="none"/>
              </w:rPr>
              <w:t>Правовое ограничение в медицине</w:t>
            </w:r>
          </w:p>
        </w:tc>
        <w:tc>
          <w:tcPr>
            <w:tcW w:w="2338" w:type="dxa"/>
          </w:tcPr>
          <w:p w14:paraId="39BFEC95">
            <w:pPr>
              <w:spacing w:before="0" w:after="0" w:line="240" w:lineRule="auto"/>
              <w:ind w:firstLine="0"/>
              <w:jc w:val="both"/>
              <w:rPr>
                <w:kern w:val="0"/>
                <w14:ligatures w14:val="none"/>
              </w:rPr>
            </w:pPr>
            <w:r>
              <w:rPr>
                <w:rFonts w:ascii="Times New Roman" w:hAnsi="Times New Roman"/>
                <w:b/>
                <w:kern w:val="0"/>
                <w:sz w:val="24"/>
                <w14:ligatures w14:val="none"/>
              </w:rPr>
              <w:t>Норма</w:t>
            </w:r>
          </w:p>
        </w:tc>
        <w:tc>
          <w:tcPr>
            <w:tcW w:w="2338" w:type="dxa"/>
          </w:tcPr>
          <w:p w14:paraId="3C1A0A92">
            <w:pPr>
              <w:spacing w:before="0" w:after="0" w:line="240" w:lineRule="auto"/>
              <w:ind w:firstLine="0"/>
              <w:jc w:val="both"/>
              <w:rPr>
                <w:kern w:val="0"/>
                <w14:ligatures w14:val="none"/>
              </w:rPr>
            </w:pPr>
            <w:r>
              <w:rPr>
                <w:rFonts w:ascii="Times New Roman" w:hAnsi="Times New Roman"/>
                <w:b/>
                <w:kern w:val="0"/>
                <w:sz w:val="24"/>
                <w14:ligatures w14:val="none"/>
              </w:rPr>
              <w:t>Как ограничение учтено в проектном решении</w:t>
            </w:r>
          </w:p>
        </w:tc>
      </w:tr>
      <w:tr w14:paraId="650C1F27">
        <w:tc>
          <w:tcPr>
            <w:tcW w:w="2338" w:type="dxa"/>
          </w:tcPr>
          <w:p w14:paraId="04CA49A7">
            <w:pPr>
              <w:spacing w:before="0" w:after="0" w:line="240" w:lineRule="auto"/>
              <w:ind w:firstLine="0"/>
              <w:jc w:val="both"/>
              <w:rPr>
                <w:kern w:val="0"/>
                <w14:ligatures w14:val="none"/>
              </w:rPr>
            </w:pPr>
            <w:r>
              <w:rPr>
                <w:rFonts w:ascii="Times New Roman" w:hAnsi="Times New Roman"/>
                <w:b w:val="0"/>
                <w:kern w:val="0"/>
                <w:sz w:val="24"/>
                <w14:ligatures w14:val="none"/>
              </w:rPr>
              <w:t>Рекламные коммуникации и акции (гарантии результата лечения)</w:t>
            </w:r>
          </w:p>
        </w:tc>
        <w:tc>
          <w:tcPr>
            <w:tcW w:w="2338" w:type="dxa"/>
          </w:tcPr>
          <w:p w14:paraId="7ED52FD9">
            <w:pPr>
              <w:spacing w:before="0" w:after="0" w:line="240" w:lineRule="auto"/>
              <w:ind w:firstLine="0"/>
              <w:jc w:val="both"/>
              <w:rPr>
                <w:kern w:val="0"/>
                <w14:ligatures w14:val="none"/>
              </w:rPr>
            </w:pPr>
            <w:r>
              <w:rPr>
                <w:rFonts w:ascii="Times New Roman" w:hAnsi="Times New Roman"/>
                <w:b w:val="0"/>
                <w:kern w:val="0"/>
                <w:sz w:val="24"/>
                <w14:ligatures w14:val="none"/>
              </w:rPr>
              <w:t>Запрет ссылок на конкретные случаи излечения, выражений благодарности пациентов, ссылок на исследования как гарантию преимущества; запрет утверждений о наличии у потребителей рекламы тех или иных заболеваний.</w:t>
            </w:r>
          </w:p>
        </w:tc>
        <w:tc>
          <w:tcPr>
            <w:tcW w:w="2338" w:type="dxa"/>
          </w:tcPr>
          <w:p w14:paraId="53C886BF">
            <w:pPr>
              <w:spacing w:before="0" w:after="0" w:line="240" w:lineRule="auto"/>
              <w:ind w:firstLine="0"/>
              <w:jc w:val="both"/>
              <w:rPr>
                <w:kern w:val="0"/>
                <w14:ligatures w14:val="none"/>
              </w:rPr>
            </w:pPr>
            <w:r>
              <w:rPr>
                <w:rFonts w:ascii="Times New Roman" w:hAnsi="Times New Roman"/>
                <w:b w:val="0"/>
                <w:kern w:val="0"/>
                <w:sz w:val="24"/>
                <w14:ligatures w14:val="none"/>
              </w:rPr>
              <w:t>Федеральный закон от 13.03.2006 № 38-ФЗ «О рекламе», ст. 24, ч. 1, пункты 2–5 (на рекламу медицинских услуг распространены частью 3 ст. 24); актуальная редакция от 27.10.2023.</w:t>
            </w:r>
          </w:p>
        </w:tc>
        <w:tc>
          <w:tcPr>
            <w:tcW w:w="2338" w:type="dxa"/>
          </w:tcPr>
          <w:p w14:paraId="304600D0">
            <w:pPr>
              <w:spacing w:before="0" w:after="0" w:line="240" w:lineRule="auto"/>
              <w:ind w:firstLine="0"/>
              <w:jc w:val="both"/>
              <w:rPr>
                <w:kern w:val="0"/>
                <w14:ligatures w14:val="none"/>
              </w:rPr>
            </w:pPr>
            <w:r>
              <w:rPr>
                <w:rFonts w:ascii="Times New Roman" w:hAnsi="Times New Roman"/>
                <w:b w:val="0"/>
                <w:kern w:val="0"/>
                <w:sz w:val="24"/>
                <w14:ligatures w14:val="none"/>
              </w:rPr>
              <w:t>Из маркетинговых материалов исключены отзывы-благодарности, поданные как гарантия результата, и формулировки типа «гарантируем результат лечения», «100% успех имплантации»; акцент перенесён на нейтральные сведения об опыте врачей и уровне качества.</w:t>
            </w:r>
          </w:p>
        </w:tc>
      </w:tr>
      <w:tr w14:paraId="7E9BBCAA">
        <w:tc>
          <w:tcPr>
            <w:tcW w:w="2338" w:type="dxa"/>
          </w:tcPr>
          <w:p w14:paraId="4FD929C2">
            <w:pPr>
              <w:spacing w:before="0" w:after="0" w:line="240" w:lineRule="auto"/>
              <w:ind w:firstLine="0"/>
              <w:jc w:val="both"/>
              <w:rPr>
                <w:kern w:val="0"/>
                <w14:ligatures w14:val="none"/>
              </w:rPr>
            </w:pPr>
            <w:r>
              <w:rPr>
                <w:rFonts w:ascii="Times New Roman" w:hAnsi="Times New Roman"/>
                <w:b w:val="0"/>
                <w:kern w:val="0"/>
                <w:sz w:val="24"/>
                <w14:ligatures w14:val="none"/>
              </w:rPr>
              <w:t>Сбор и хранение персональных данных пациентов (мобильное приложение)</w:t>
            </w:r>
          </w:p>
        </w:tc>
        <w:tc>
          <w:tcPr>
            <w:tcW w:w="2338" w:type="dxa"/>
          </w:tcPr>
          <w:p w14:paraId="174F150D">
            <w:pPr>
              <w:spacing w:before="0" w:after="0" w:line="240" w:lineRule="auto"/>
              <w:ind w:firstLine="0"/>
              <w:jc w:val="both"/>
              <w:rPr>
                <w:kern w:val="0"/>
                <w14:ligatures w14:val="none"/>
              </w:rPr>
            </w:pPr>
            <w:r>
              <w:rPr>
                <w:rFonts w:ascii="Times New Roman" w:hAnsi="Times New Roman"/>
                <w:b w:val="0"/>
                <w:kern w:val="0"/>
                <w:sz w:val="24"/>
                <w14:ligatures w14:val="none"/>
              </w:rPr>
              <w:t>Обязательное получение согласия на обработку персональных данных (с 01.09.2025 — отдельным документом); локализация баз данных с ПДн граждан РФ на серверах в России (с 01.07.2025); уведомление Роскомнадзора о начале обработки.</w:t>
            </w:r>
          </w:p>
        </w:tc>
        <w:tc>
          <w:tcPr>
            <w:tcW w:w="2338" w:type="dxa"/>
          </w:tcPr>
          <w:p w14:paraId="61249468">
            <w:pPr>
              <w:spacing w:before="0" w:after="0" w:line="240" w:lineRule="auto"/>
              <w:ind w:firstLine="0"/>
              <w:jc w:val="both"/>
              <w:rPr>
                <w:kern w:val="0"/>
                <w14:ligatures w14:val="none"/>
              </w:rPr>
            </w:pPr>
            <w:r>
              <w:rPr>
                <w:rFonts w:ascii="Times New Roman" w:hAnsi="Times New Roman"/>
                <w:b w:val="0"/>
                <w:kern w:val="0"/>
                <w:sz w:val="24"/>
                <w14:ligatures w14:val="none"/>
              </w:rPr>
              <w:t>Федеральный закон от 27.07.2006 № 152-ФЗ «О персональных данных», ст. 9 (согласие), ст. 18.1 (меры оператора), ст. 22 (уведомление РКН); в редакциях Федеральных законов № 266-ФЗ от 14.07.2022, № 23-ФЗ от 28.02.2025, № 156-ФЗ от 24.06.2025.</w:t>
            </w:r>
          </w:p>
        </w:tc>
        <w:tc>
          <w:tcPr>
            <w:tcW w:w="2338" w:type="dxa"/>
          </w:tcPr>
          <w:p w14:paraId="78FF4889">
            <w:pPr>
              <w:spacing w:before="0" w:after="0" w:line="240" w:lineRule="auto"/>
              <w:ind w:firstLine="0"/>
              <w:jc w:val="both"/>
              <w:rPr>
                <w:kern w:val="0"/>
                <w14:ligatures w14:val="none"/>
              </w:rPr>
            </w:pPr>
            <w:r>
              <w:rPr>
                <w:rFonts w:ascii="Times New Roman" w:hAnsi="Times New Roman"/>
                <w:b w:val="0"/>
                <w:kern w:val="0"/>
                <w:sz w:val="24"/>
                <w14:ligatures w14:val="none"/>
              </w:rPr>
              <w:t>В онбординге приложения экран согласия реализован как самостоятельный документ, не встроенный в пользовательское соглашение; данные пациентов размещены только в российских дата-центрах (Yandex Cloud, VK Cloud); клиника зарегистрирована как оператор ПДн в Роскомнадзоре. Перечень нормативных изменений 2025–2026 годов сведён в таблице 15.</w:t>
            </w:r>
          </w:p>
        </w:tc>
      </w:tr>
      <w:tr w14:paraId="3F1600D9">
        <w:tc>
          <w:tcPr>
            <w:tcW w:w="2338" w:type="dxa"/>
          </w:tcPr>
          <w:p w14:paraId="1BFB7926">
            <w:pPr>
              <w:spacing w:before="0" w:after="0" w:line="240" w:lineRule="auto"/>
              <w:ind w:firstLine="0"/>
              <w:jc w:val="both"/>
              <w:rPr>
                <w:kern w:val="0"/>
                <w14:ligatures w14:val="none"/>
              </w:rPr>
            </w:pPr>
            <w:r>
              <w:rPr>
                <w:rFonts w:ascii="Times New Roman" w:hAnsi="Times New Roman"/>
                <w:b w:val="0"/>
                <w:kern w:val="0"/>
                <w:sz w:val="24"/>
                <w14:ligatures w14:val="none"/>
              </w:rPr>
              <w:t>Продвижение медицинских услуг (реклама с предупреждением о противопоказаниях)</w:t>
            </w:r>
          </w:p>
        </w:tc>
        <w:tc>
          <w:tcPr>
            <w:tcW w:w="2338" w:type="dxa"/>
          </w:tcPr>
          <w:p w14:paraId="61380CC8">
            <w:pPr>
              <w:spacing w:before="0" w:after="0" w:line="240" w:lineRule="auto"/>
              <w:ind w:firstLine="0"/>
              <w:jc w:val="both"/>
              <w:rPr>
                <w:kern w:val="0"/>
                <w14:ligatures w14:val="none"/>
              </w:rPr>
            </w:pPr>
            <w:r>
              <w:rPr>
                <w:rFonts w:ascii="Times New Roman" w:hAnsi="Times New Roman"/>
                <w:b w:val="0"/>
                <w:kern w:val="0"/>
                <w:sz w:val="24"/>
                <w14:ligatures w14:val="none"/>
              </w:rPr>
              <w:t>Реклама медицинских услуг должна сопровождаться предупреждением о наличии противопоказаний и необходимости консультации специалиста; временные параметры предупреждения — не менее 3 с на радио, не менее 5 с в ТВ- и видеорекламе, не менее 7 % площади кадра на телевидении.</w:t>
            </w:r>
          </w:p>
        </w:tc>
        <w:tc>
          <w:tcPr>
            <w:tcW w:w="2338" w:type="dxa"/>
          </w:tcPr>
          <w:p w14:paraId="03F7B3D0">
            <w:pPr>
              <w:spacing w:before="0" w:after="0" w:line="240" w:lineRule="auto"/>
              <w:ind w:firstLine="0"/>
              <w:jc w:val="both"/>
              <w:rPr>
                <w:kern w:val="0"/>
                <w14:ligatures w14:val="none"/>
              </w:rPr>
            </w:pPr>
            <w:r>
              <w:rPr>
                <w:rFonts w:ascii="Times New Roman" w:hAnsi="Times New Roman"/>
                <w:b w:val="0"/>
                <w:kern w:val="0"/>
                <w:sz w:val="24"/>
                <w14:ligatures w14:val="none"/>
              </w:rPr>
              <w:t>Федеральный закон от 13.03.2006 № 38-ФЗ «О рекламе», ст. 24, ч. 7 (требование предупреждения о противопоказаниях и минимальные параметры по носителям); запреты пунктов 2–5 части 1, распространённые на медицинские услуги частью 3 ст. 24; актуальная редакция от 27.10.2023.</w:t>
            </w:r>
          </w:p>
        </w:tc>
        <w:tc>
          <w:tcPr>
            <w:tcW w:w="2338" w:type="dxa"/>
          </w:tcPr>
          <w:p w14:paraId="30C21B57">
            <w:pPr>
              <w:spacing w:before="0" w:after="0" w:line="240" w:lineRule="auto"/>
              <w:ind w:firstLine="0"/>
              <w:jc w:val="both"/>
              <w:rPr>
                <w:kern w:val="0"/>
                <w14:ligatures w14:val="none"/>
              </w:rPr>
            </w:pPr>
            <w:r>
              <w:rPr>
                <w:rFonts w:ascii="Times New Roman" w:hAnsi="Times New Roman"/>
                <w:b w:val="0"/>
                <w:kern w:val="0"/>
                <w:sz w:val="24"/>
                <w14:ligatures w14:val="none"/>
              </w:rPr>
              <w:t>Все рекламные материалы клиники (сайт, социальные сети, видеоролики) сопровождаются дисклеймером «Имеются противопоказания. Необходима консультация специалиста»; в видеорекламе выдерживается хронометраж предупреждения не менее 5 секунд.</w:t>
            </w:r>
          </w:p>
        </w:tc>
      </w:tr>
      <w:tr w14:paraId="22C583FA">
        <w:tc>
          <w:tcPr>
            <w:tcW w:w="2338" w:type="dxa"/>
          </w:tcPr>
          <w:p w14:paraId="5BE9E0AC">
            <w:pPr>
              <w:spacing w:before="0" w:after="0" w:line="240" w:lineRule="auto"/>
              <w:ind w:firstLine="0"/>
              <w:jc w:val="both"/>
              <w:rPr>
                <w:kern w:val="0"/>
                <w14:ligatures w14:val="none"/>
              </w:rPr>
            </w:pPr>
            <w:r>
              <w:rPr>
                <w:rFonts w:ascii="Times New Roman" w:hAnsi="Times New Roman"/>
                <w:b w:val="0"/>
                <w:kern w:val="0"/>
                <w:sz w:val="24"/>
                <w14:ligatures w14:val="none"/>
              </w:rPr>
              <w:t>Ретаргетинг и таргетированные коммуникации (передача данных за рубеж)</w:t>
            </w:r>
          </w:p>
        </w:tc>
        <w:tc>
          <w:tcPr>
            <w:tcW w:w="2338" w:type="dxa"/>
          </w:tcPr>
          <w:p w14:paraId="037DEA23">
            <w:pPr>
              <w:spacing w:before="0" w:after="0" w:line="240" w:lineRule="auto"/>
              <w:ind w:firstLine="0"/>
              <w:jc w:val="both"/>
              <w:rPr>
                <w:kern w:val="0"/>
                <w14:ligatures w14:val="none"/>
              </w:rPr>
            </w:pPr>
            <w:r>
              <w:rPr>
                <w:rFonts w:ascii="Times New Roman" w:hAnsi="Times New Roman"/>
                <w:b w:val="0"/>
                <w:kern w:val="0"/>
                <w:sz w:val="24"/>
                <w14:ligatures w14:val="none"/>
              </w:rPr>
              <w:t>Обязательное уведомление Роскомнадзора о намерении осуществлять трансграничную передачу персональных данных до начала такой передачи; оценка соответствия иностранного получателя требованиям конфиденциальности; право РКН запретить или ограничить передачу.</w:t>
            </w:r>
          </w:p>
        </w:tc>
        <w:tc>
          <w:tcPr>
            <w:tcW w:w="2338" w:type="dxa"/>
          </w:tcPr>
          <w:p w14:paraId="6D3F9B4E">
            <w:pPr>
              <w:spacing w:before="0" w:after="0" w:line="240" w:lineRule="auto"/>
              <w:ind w:firstLine="0"/>
              <w:jc w:val="both"/>
              <w:rPr>
                <w:kern w:val="0"/>
                <w14:ligatures w14:val="none"/>
              </w:rPr>
            </w:pPr>
            <w:r>
              <w:rPr>
                <w:rFonts w:ascii="Times New Roman" w:hAnsi="Times New Roman"/>
                <w:b w:val="0"/>
                <w:kern w:val="0"/>
                <w:sz w:val="24"/>
                <w14:ligatures w14:val="none"/>
              </w:rPr>
              <w:t>Федеральный закон от 27.07.2006 № 152-ФЗ «О персональных данных», ст. 12 «Трансграничная передача персональных данных» в редакции Федерального закона от 14.07.2022 № 266-ФЗ (положения о трансграничной передаче вступили в силу 01.03.2023).</w:t>
            </w:r>
          </w:p>
        </w:tc>
        <w:tc>
          <w:tcPr>
            <w:tcW w:w="2338" w:type="dxa"/>
          </w:tcPr>
          <w:p w14:paraId="4FDB0190">
            <w:pPr>
              <w:spacing w:before="0" w:after="0" w:line="240" w:lineRule="auto"/>
              <w:ind w:firstLine="0"/>
              <w:jc w:val="both"/>
              <w:rPr>
                <w:kern w:val="0"/>
                <w14:ligatures w14:val="none"/>
              </w:rPr>
            </w:pPr>
            <w:r>
              <w:rPr>
                <w:rFonts w:ascii="Times New Roman" w:hAnsi="Times New Roman"/>
                <w:b w:val="0"/>
                <w:kern w:val="0"/>
                <w:sz w:val="24"/>
                <w14:ligatures w14:val="none"/>
              </w:rPr>
              <w:t>При использовании зарубежных SDK (в том числе сторонних push-сервисов) предусмотрена замена на российские аналоги либо подача уведомления в РКН с оценкой получателя; приоритет отдан российской облачной инфраструктуре. Влияние нормы на цифровой продукт отражено в таблице 15.</w:t>
            </w:r>
          </w:p>
        </w:tc>
      </w:tr>
      <w:tr w14:paraId="6BD3F83E">
        <w:tc>
          <w:tcPr>
            <w:tcW w:w="2338" w:type="dxa"/>
          </w:tcPr>
          <w:p w14:paraId="62B910DA">
            <w:pPr>
              <w:spacing w:before="0" w:after="0" w:line="240" w:lineRule="auto"/>
              <w:ind w:firstLine="0"/>
              <w:jc w:val="both"/>
              <w:rPr>
                <w:kern w:val="0"/>
                <w14:ligatures w14:val="none"/>
              </w:rPr>
            </w:pPr>
            <w:r>
              <w:rPr>
                <w:rFonts w:ascii="Times New Roman" w:hAnsi="Times New Roman"/>
                <w:b w:val="0"/>
                <w:kern w:val="0"/>
                <w:sz w:val="24"/>
                <w14:ligatures w14:val="none"/>
              </w:rPr>
              <w:t>Онлайн-консультации в мобильном приложении (телемедицина)</w:t>
            </w:r>
          </w:p>
        </w:tc>
        <w:tc>
          <w:tcPr>
            <w:tcW w:w="2338" w:type="dxa"/>
          </w:tcPr>
          <w:p w14:paraId="5EB18D4F">
            <w:pPr>
              <w:spacing w:before="0" w:after="0" w:line="240" w:lineRule="auto"/>
              <w:ind w:firstLine="0"/>
              <w:jc w:val="both"/>
              <w:rPr>
                <w:kern w:val="0"/>
                <w14:ligatures w14:val="none"/>
              </w:rPr>
            </w:pPr>
            <w:r>
              <w:rPr>
                <w:rFonts w:ascii="Times New Roman" w:hAnsi="Times New Roman"/>
                <w:b w:val="0"/>
                <w:kern w:val="0"/>
                <w:sz w:val="24"/>
                <w14:ligatures w14:val="none"/>
              </w:rPr>
              <w:t>Требования к медицинской организации, техническим средствам, идентификации пациента и документированию при оказании медицинской помощи с применением телемедицинских технологий (дистанционный приём).</w:t>
            </w:r>
          </w:p>
        </w:tc>
        <w:tc>
          <w:tcPr>
            <w:tcW w:w="2338" w:type="dxa"/>
          </w:tcPr>
          <w:p w14:paraId="0A51EBC9">
            <w:pPr>
              <w:spacing w:before="0" w:after="0" w:line="240" w:lineRule="auto"/>
              <w:ind w:firstLine="0"/>
              <w:jc w:val="both"/>
              <w:rPr>
                <w:kern w:val="0"/>
                <w14:ligatures w14:val="none"/>
              </w:rPr>
            </w:pPr>
            <w:r>
              <w:rPr>
                <w:rFonts w:ascii="Times New Roman" w:hAnsi="Times New Roman"/>
                <w:b w:val="0"/>
                <w:kern w:val="0"/>
                <w:sz w:val="24"/>
                <w14:ligatures w14:val="none"/>
              </w:rPr>
              <w:t>Приказ Министерства здравоохранения Российской Федерации от 11.04.2025 № 193н «Об утверждении Порядка организации и оказания медицинской помощи с применением телемедицинских технологий»; зарегистрирован в Минюсте России 15.05.2025 № 82181; вступил в силу 01.09.2025, действует до 01.09.2031.</w:t>
            </w:r>
          </w:p>
        </w:tc>
        <w:tc>
          <w:tcPr>
            <w:tcW w:w="2338" w:type="dxa"/>
          </w:tcPr>
          <w:p w14:paraId="38C29814">
            <w:pPr>
              <w:spacing w:before="0" w:after="0" w:line="240" w:lineRule="auto"/>
              <w:ind w:firstLine="0"/>
              <w:jc w:val="both"/>
              <w:rPr>
                <w:kern w:val="0"/>
                <w14:ligatures w14:val="none"/>
              </w:rPr>
            </w:pPr>
            <w:r>
              <w:rPr>
                <w:rFonts w:ascii="Times New Roman" w:hAnsi="Times New Roman"/>
                <w:b w:val="0"/>
                <w:kern w:val="0"/>
                <w:sz w:val="24"/>
                <w14:ligatures w14:val="none"/>
              </w:rPr>
              <w:t>Функционал онлайн-консультации вынесен за границы первой версии продукта (MVP); при последующем расширении клиника обязана соответствовать требованиям приказа № 193н: наличие лицензии, подключение к ЕГИСЗ, идентификация пациента через ЕСИА.</w:t>
            </w:r>
          </w:p>
        </w:tc>
      </w:tr>
    </w:tbl>
    <w:p w14:paraId="44F990F5">
      <w:pPr>
        <w:spacing w:before="0" w:after="0" w:line="360" w:lineRule="auto"/>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Источник: составлено автором</w:t>
      </w:r>
    </w:p>
    <w:p w14:paraId="7ADB284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Рассмотренные инструменты и тенденции цифрового маркетинга в стоматологии и фиксируют барьеры пути пациента на уровне общих категорий. Однако управленческие проявления, с которыми сталкивается конкретная сеть клиник, лежат глубже: они связаны не с отсутствием инструментов, а с разрывами в цепочке касаний и с тем, что отдельные элементы коммуникации не работают друг с другом. </w:t>
      </w:r>
    </w:p>
    <w:p w14:paraId="2D73820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Эффективность отдельных цифровых инструментов в стоматологии и смежных областях здравоохранения подкреплена систематическими обзорами и метаанализами. Метаанализ Боксмати Н. и соавторов в </w:t>
      </w:r>
      <w:r>
        <w:rPr>
          <w:rFonts w:ascii="Times New Roman" w:hAnsi="Times New Roman" w:eastAsia="Calibri" w:cs="Times New Roman"/>
          <w:kern w:val="0"/>
          <w:sz w:val="28"/>
          <w:szCs w:val="28"/>
          <w:lang w:val="en-US"/>
          <w14:ligatures w14:val="none"/>
        </w:rPr>
        <w:t>Journal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of</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Medical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Systems</w:t>
      </w:r>
      <w:r>
        <w:rPr>
          <w:rFonts w:ascii="Times New Roman" w:hAnsi="Times New Roman" w:eastAsia="Calibri" w:cs="Times New Roman"/>
          <w:kern w:val="0"/>
          <w:sz w:val="28"/>
          <w:szCs w:val="28"/>
          <w14:ligatures w14:val="none"/>
        </w:rPr>
        <w:t xml:space="preserve"> на материале 28 исследований (включая 13 рандомизированных контролируемых исследований) фиксирует объединенное отношение шансов (</w:t>
      </w:r>
      <w:r>
        <w:rPr>
          <w:rFonts w:ascii="Times New Roman" w:hAnsi="Times New Roman" w:eastAsia="Calibri" w:cs="Times New Roman"/>
          <w:kern w:val="0"/>
          <w:sz w:val="28"/>
          <w:szCs w:val="28"/>
          <w:lang w:val="en-US"/>
          <w14:ligatures w14:val="none"/>
        </w:rPr>
        <w:t>pooled</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odds</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ratio</w:t>
      </w:r>
      <w:r>
        <w:rPr>
          <w:rFonts w:ascii="Times New Roman" w:hAnsi="Times New Roman" w:eastAsia="Calibri" w:cs="Times New Roman"/>
          <w:kern w:val="0"/>
          <w:sz w:val="28"/>
          <w:szCs w:val="28"/>
          <w14:ligatures w14:val="none"/>
        </w:rPr>
        <w:t xml:space="preserve">) явки на приём при использовании </w:t>
      </w:r>
      <w:r>
        <w:rPr>
          <w:rFonts w:ascii="Times New Roman" w:hAnsi="Times New Roman" w:eastAsia="Calibri" w:cs="Times New Roman"/>
          <w:kern w:val="0"/>
          <w:sz w:val="28"/>
          <w:szCs w:val="28"/>
          <w:lang w:val="en-US"/>
          <w14:ligatures w14:val="none"/>
        </w:rPr>
        <w:t>SMS</w:t>
      </w:r>
      <w:r>
        <w:rPr>
          <w:rFonts w:ascii="Times New Roman" w:hAnsi="Times New Roman" w:eastAsia="Calibri" w:cs="Times New Roman"/>
          <w:kern w:val="0"/>
          <w:sz w:val="28"/>
          <w:szCs w:val="28"/>
          <w14:ligatures w14:val="none"/>
        </w:rPr>
        <w:t xml:space="preserve">-напоминаний на уровне 1,62 [32]. Ретроспективное исследование Стормон Н. и соавторов в </w:t>
      </w:r>
      <w:r>
        <w:rPr>
          <w:rFonts w:ascii="Times New Roman" w:hAnsi="Times New Roman" w:eastAsia="Calibri" w:cs="Times New Roman"/>
          <w:kern w:val="0"/>
          <w:sz w:val="28"/>
          <w:szCs w:val="28"/>
          <w:lang w:val="en-US"/>
          <w14:ligatures w14:val="none"/>
        </w:rPr>
        <w:t>Health</w:t>
      </w:r>
      <w:r>
        <w:rPr>
          <w:rFonts w:ascii="Times New Roman" w:hAnsi="Times New Roman" w:eastAsia="Calibri" w:cs="Times New Roman"/>
          <w:kern w:val="0"/>
          <w:sz w:val="28"/>
          <w:szCs w:val="28"/>
          <w14:ligatures w14:val="none"/>
        </w:rPr>
        <w:t xml:space="preserve"> &amp; </w:t>
      </w:r>
      <w:r>
        <w:rPr>
          <w:rFonts w:ascii="Times New Roman" w:hAnsi="Times New Roman" w:eastAsia="Calibri" w:cs="Times New Roman"/>
          <w:kern w:val="0"/>
          <w:sz w:val="28"/>
          <w:szCs w:val="28"/>
          <w:lang w:val="en-US"/>
          <w14:ligatures w14:val="none"/>
        </w:rPr>
        <w:t>Social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Care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in</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the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Community</w:t>
      </w:r>
      <w:r>
        <w:rPr>
          <w:rFonts w:ascii="Times New Roman" w:hAnsi="Times New Roman" w:eastAsia="Calibri" w:cs="Times New Roman"/>
          <w:kern w:val="0"/>
          <w:sz w:val="28"/>
          <w:szCs w:val="28"/>
          <w14:ligatures w14:val="none"/>
        </w:rPr>
        <w:t xml:space="preserve"> на материале государственных стоматологических служб Австралии показало неоднородный эффект </w:t>
      </w:r>
      <w:r>
        <w:rPr>
          <w:rFonts w:ascii="Times New Roman" w:hAnsi="Times New Roman" w:eastAsia="Calibri" w:cs="Times New Roman"/>
          <w:kern w:val="0"/>
          <w:sz w:val="28"/>
          <w:szCs w:val="28"/>
          <w:lang w:val="en-US"/>
          <w14:ligatures w14:val="none"/>
        </w:rPr>
        <w:t>SMS</w:t>
      </w:r>
      <w:r>
        <w:rPr>
          <w:rFonts w:ascii="Times New Roman" w:hAnsi="Times New Roman" w:eastAsia="Calibri" w:cs="Times New Roman"/>
          <w:kern w:val="0"/>
          <w:sz w:val="28"/>
          <w:szCs w:val="28"/>
          <w14:ligatures w14:val="none"/>
        </w:rPr>
        <w:t>-уведомлений: показатель неявки снизился с 21,7% до 17,1% на 100 приемов [33].</w:t>
      </w:r>
    </w:p>
    <w:p w14:paraId="434F1D0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Систематический обзор по эффективности систем напоминаний Маклин С. М. показывает, что 97% включённых исследований фиксируют статистически значимое снижение неявок, а взвешенное среднее снижение составляет 34% [34]. Следует отметить, что обзор не находит различий между </w:t>
      </w:r>
      <w:r>
        <w:rPr>
          <w:rFonts w:ascii="Times New Roman" w:hAnsi="Times New Roman" w:eastAsia="Calibri" w:cs="Times New Roman"/>
          <w:kern w:val="0"/>
          <w:sz w:val="28"/>
          <w:szCs w:val="28"/>
          <w:lang w:val="en-US"/>
          <w14:ligatures w14:val="none"/>
        </w:rPr>
        <w:t>SMS</w:t>
      </w:r>
      <w:r>
        <w:rPr>
          <w:rFonts w:ascii="Times New Roman" w:hAnsi="Times New Roman" w:eastAsia="Calibri" w:cs="Times New Roman"/>
          <w:kern w:val="0"/>
          <w:sz w:val="28"/>
          <w:szCs w:val="28"/>
          <w14:ligatures w14:val="none"/>
        </w:rPr>
        <w:t>, голосовыми и иными цифровыми каналами по силе эффекта, ключевыми параметрами выступают своевременность сообщения и возможность пациента подтвердить или перенести визит в один клик.</w:t>
      </w:r>
    </w:p>
    <w:p w14:paraId="4D1A80D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Появление чат-ботов на базе больших языковых моделей расширило доказательную базу. Систематический обзор </w:t>
      </w:r>
      <w:r>
        <w:rPr>
          <w:rFonts w:ascii="Times New Roman" w:hAnsi="Times New Roman" w:eastAsia="Calibri" w:cs="Times New Roman"/>
          <w:kern w:val="0"/>
          <w:sz w:val="28"/>
          <w:szCs w:val="28"/>
          <w:lang w:val="en-US"/>
          <w14:ligatures w14:val="none"/>
        </w:rPr>
        <w:t>MDPI</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Current</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Applications</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of</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Chatbots</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Powered</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by</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Large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Language</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Models</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in</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Oral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and</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Maxillofacial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Surgery</w:t>
      </w:r>
      <w:r>
        <w:rPr>
          <w:rFonts w:ascii="Times New Roman" w:hAnsi="Times New Roman" w:eastAsia="Calibri" w:cs="Times New Roman"/>
          <w:kern w:val="0"/>
          <w:sz w:val="28"/>
          <w:szCs w:val="28"/>
          <w14:ligatures w14:val="none"/>
        </w:rPr>
        <w:t xml:space="preserve">» [35] и обзор </w:t>
      </w:r>
      <w:r>
        <w:rPr>
          <w:rFonts w:ascii="Times New Roman" w:hAnsi="Times New Roman" w:eastAsia="Calibri" w:cs="Times New Roman"/>
          <w:kern w:val="0"/>
          <w:sz w:val="28"/>
          <w:szCs w:val="28"/>
          <w:lang w:val="en-US"/>
          <w14:ligatures w14:val="none"/>
        </w:rPr>
        <w:t>PMC</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Engaging</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AI</w:t>
      </w:r>
      <w:r>
        <w:rPr>
          <w:rFonts w:ascii="Times New Roman" w:hAnsi="Times New Roman" w:eastAsia="Calibri" w:cs="Times New Roman"/>
          <w:kern w:val="0"/>
          <w:sz w:val="28"/>
          <w:szCs w:val="28"/>
          <w14:ligatures w14:val="none"/>
        </w:rPr>
        <w:t>-</w:t>
      </w:r>
      <w:r>
        <w:rPr>
          <w:rFonts w:ascii="Times New Roman" w:hAnsi="Times New Roman" w:eastAsia="Calibri" w:cs="Times New Roman"/>
          <w:kern w:val="0"/>
          <w:sz w:val="28"/>
          <w:szCs w:val="28"/>
          <w:lang w:val="en-US"/>
          <w14:ligatures w14:val="none"/>
        </w:rPr>
        <w:t>based</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Chatbots</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in</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Digital</w:t>
      </w:r>
      <w:r>
        <w:rPr>
          <w:rFonts w:ascii="Times New Roman" w:hAnsi="Times New Roman" w:eastAsia="Calibri" w:cs="Times New Roman"/>
          <w:kern w:val="0"/>
          <w:sz w:val="28"/>
          <w:szCs w:val="28"/>
          <w14:ligatures w14:val="none"/>
        </w:rPr>
        <w:t xml:space="preserve"> </w:t>
      </w:r>
      <w:r>
        <w:rPr>
          <w:rFonts w:ascii="Times New Roman" w:hAnsi="Times New Roman" w:eastAsia="Calibri" w:cs="Times New Roman"/>
          <w:kern w:val="0"/>
          <w:sz w:val="28"/>
          <w:szCs w:val="28"/>
          <w:lang w:val="en-US"/>
          <w14:ligatures w14:val="none"/>
        </w:rPr>
        <w:t>Health</w:t>
      </w:r>
      <w:r>
        <w:rPr>
          <w:rFonts w:ascii="Times New Roman" w:hAnsi="Times New Roman" w:eastAsia="Calibri" w:cs="Times New Roman"/>
          <w:kern w:val="0"/>
          <w:sz w:val="28"/>
          <w:szCs w:val="28"/>
          <w14:ligatures w14:val="none"/>
        </w:rPr>
        <w:t xml:space="preserve">» [36] показывают эффективность чат-ботов в консультации пациентов, поддержке мотивации и снижении тревожности перед процедурой. Одновременно фиксируются ограничения по точности медицинских рекомендаций и регуляторным требованиям. Преимущественной зоной применения чат-бота в стоматологии признаются справочные функции, навигация по сценариям записи и мягкая мотивация, а не диагностика. </w:t>
      </w:r>
    </w:p>
    <w:p w14:paraId="0CCEBC3D">
      <w:pPr>
        <w:spacing w:before="0" w:after="0"/>
        <w:ind w:firstLine="709"/>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kern w:val="0"/>
          <w:sz w:val="28"/>
          <w:szCs w:val="28"/>
          <w14:ligatures w14:val="none"/>
        </w:rPr>
        <w:t xml:space="preserve">Конверсионные эффекты онлайн-записи задокументированы маркетинговыми исследованиями стоматологических веб-сайтов. По данным агентства </w:t>
      </w:r>
      <w:r>
        <w:rPr>
          <w:rFonts w:ascii="Times New Roman" w:hAnsi="Times New Roman" w:eastAsia="Calibri" w:cs="Times New Roman"/>
          <w:kern w:val="0"/>
          <w:sz w:val="28"/>
          <w:szCs w:val="28"/>
          <w:lang w:val="en-US"/>
          <w14:ligatures w14:val="none"/>
        </w:rPr>
        <w:t>PatientGain</w:t>
      </w:r>
      <w:r>
        <w:rPr>
          <w:rFonts w:ascii="Times New Roman" w:hAnsi="Times New Roman" w:eastAsia="Calibri" w:cs="Times New Roman"/>
          <w:kern w:val="0"/>
          <w:sz w:val="28"/>
          <w:szCs w:val="28"/>
          <w14:ligatures w14:val="none"/>
        </w:rPr>
        <w:t xml:space="preserve">, средний коэффициент конверсии из посещения в заявку/звонок сайта стоматологической клиники составляет 4,2%; топ-практики достигают 10% [37]. По данным </w:t>
      </w:r>
      <w:r>
        <w:rPr>
          <w:rFonts w:ascii="Times New Roman" w:hAnsi="Times New Roman" w:eastAsia="Calibri" w:cs="Times New Roman"/>
          <w:kern w:val="0"/>
          <w:sz w:val="28"/>
          <w:szCs w:val="28"/>
          <w:lang w:val="en-US"/>
          <w14:ligatures w14:val="none"/>
        </w:rPr>
        <w:t>Resonate</w:t>
      </w:r>
      <w:r>
        <w:rPr>
          <w:rFonts w:ascii="Times New Roman" w:hAnsi="Times New Roman" w:eastAsia="Calibri" w:cs="Times New Roman"/>
          <w:kern w:val="0"/>
          <w:sz w:val="28"/>
          <w:szCs w:val="28"/>
          <w14:ligatures w14:val="none"/>
        </w:rPr>
        <w:t xml:space="preserve">, 82% пациентов предпочитают использовать мобильные устройства для записи на прием. При этом 60% всех медицинских запросов сейчас происходит на мобильных устройствах, а пациенты в возрасте от 18 до 42 лет более открыты к онлайн-записям по сравнению со старшим поколением. При этом исследование показало, что самозапись на прием увеличилась с 4% до 15% в течение двух лет [2]. </w:t>
      </w:r>
    </w:p>
    <w:p w14:paraId="72181FBD">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Таблица 7 — Эмпирические оценки эффективности цифровых инструментов коммуникаций с пациентом</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3118"/>
        <w:gridCol w:w="3685"/>
      </w:tblGrid>
      <w:tr w14:paraId="0E21105E">
        <w:tc>
          <w:tcPr>
            <w:tcW w:w="2551" w:type="dxa"/>
            <w:tcBorders>
              <w:top w:val="single" w:color="auto" w:sz="4" w:space="0"/>
              <w:left w:val="single" w:color="auto" w:sz="4" w:space="0"/>
              <w:bottom w:val="single" w:color="auto" w:sz="4" w:space="0"/>
              <w:right w:val="single" w:color="auto" w:sz="4" w:space="0"/>
            </w:tcBorders>
            <w:vAlign w:val="center"/>
          </w:tcPr>
          <w:p w14:paraId="22867C9D">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b/>
                <w:kern w:val="0"/>
                <w:sz w:val="24"/>
                <w:lang w:val="en-US"/>
                <w14:ligatures w14:val="none"/>
              </w:rPr>
              <w:t>Инструмент</w:t>
            </w:r>
          </w:p>
        </w:tc>
        <w:tc>
          <w:tcPr>
            <w:tcW w:w="3118" w:type="dxa"/>
            <w:tcBorders>
              <w:top w:val="single" w:color="auto" w:sz="4" w:space="0"/>
              <w:left w:val="single" w:color="auto" w:sz="4" w:space="0"/>
              <w:bottom w:val="single" w:color="auto" w:sz="4" w:space="0"/>
              <w:right w:val="single" w:color="auto" w:sz="4" w:space="0"/>
            </w:tcBorders>
            <w:vAlign w:val="center"/>
          </w:tcPr>
          <w:p w14:paraId="1C675CB1">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b/>
                <w:kern w:val="0"/>
                <w:sz w:val="24"/>
                <w:lang w:val="en-US"/>
                <w14:ligatures w14:val="none"/>
              </w:rPr>
              <w:t>Источник</w:t>
            </w:r>
          </w:p>
        </w:tc>
        <w:tc>
          <w:tcPr>
            <w:tcW w:w="3685" w:type="dxa"/>
            <w:tcBorders>
              <w:top w:val="single" w:color="auto" w:sz="4" w:space="0"/>
              <w:left w:val="single" w:color="auto" w:sz="4" w:space="0"/>
              <w:bottom w:val="single" w:color="auto" w:sz="4" w:space="0"/>
              <w:right w:val="single" w:color="auto" w:sz="4" w:space="0"/>
            </w:tcBorders>
            <w:vAlign w:val="center"/>
          </w:tcPr>
          <w:p w14:paraId="445BBAFB">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b/>
                <w:kern w:val="0"/>
                <w:sz w:val="24"/>
                <w:lang w:val="en-US"/>
                <w14:ligatures w14:val="none"/>
              </w:rPr>
              <w:t>Зафиксированный эффект</w:t>
            </w:r>
          </w:p>
        </w:tc>
      </w:tr>
      <w:tr w14:paraId="314088C2">
        <w:tc>
          <w:tcPr>
            <w:tcW w:w="2551" w:type="dxa"/>
            <w:tcBorders>
              <w:top w:val="single" w:color="auto" w:sz="4" w:space="0"/>
              <w:left w:val="single" w:color="auto" w:sz="4" w:space="0"/>
              <w:bottom w:val="single" w:color="auto" w:sz="4" w:space="0"/>
              <w:right w:val="single" w:color="auto" w:sz="4" w:space="0"/>
            </w:tcBorders>
          </w:tcPr>
          <w:p w14:paraId="257DB02E">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SMS-напоминания о визите</w:t>
            </w:r>
          </w:p>
        </w:tc>
        <w:tc>
          <w:tcPr>
            <w:tcW w:w="3118" w:type="dxa"/>
            <w:tcBorders>
              <w:top w:val="single" w:color="auto" w:sz="4" w:space="0"/>
              <w:left w:val="single" w:color="auto" w:sz="4" w:space="0"/>
              <w:bottom w:val="single" w:color="auto" w:sz="4" w:space="0"/>
              <w:right w:val="single" w:color="auto" w:sz="4" w:space="0"/>
            </w:tcBorders>
          </w:tcPr>
          <w:p w14:paraId="61DC99DE">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Boksmati N., Butler-Henderson K., Anderson K., Sahama T. The Effectiveness of SMS Reminders on Appointment Attendance: a Meta-Analysis // Journal of Medical Systems </w:t>
            </w:r>
          </w:p>
        </w:tc>
        <w:tc>
          <w:tcPr>
            <w:tcW w:w="3685" w:type="dxa"/>
            <w:tcBorders>
              <w:top w:val="single" w:color="auto" w:sz="4" w:space="0"/>
              <w:left w:val="single" w:color="auto" w:sz="4" w:space="0"/>
              <w:bottom w:val="single" w:color="auto" w:sz="4" w:space="0"/>
              <w:right w:val="single" w:color="auto" w:sz="4" w:space="0"/>
            </w:tcBorders>
          </w:tcPr>
          <w:p w14:paraId="6707CC9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Объединенное отношение шансов (</w:t>
            </w:r>
            <w:r>
              <w:rPr>
                <w:rFonts w:ascii="Times New Roman" w:hAnsi="Times New Roman" w:eastAsia="Calibri" w:cs="Times New Roman"/>
                <w:kern w:val="0"/>
                <w:sz w:val="24"/>
                <w:lang w:val="en-US"/>
                <w14:ligatures w14:val="none"/>
              </w:rPr>
              <w:t>pooled</w:t>
            </w:r>
            <w:r>
              <w:rPr>
                <w:rFonts w:ascii="Times New Roman" w:hAnsi="Times New Roman" w:eastAsia="Calibri" w:cs="Times New Roman"/>
                <w:kern w:val="0"/>
                <w:sz w:val="24"/>
                <w14:ligatures w14:val="none"/>
              </w:rPr>
              <w:t xml:space="preserve"> </w:t>
            </w:r>
            <w:r>
              <w:rPr>
                <w:rFonts w:ascii="Times New Roman" w:hAnsi="Times New Roman" w:eastAsia="Calibri" w:cs="Times New Roman"/>
                <w:kern w:val="0"/>
                <w:sz w:val="24"/>
                <w:lang w:val="en-US"/>
                <w14:ligatures w14:val="none"/>
              </w:rPr>
              <w:t>odds</w:t>
            </w:r>
            <w:r>
              <w:rPr>
                <w:rFonts w:ascii="Times New Roman" w:hAnsi="Times New Roman" w:eastAsia="Calibri" w:cs="Times New Roman"/>
                <w:kern w:val="0"/>
                <w:sz w:val="24"/>
                <w14:ligatures w14:val="none"/>
              </w:rPr>
              <w:t xml:space="preserve"> </w:t>
            </w:r>
            <w:r>
              <w:rPr>
                <w:rFonts w:ascii="Times New Roman" w:hAnsi="Times New Roman" w:eastAsia="Calibri" w:cs="Times New Roman"/>
                <w:kern w:val="0"/>
                <w:sz w:val="24"/>
                <w:lang w:val="en-US"/>
                <w14:ligatures w14:val="none"/>
              </w:rPr>
              <w:t>ratio</w:t>
            </w:r>
            <w:r>
              <w:rPr>
                <w:rFonts w:ascii="Times New Roman" w:hAnsi="Times New Roman" w:eastAsia="Calibri" w:cs="Times New Roman"/>
                <w:kern w:val="0"/>
                <w:sz w:val="24"/>
                <w14:ligatures w14:val="none"/>
              </w:rPr>
              <w:t xml:space="preserve">) явки на приём при использовании </w:t>
            </w:r>
            <w:r>
              <w:rPr>
                <w:rFonts w:ascii="Times New Roman" w:hAnsi="Times New Roman" w:eastAsia="Calibri" w:cs="Times New Roman"/>
                <w:kern w:val="0"/>
                <w:sz w:val="24"/>
                <w:lang w:val="en-US"/>
                <w14:ligatures w14:val="none"/>
              </w:rPr>
              <w:t>SMS</w:t>
            </w:r>
            <w:r>
              <w:rPr>
                <w:rFonts w:ascii="Times New Roman" w:hAnsi="Times New Roman" w:eastAsia="Calibri" w:cs="Times New Roman"/>
                <w:kern w:val="0"/>
                <w:sz w:val="24"/>
                <w14:ligatures w14:val="none"/>
              </w:rPr>
              <w:t>-напоминаний на уровне 1,62 по 28 исследованиям (13 РКИ)</w:t>
            </w:r>
          </w:p>
        </w:tc>
      </w:tr>
      <w:tr w14:paraId="61147988">
        <w:tc>
          <w:tcPr>
            <w:tcW w:w="2551" w:type="dxa"/>
            <w:tcBorders>
              <w:top w:val="single" w:color="auto" w:sz="4" w:space="0"/>
              <w:left w:val="single" w:color="auto" w:sz="4" w:space="0"/>
              <w:bottom w:val="single" w:color="auto" w:sz="4" w:space="0"/>
              <w:right w:val="single" w:color="auto" w:sz="4" w:space="0"/>
            </w:tcBorders>
          </w:tcPr>
          <w:p w14:paraId="13CB5465">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SMS-напоминания</w:t>
            </w:r>
            <w:r>
              <w:rPr>
                <w:rFonts w:ascii="Times New Roman" w:hAnsi="Times New Roman" w:eastAsia="Calibri" w:cs="Times New Roman"/>
                <w:kern w:val="0"/>
                <w:sz w:val="24"/>
                <w14:ligatures w14:val="none"/>
              </w:rPr>
              <w:t xml:space="preserve"> </w:t>
            </w:r>
            <w:r>
              <w:rPr>
                <w:rFonts w:ascii="Times New Roman" w:hAnsi="Times New Roman" w:eastAsia="Calibri" w:cs="Times New Roman"/>
                <w:kern w:val="0"/>
                <w:sz w:val="24"/>
                <w:lang w:val="en-US"/>
                <w14:ligatures w14:val="none"/>
              </w:rPr>
              <w:t>(стоматология)</w:t>
            </w:r>
          </w:p>
        </w:tc>
        <w:tc>
          <w:tcPr>
            <w:tcW w:w="3118" w:type="dxa"/>
            <w:tcBorders>
              <w:top w:val="single" w:color="auto" w:sz="4" w:space="0"/>
              <w:left w:val="single" w:color="auto" w:sz="4" w:space="0"/>
              <w:bottom w:val="single" w:color="auto" w:sz="4" w:space="0"/>
              <w:right w:val="single" w:color="auto" w:sz="4" w:space="0"/>
            </w:tcBorders>
          </w:tcPr>
          <w:p w14:paraId="7A7158F7">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Stormon N., Sexton C., Chen C., et al. SMS reminders to improve outpatient attendance for public dental services: a retrospective study // Health &amp; Social Care in the Community </w:t>
            </w:r>
          </w:p>
        </w:tc>
        <w:tc>
          <w:tcPr>
            <w:tcW w:w="3685" w:type="dxa"/>
            <w:tcBorders>
              <w:top w:val="single" w:color="auto" w:sz="4" w:space="0"/>
              <w:left w:val="single" w:color="auto" w:sz="4" w:space="0"/>
              <w:bottom w:val="single" w:color="auto" w:sz="4" w:space="0"/>
              <w:right w:val="single" w:color="auto" w:sz="4" w:space="0"/>
            </w:tcBorders>
          </w:tcPr>
          <w:p w14:paraId="696EF75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Показатель неявки снизился с 21,7% до 17,1% на 100 приемов </w:t>
            </w:r>
          </w:p>
        </w:tc>
      </w:tr>
      <w:tr w14:paraId="327472B6">
        <w:tc>
          <w:tcPr>
            <w:tcW w:w="2551" w:type="dxa"/>
            <w:tcBorders>
              <w:top w:val="single" w:color="auto" w:sz="4" w:space="0"/>
              <w:left w:val="single" w:color="auto" w:sz="4" w:space="0"/>
              <w:bottom w:val="single" w:color="auto" w:sz="4" w:space="0"/>
              <w:right w:val="single" w:color="auto" w:sz="4" w:space="0"/>
            </w:tcBorders>
          </w:tcPr>
          <w:p w14:paraId="698752EF">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Системы напоминаний (общий обзор)</w:t>
            </w:r>
          </w:p>
        </w:tc>
        <w:tc>
          <w:tcPr>
            <w:tcW w:w="3118" w:type="dxa"/>
            <w:tcBorders>
              <w:top w:val="single" w:color="auto" w:sz="4" w:space="0"/>
              <w:left w:val="single" w:color="auto" w:sz="4" w:space="0"/>
              <w:bottom w:val="single" w:color="auto" w:sz="4" w:space="0"/>
              <w:right w:val="single" w:color="auto" w:sz="4" w:space="0"/>
            </w:tcBorders>
          </w:tcPr>
          <w:p w14:paraId="078596AF">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McLean S., Booth A., Gee M., et al. Appointment reminder systems are effective but not optimal: results of a systematic review and evidence synthesis employing realist principles // Patient Preference and Adherence </w:t>
            </w:r>
          </w:p>
        </w:tc>
        <w:tc>
          <w:tcPr>
            <w:tcW w:w="3685" w:type="dxa"/>
            <w:tcBorders>
              <w:top w:val="single" w:color="auto" w:sz="4" w:space="0"/>
              <w:left w:val="single" w:color="auto" w:sz="4" w:space="0"/>
              <w:bottom w:val="single" w:color="auto" w:sz="4" w:space="0"/>
              <w:right w:val="single" w:color="auto" w:sz="4" w:space="0"/>
            </w:tcBorders>
          </w:tcPr>
          <w:p w14:paraId="2AF274B8">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Взвешенное среднее снижение неявки составляет 34% </w:t>
            </w:r>
          </w:p>
        </w:tc>
      </w:tr>
      <w:tr w14:paraId="31C452F9">
        <w:tc>
          <w:tcPr>
            <w:tcW w:w="2551" w:type="dxa"/>
            <w:tcBorders>
              <w:top w:val="single" w:color="auto" w:sz="4" w:space="0"/>
              <w:left w:val="single" w:color="auto" w:sz="4" w:space="0"/>
              <w:bottom w:val="single" w:color="auto" w:sz="4" w:space="0"/>
              <w:right w:val="single" w:color="auto" w:sz="4" w:space="0"/>
            </w:tcBorders>
          </w:tcPr>
          <w:p w14:paraId="38618EF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Чат-боты на основе </w:t>
            </w:r>
            <w:r>
              <w:rPr>
                <w:rFonts w:ascii="Times New Roman" w:hAnsi="Times New Roman" w:eastAsia="Calibri" w:cs="Times New Roman"/>
                <w:kern w:val="0"/>
                <w:sz w:val="24"/>
                <w:lang w:val="en-US"/>
                <w14:ligatures w14:val="none"/>
              </w:rPr>
              <w:t>LLM</w:t>
            </w:r>
          </w:p>
        </w:tc>
        <w:tc>
          <w:tcPr>
            <w:tcW w:w="3118" w:type="dxa"/>
            <w:tcBorders>
              <w:top w:val="single" w:color="auto" w:sz="4" w:space="0"/>
              <w:left w:val="single" w:color="auto" w:sz="4" w:space="0"/>
              <w:bottom w:val="single" w:color="auto" w:sz="4" w:space="0"/>
              <w:right w:val="single" w:color="auto" w:sz="4" w:space="0"/>
            </w:tcBorders>
          </w:tcPr>
          <w:p w14:paraId="2564BFA3">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1. Ronsivalle V., Santonocito S., Cammarata U. et al. Current Applications of Chatbots Powered by Large Language Models in Oral and Maxillofacial Surgery: A Systematic Review // Dentistry Journal (MDPI) </w:t>
            </w:r>
          </w:p>
          <w:p w14:paraId="11B6E504">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2. Feng S., Li X.L., Wake A.N. Engaging Artificial Intelligence (AI)-based chatbots in digital health: A systematic review // PLOS Digital Health  </w:t>
            </w:r>
          </w:p>
        </w:tc>
        <w:tc>
          <w:tcPr>
            <w:tcW w:w="3685" w:type="dxa"/>
            <w:tcBorders>
              <w:top w:val="single" w:color="auto" w:sz="4" w:space="0"/>
              <w:left w:val="single" w:color="auto" w:sz="4" w:space="0"/>
              <w:bottom w:val="single" w:color="auto" w:sz="4" w:space="0"/>
              <w:right w:val="single" w:color="auto" w:sz="4" w:space="0"/>
            </w:tcBorders>
          </w:tcPr>
          <w:p w14:paraId="1ABB9FA5">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Эффективность чат-ботов в консультации пациентов, поддержке мотивации и снижении тревожности перед процедурой; </w:t>
            </w:r>
          </w:p>
          <w:p w14:paraId="307C75E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Преимущественной зоной применения чат-бота в стоматологии признаются справочные функции, навигация по сценариям записи ограничения по диагностической функции</w:t>
            </w:r>
          </w:p>
        </w:tc>
      </w:tr>
      <w:tr w14:paraId="701D5B59">
        <w:tc>
          <w:tcPr>
            <w:tcW w:w="2551" w:type="dxa"/>
            <w:tcBorders>
              <w:top w:val="single" w:color="auto" w:sz="4" w:space="0"/>
              <w:left w:val="single" w:color="auto" w:sz="4" w:space="0"/>
              <w:bottom w:val="single" w:color="auto" w:sz="4" w:space="0"/>
              <w:right w:val="single" w:color="auto" w:sz="4" w:space="0"/>
            </w:tcBorders>
          </w:tcPr>
          <w:p w14:paraId="53AFE070">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Онлайн-запись (конверсия сайта)</w:t>
            </w:r>
          </w:p>
        </w:tc>
        <w:tc>
          <w:tcPr>
            <w:tcW w:w="3118" w:type="dxa"/>
            <w:tcBorders>
              <w:top w:val="single" w:color="auto" w:sz="4" w:space="0"/>
              <w:left w:val="single" w:color="auto" w:sz="4" w:space="0"/>
              <w:bottom w:val="single" w:color="auto" w:sz="4" w:space="0"/>
              <w:right w:val="single" w:color="auto" w:sz="4" w:space="0"/>
            </w:tcBorders>
          </w:tcPr>
          <w:p w14:paraId="529DC963">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Dental Website Average Conversion Rates / PatientGain </w:t>
            </w:r>
          </w:p>
          <w:p w14:paraId="1D421B8E">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 xml:space="preserve">Dental Patient Appointment Booking Statistics / Resonate AI </w:t>
            </w:r>
          </w:p>
        </w:tc>
        <w:tc>
          <w:tcPr>
            <w:tcW w:w="3685" w:type="dxa"/>
            <w:tcBorders>
              <w:top w:val="single" w:color="auto" w:sz="4" w:space="0"/>
              <w:left w:val="single" w:color="auto" w:sz="4" w:space="0"/>
              <w:bottom w:val="single" w:color="auto" w:sz="4" w:space="0"/>
              <w:right w:val="single" w:color="auto" w:sz="4" w:space="0"/>
            </w:tcBorders>
          </w:tcPr>
          <w:p w14:paraId="0E2F1B83">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Средняя конверсия из посещения в запись составляет 4,2%; топ-практики достигают 10%</w:t>
            </w:r>
          </w:p>
          <w:p w14:paraId="44D87D93">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82% пациентов предпочитают использовать мобильные устройства для записи на прием </w:t>
            </w:r>
          </w:p>
          <w:p w14:paraId="382E594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60% всех медицинских запросов сейчас происходит на мобильных устройствах </w:t>
            </w:r>
          </w:p>
          <w:p w14:paraId="0C27DB8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Самозапись на прием увеличилась с 4% до 15% в течение двух лет </w:t>
            </w:r>
          </w:p>
        </w:tc>
      </w:tr>
      <w:tr w14:paraId="0B3D7C09">
        <w:tc>
          <w:tcPr>
            <w:tcW w:w="2551" w:type="dxa"/>
            <w:tcBorders>
              <w:top w:val="single" w:color="auto" w:sz="4" w:space="0"/>
              <w:left w:val="single" w:color="auto" w:sz="4" w:space="0"/>
              <w:bottom w:val="single" w:color="auto" w:sz="4" w:space="0"/>
              <w:right w:val="single" w:color="auto" w:sz="4" w:space="0"/>
            </w:tcBorders>
          </w:tcPr>
          <w:p w14:paraId="76B407F1">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Уведомления в мессенджерах</w:t>
            </w:r>
          </w:p>
        </w:tc>
        <w:tc>
          <w:tcPr>
            <w:tcW w:w="3118" w:type="dxa"/>
            <w:tcBorders>
              <w:top w:val="single" w:color="auto" w:sz="4" w:space="0"/>
              <w:left w:val="single" w:color="auto" w:sz="4" w:space="0"/>
              <w:bottom w:val="single" w:color="auto" w:sz="4" w:space="0"/>
              <w:right w:val="single" w:color="auto" w:sz="4" w:space="0"/>
            </w:tcBorders>
          </w:tcPr>
          <w:p w14:paraId="73A19678">
            <w:pPr>
              <w:spacing w:before="0" w:after="0" w:line="240" w:lineRule="auto"/>
              <w:ind w:firstLine="0"/>
              <w:jc w:val="both"/>
              <w:rPr>
                <w:rFonts w:ascii="Times New Roman" w:hAnsi="Times New Roman" w:eastAsia="Calibri" w:cs="Times New Roman"/>
                <w:kern w:val="0"/>
                <w:lang w:val="en-US"/>
                <w14:ligatures w14:val="none"/>
              </w:rPr>
            </w:pPr>
            <w:r>
              <w:rPr>
                <w:rFonts w:ascii="Times New Roman" w:hAnsi="Times New Roman" w:eastAsia="Calibri" w:cs="Times New Roman"/>
                <w:kern w:val="0"/>
                <w:sz w:val="24"/>
                <w:lang w:val="en-US"/>
                <w14:ligatures w14:val="none"/>
              </w:rPr>
              <w:t>Отраслевые обзоры РФ, 2024-2025</w:t>
            </w:r>
          </w:p>
        </w:tc>
        <w:tc>
          <w:tcPr>
            <w:tcW w:w="3685" w:type="dxa"/>
            <w:tcBorders>
              <w:top w:val="single" w:color="auto" w:sz="4" w:space="0"/>
              <w:left w:val="single" w:color="auto" w:sz="4" w:space="0"/>
              <w:bottom w:val="single" w:color="auto" w:sz="4" w:space="0"/>
              <w:right w:val="single" w:color="auto" w:sz="4" w:space="0"/>
            </w:tcBorders>
          </w:tcPr>
          <w:p w14:paraId="1916656B">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Прирост явок на 18-22%; снижение пропусков визитов на 20-30 %</w:t>
            </w:r>
          </w:p>
        </w:tc>
      </w:tr>
    </w:tbl>
    <w:p w14:paraId="7EC409FB">
      <w:pPr>
        <w:spacing w:before="0" w:after="0" w:line="360" w:lineRule="auto"/>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 Источник: составлено автором на основе данных [2, 33-37]</w:t>
      </w:r>
    </w:p>
    <w:p w14:paraId="353ADAD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Таким образом, развитие технологий активно влияет на маркетинговую деятельность – маркетинговый инструментарий расширяется за счет цифровых средств, методов и программ. </w:t>
      </w:r>
    </w:p>
    <w:p w14:paraId="1C35773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Цифровизация позволяет автоматизировать процессы – анализа потребителей, процессов коммуникации, формирования заявок и бронирований, а также сбора данных. Она позволяет повысить доступность услуг и скорость их оказания – теперь записаться на услугу можно в 1 клик, также просто и ознакомиться с компанией, ее специалистами и даже интерьером – не выходя из дома. </w:t>
      </w:r>
    </w:p>
    <w:p w14:paraId="4A2B4F9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Все это способствует повышению потребления и снижению барьеров для принятия решения о записи на услугу.  </w:t>
      </w:r>
    </w:p>
    <w:p w14:paraId="2EFE7122">
      <w:pPr>
        <w:pStyle w:val="3"/>
        <w:spacing w:before="0" w:after="0" w:line="360" w:lineRule="auto"/>
        <w:ind w:firstLine="709"/>
        <w:jc w:val="both"/>
        <w:rPr>
          <w:rFonts w:ascii="Times New Roman" w:hAnsi="Times New Roman" w:eastAsia="Calibri" w:cs="Times New Roman"/>
          <w:b/>
          <w:bCs/>
          <w:kern w:val="0"/>
          <w:sz w:val="28"/>
          <w:szCs w:val="28"/>
          <w14:ligatures w14:val="none"/>
        </w:rPr>
      </w:pPr>
      <w:bookmarkStart w:id="10" w:name="_Toc31646244"/>
      <w:r>
        <w:rPr>
          <w:rFonts w:ascii="Times New Roman" w:hAnsi="Times New Roman" w:eastAsia="Calibri" w:cs="Times New Roman"/>
          <w:b/>
          <w:bCs/>
          <w:kern w:val="0"/>
          <w:sz w:val="28"/>
          <w:szCs w:val="28"/>
          <w14:ligatures w14:val="none"/>
        </w:rPr>
        <w:t>1.3 Использование инструментов Digital-маркетинга при привлечении и удержании клиентов стоматологической клиники</w:t>
      </w:r>
      <w:bookmarkEnd w:id="10"/>
    </w:p>
    <w:p w14:paraId="7246FD1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Продвижение стоматологической клиники связано с особой сферой услуг, характерной чертой которых является их неосязаемость, неотделимость от источника оказания, что обуславливает необходимость комплексного подхода к выбору маркетинговых инструментов для продвижения и удержания клиентов.</w:t>
      </w:r>
    </w:p>
    <w:p w14:paraId="2868501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 формировании инструментария по продвижению услуг стоматологической клиники необходимо определить критерии, по которым клиенты выбирают клинику и отдельных специалистов.</w:t>
      </w:r>
    </w:p>
    <w:p w14:paraId="44D5828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На основе анализа научной литературы, можно выделить ряд критериев, которые являются наиболее общими и значимыми:</w:t>
      </w:r>
    </w:p>
    <w:p w14:paraId="4DFE799F">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квалификация врачей;</w:t>
      </w:r>
    </w:p>
    <w:p w14:paraId="368CA227">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стоимость услуг;</w:t>
      </w:r>
    </w:p>
    <w:p w14:paraId="4C358065">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отзывы клиентов, репутация и устные рекомендации;</w:t>
      </w:r>
    </w:p>
    <w:p w14:paraId="3B8B6E72">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современное оборудование;</w:t>
      </w:r>
    </w:p>
    <w:p w14:paraId="6F18D764">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удобное расположение клиники;</w:t>
      </w:r>
    </w:p>
    <w:p w14:paraId="270BF836">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профессиональные рекомендации экспертов, других врачей;</w:t>
      </w:r>
    </w:p>
    <w:p w14:paraId="113E0437">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диапазон услуг;</w:t>
      </w:r>
    </w:p>
    <w:p w14:paraId="1334683B">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удобство записи, доступность записи;</w:t>
      </w:r>
    </w:p>
    <w:p w14:paraId="5C8F6664">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качество обслуживания – возможность выбора вариантов лечения, индивидуальный подход, своевременность;</w:t>
      </w:r>
    </w:p>
    <w:p w14:paraId="0457E4B2">
      <w:pPr>
        <w:pStyle w:val="151"/>
        <w:numPr>
          <w:ilvl w:val="0"/>
          <w:numId w:val="11"/>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информационная открытость – прозрачность в вопросах лечения, ценообразования</w:t>
      </w:r>
      <w:r>
        <w:rPr>
          <w:vertAlign w:val="superscript"/>
        </w:rPr>
        <w:t xml:space="preserve"> </w:t>
      </w:r>
      <w:r>
        <w:rPr>
          <w:rFonts w:ascii="Times New Roman" w:hAnsi="Times New Roman" w:cs="Times New Roman"/>
          <w:sz w:val="28"/>
          <w:szCs w:val="28"/>
        </w:rPr>
        <w:t>[38]</w:t>
      </w:r>
      <w:r>
        <w:rPr>
          <w:rFonts w:ascii="Times New Roman" w:hAnsi="Times New Roman" w:eastAsia="Calibri" w:cs="Times New Roman"/>
          <w:kern w:val="0"/>
          <w:sz w:val="28"/>
          <w:szCs w:val="28"/>
          <w14:ligatures w14:val="none"/>
        </w:rPr>
        <w:t xml:space="preserve">. </w:t>
      </w:r>
    </w:p>
    <w:p w14:paraId="3AED366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 этом, выделяют и следующие барьеры при выборе клиники:</w:t>
      </w:r>
    </w:p>
    <w:p w14:paraId="394C56DF">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высокая стоимость услуг;</w:t>
      </w:r>
    </w:p>
    <w:p w14:paraId="40AD79DC">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страх перед лечением;</w:t>
      </w:r>
    </w:p>
    <w:p w14:paraId="5A28C663">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отсутствие свободного времени;</w:t>
      </w:r>
    </w:p>
    <w:p w14:paraId="694F9928">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проблемы с транспортом;</w:t>
      </w:r>
    </w:p>
    <w:p w14:paraId="2DB38187">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негативные отзывы других клиентов;</w:t>
      </w:r>
    </w:p>
    <w:p w14:paraId="5A7CE465">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отсутствие информации;</w:t>
      </w:r>
    </w:p>
    <w:p w14:paraId="0452D40E">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некомфортные условия во время лечения;</w:t>
      </w:r>
    </w:p>
    <w:p w14:paraId="789DDCFF">
      <w:pPr>
        <w:pStyle w:val="151"/>
        <w:numPr>
          <w:ilvl w:val="0"/>
          <w:numId w:val="12"/>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сложности при записи на прием – технические сбои, невозможность дозвониться, долгое ожидание записи</w:t>
      </w:r>
      <w:r>
        <w:rPr>
          <w:vertAlign w:val="superscript"/>
        </w:rPr>
        <w:t xml:space="preserve"> </w:t>
      </w:r>
      <w:r>
        <w:rPr>
          <w:rFonts w:ascii="Times New Roman" w:hAnsi="Times New Roman" w:cs="Times New Roman"/>
          <w:sz w:val="28"/>
          <w:szCs w:val="28"/>
        </w:rPr>
        <w:t>[38]</w:t>
      </w:r>
      <w:r>
        <w:rPr>
          <w:rFonts w:ascii="Times New Roman" w:hAnsi="Times New Roman" w:eastAsia="Calibri" w:cs="Times New Roman"/>
          <w:kern w:val="0"/>
          <w:sz w:val="28"/>
          <w:szCs w:val="28"/>
          <w14:ligatures w14:val="none"/>
        </w:rPr>
        <w:t xml:space="preserve">. </w:t>
      </w:r>
    </w:p>
    <w:p w14:paraId="5B34208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Соответственно, при формировании инструментов продвижения стоматологической клиники важно учитывать данные критерии. В частности, повышать прозрачность ценообразования, обеспечивать высокую квалификацию специалистов и доносить экспертность до клиентов, работать над качеством лечения и обслуживания и работать с отзывами клиентов, а также снижать барьеры, связанные с расположением клиники.</w:t>
      </w:r>
    </w:p>
    <w:p w14:paraId="79D047C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Основными ожиданиями клиентов при выборе и взаимодействии с частными стоматологическими клиниками являются:</w:t>
      </w:r>
    </w:p>
    <w:p w14:paraId="465ED012">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современное стоматологическое оборудование;</w:t>
      </w:r>
    </w:p>
    <w:p w14:paraId="3E612BAA">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высокий уровень обслуживания;</w:t>
      </w:r>
    </w:p>
    <w:p w14:paraId="30D4EC87">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дополнительные услуги;</w:t>
      </w:r>
    </w:p>
    <w:p w14:paraId="7382D3BA">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гибкость времени для записи к специалисту;</w:t>
      </w:r>
    </w:p>
    <w:p w14:paraId="7D017ADB">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широкий спектр услуг;</w:t>
      </w:r>
    </w:p>
    <w:p w14:paraId="3CD3202A">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меньшее время ожидания во время нахождения в клинике;</w:t>
      </w:r>
    </w:p>
    <w:p w14:paraId="0A85C7CC">
      <w:pPr>
        <w:pStyle w:val="151"/>
        <w:numPr>
          <w:ilvl w:val="0"/>
          <w:numId w:val="13"/>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больший комфорт при посещении и лечении</w:t>
      </w:r>
      <w:r>
        <w:rPr>
          <w:vertAlign w:val="superscript"/>
        </w:rPr>
        <w:t xml:space="preserve"> </w:t>
      </w:r>
      <w:r>
        <w:rPr>
          <w:rFonts w:ascii="Times New Roman" w:hAnsi="Times New Roman" w:cs="Times New Roman"/>
          <w:sz w:val="28"/>
          <w:szCs w:val="28"/>
        </w:rPr>
        <w:t>[39]</w:t>
      </w:r>
      <w:r>
        <w:rPr>
          <w:rFonts w:ascii="Times New Roman" w:hAnsi="Times New Roman" w:eastAsia="Calibri" w:cs="Times New Roman"/>
          <w:kern w:val="0"/>
          <w:sz w:val="28"/>
          <w:szCs w:val="28"/>
          <w14:ligatures w14:val="none"/>
        </w:rPr>
        <w:t>.</w:t>
      </w:r>
    </w:p>
    <w:p w14:paraId="494E9D1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Таким образом, при формировании стратегии продвижения и удержания клиентов стоматологической клиники важно обеспечить клиентам удобство записи (например, при использовании различных цифровых инструментов – чат-боты, сайт, приложение), расширенный спектр услуг и активное информирование об их ассортименте, повышение качества обслуживания. </w:t>
      </w:r>
    </w:p>
    <w:p w14:paraId="67EDA69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Рассмотрим ключевые стратегические действия и возможные цифровые инструменты, направленные на удержание клиентов и продвижения стоматологической клиники в таблице 8.</w:t>
      </w:r>
    </w:p>
    <w:p w14:paraId="231BE464">
      <w:pPr>
        <w:spacing w:before="0" w:after="0" w:line="360" w:lineRule="auto"/>
        <w:ind w:firstLine="709"/>
        <w:jc w:val="left"/>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Таблица 8 — Стратегия и цифровые инструменты маркетинга стоматологической клиники</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6656"/>
      </w:tblGrid>
      <w:tr w14:paraId="03EF9D41">
        <w:trPr>
          <w:trHeight w:val="601" w:hRule="atLeast"/>
        </w:trPr>
        <w:tc>
          <w:tcPr>
            <w:tcW w:w="2689" w:type="dxa"/>
          </w:tcPr>
          <w:p w14:paraId="00159065">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Стратегические действия</w:t>
            </w:r>
          </w:p>
        </w:tc>
        <w:tc>
          <w:tcPr>
            <w:tcW w:w="6656" w:type="dxa"/>
          </w:tcPr>
          <w:p w14:paraId="565131C8">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Цифровые инструменты</w:t>
            </w:r>
          </w:p>
        </w:tc>
      </w:tr>
      <w:tr w14:paraId="68E96636">
        <w:tc>
          <w:tcPr>
            <w:tcW w:w="2689" w:type="dxa"/>
          </w:tcPr>
          <w:p w14:paraId="1A706E54">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Формирование позиционирования врачей в клинике как профессионалов</w:t>
            </w:r>
          </w:p>
        </w:tc>
        <w:tc>
          <w:tcPr>
            <w:tcW w:w="6656" w:type="dxa"/>
          </w:tcPr>
          <w:p w14:paraId="66454A54">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1. Информирование клиентов о достижениях с помощью корпоративного сайта и социальных сетей.</w:t>
            </w:r>
          </w:p>
          <w:p w14:paraId="0B41731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2. Публикация новостей об участии в конференциях и прочих мероприятиях в социальных сетях и пресс-релизах.</w:t>
            </w:r>
          </w:p>
        </w:tc>
      </w:tr>
      <w:tr w14:paraId="3FD106A1">
        <w:tc>
          <w:tcPr>
            <w:tcW w:w="2689" w:type="dxa"/>
          </w:tcPr>
          <w:p w14:paraId="5D03278B">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Социальные эффекты и повышение доверия к клинике при принятии решения о записи</w:t>
            </w:r>
          </w:p>
        </w:tc>
        <w:tc>
          <w:tcPr>
            <w:tcW w:w="6656" w:type="dxa"/>
          </w:tcPr>
          <w:p w14:paraId="5D10D7F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1. Публикация отзывов клиентов на корпоративном сайте.</w:t>
            </w:r>
          </w:p>
          <w:p w14:paraId="6A3ACC3D">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2. Наличие клиники в геоинформационных сервисах (Яндекс Карты, </w:t>
            </w:r>
            <w:r>
              <w:rPr>
                <w:rFonts w:ascii="Times New Roman" w:hAnsi="Times New Roman" w:eastAsia="Calibri" w:cs="Times New Roman"/>
                <w:kern w:val="0"/>
                <w:sz w:val="24"/>
                <w:lang w:val="en-US"/>
                <w14:ligatures w14:val="none"/>
              </w:rPr>
              <w:t>Google</w:t>
            </w:r>
            <w:r>
              <w:rPr>
                <w:rFonts w:ascii="Times New Roman" w:hAnsi="Times New Roman" w:eastAsia="Calibri" w:cs="Times New Roman"/>
                <w:kern w:val="0"/>
                <w:sz w:val="24"/>
                <w14:ligatures w14:val="none"/>
              </w:rPr>
              <w:t xml:space="preserve"> </w:t>
            </w:r>
            <w:r>
              <w:rPr>
                <w:rFonts w:ascii="Times New Roman" w:hAnsi="Times New Roman" w:eastAsia="Calibri" w:cs="Times New Roman"/>
                <w:kern w:val="0"/>
                <w:sz w:val="24"/>
                <w:lang w:val="en-US"/>
                <w14:ligatures w14:val="none"/>
              </w:rPr>
              <w:t>Maps</w:t>
            </w:r>
            <w:r>
              <w:rPr>
                <w:rFonts w:ascii="Times New Roman" w:hAnsi="Times New Roman" w:eastAsia="Calibri" w:cs="Times New Roman"/>
                <w:kern w:val="0"/>
                <w:sz w:val="24"/>
                <w14:ligatures w14:val="none"/>
              </w:rPr>
              <w:t>, 2</w:t>
            </w:r>
            <w:r>
              <w:rPr>
                <w:rFonts w:ascii="Times New Roman" w:hAnsi="Times New Roman" w:eastAsia="Calibri" w:cs="Times New Roman"/>
                <w:kern w:val="0"/>
                <w:sz w:val="24"/>
                <w:lang w:val="en-US"/>
                <w14:ligatures w14:val="none"/>
              </w:rPr>
              <w:t>GIS</w:t>
            </w:r>
            <w:r>
              <w:rPr>
                <w:rFonts w:ascii="Times New Roman" w:hAnsi="Times New Roman" w:eastAsia="Calibri" w:cs="Times New Roman"/>
                <w:kern w:val="0"/>
                <w:sz w:val="24"/>
                <w14:ligatures w14:val="none"/>
              </w:rPr>
              <w:t>) и работа с отзывами.</w:t>
            </w:r>
          </w:p>
          <w:p w14:paraId="6CBA3D5D">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3. Наличие клиники и врачей в сервисах отзывов о врачах.</w:t>
            </w:r>
          </w:p>
        </w:tc>
      </w:tr>
      <w:tr w14:paraId="5FE20340">
        <w:tc>
          <w:tcPr>
            <w:tcW w:w="2689" w:type="dxa"/>
          </w:tcPr>
          <w:p w14:paraId="50F8336A">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Повышение качества обслуживания клиентов</w:t>
            </w:r>
          </w:p>
        </w:tc>
        <w:tc>
          <w:tcPr>
            <w:tcW w:w="6656" w:type="dxa"/>
          </w:tcPr>
          <w:p w14:paraId="5CD95D0C">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1. Различные способы для записи на прием: онлайн-запись на сайте, запись через чат-бот, запись через мессенджеры, запись по телефону.</w:t>
            </w:r>
          </w:p>
          <w:p w14:paraId="19D372A6">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2. Хранение данных в CR</w:t>
            </w:r>
            <w:r>
              <w:rPr>
                <w:rFonts w:ascii="Times New Roman" w:hAnsi="Times New Roman" w:eastAsia="Calibri" w:cs="Times New Roman"/>
                <w:kern w:val="0"/>
                <w:sz w:val="24"/>
                <w:lang w:val="en-US"/>
                <w14:ligatures w14:val="none"/>
              </w:rPr>
              <w:t>M</w:t>
            </w:r>
            <w:r>
              <w:rPr>
                <w:rFonts w:ascii="Times New Roman" w:hAnsi="Times New Roman" w:eastAsia="Calibri" w:cs="Times New Roman"/>
                <w:kern w:val="0"/>
                <w:sz w:val="24"/>
                <w14:ligatures w14:val="none"/>
              </w:rPr>
              <w:t xml:space="preserve"> о клиенте: диагнозе, особенностях здоровья для персонификации лечения и сохранения информации для последующих посещений.</w:t>
            </w:r>
          </w:p>
        </w:tc>
      </w:tr>
      <w:tr w14:paraId="15D320A9">
        <w:tc>
          <w:tcPr>
            <w:tcW w:w="2689" w:type="dxa"/>
          </w:tcPr>
          <w:p w14:paraId="7CA389E2">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Удержание клиентов</w:t>
            </w:r>
          </w:p>
        </w:tc>
        <w:tc>
          <w:tcPr>
            <w:tcW w:w="6656" w:type="dxa"/>
          </w:tcPr>
          <w:p w14:paraId="28EDA8ED">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1. Система напоминаний клиентам о регулярных проверках и стоматологических осмотрах через </w:t>
            </w:r>
            <w:r>
              <w:rPr>
                <w:rFonts w:ascii="Times New Roman" w:hAnsi="Times New Roman" w:eastAsia="Calibri" w:cs="Times New Roman"/>
                <w:kern w:val="0"/>
                <w:sz w:val="24"/>
                <w:lang w:val="en-US"/>
                <w14:ligatures w14:val="none"/>
              </w:rPr>
              <w:t>push</w:t>
            </w:r>
            <w:r>
              <w:rPr>
                <w:rFonts w:ascii="Times New Roman" w:hAnsi="Times New Roman" w:eastAsia="Calibri" w:cs="Times New Roman"/>
                <w:kern w:val="0"/>
                <w:sz w:val="24"/>
                <w14:ligatures w14:val="none"/>
              </w:rPr>
              <w:t xml:space="preserve">-уведомления, </w:t>
            </w:r>
            <w:r>
              <w:rPr>
                <w:rFonts w:ascii="Times New Roman" w:hAnsi="Times New Roman" w:eastAsia="Calibri" w:cs="Times New Roman"/>
                <w:kern w:val="0"/>
                <w:sz w:val="24"/>
                <w:lang w:val="en-US"/>
                <w14:ligatures w14:val="none"/>
              </w:rPr>
              <w:t>SMS</w:t>
            </w:r>
            <w:r>
              <w:rPr>
                <w:rFonts w:ascii="Times New Roman" w:hAnsi="Times New Roman" w:eastAsia="Calibri" w:cs="Times New Roman"/>
                <w:kern w:val="0"/>
                <w:sz w:val="24"/>
                <w14:ligatures w14:val="none"/>
              </w:rPr>
              <w:t>-уведомления.</w:t>
            </w:r>
          </w:p>
          <w:p w14:paraId="40764F75">
            <w:pPr>
              <w:spacing w:before="0" w:after="0" w:line="240" w:lineRule="auto"/>
              <w:ind w:firstLine="0"/>
              <w:jc w:val="both"/>
              <w:rPr>
                <w:rFonts w:ascii="Times New Roman" w:hAnsi="Times New Roman" w:eastAsia="Calibri" w:cs="Times New Roman"/>
                <w:kern w:val="0"/>
                <w14:ligatures w14:val="none"/>
              </w:rPr>
            </w:pPr>
            <w:r>
              <w:rPr>
                <w:rFonts w:ascii="Times New Roman" w:hAnsi="Times New Roman" w:eastAsia="Calibri" w:cs="Times New Roman"/>
                <w:kern w:val="0"/>
                <w:sz w:val="24"/>
                <w14:ligatures w14:val="none"/>
              </w:rPr>
              <w:t xml:space="preserve">2. Уведомления об акциях через </w:t>
            </w:r>
            <w:r>
              <w:rPr>
                <w:rFonts w:ascii="Times New Roman" w:hAnsi="Times New Roman" w:eastAsia="Calibri" w:cs="Times New Roman"/>
                <w:kern w:val="0"/>
                <w:sz w:val="24"/>
                <w:lang w:val="en-US"/>
                <w14:ligatures w14:val="none"/>
              </w:rPr>
              <w:t>SMS</w:t>
            </w:r>
            <w:r>
              <w:rPr>
                <w:rFonts w:ascii="Times New Roman" w:hAnsi="Times New Roman" w:eastAsia="Calibri" w:cs="Times New Roman"/>
                <w:kern w:val="0"/>
                <w:sz w:val="24"/>
                <w14:ligatures w14:val="none"/>
              </w:rPr>
              <w:t xml:space="preserve">, </w:t>
            </w:r>
            <w:r>
              <w:rPr>
                <w:rFonts w:ascii="Times New Roman" w:hAnsi="Times New Roman" w:eastAsia="Calibri" w:cs="Times New Roman"/>
                <w:kern w:val="0"/>
                <w:sz w:val="24"/>
                <w:lang w:val="en-US"/>
                <w14:ligatures w14:val="none"/>
              </w:rPr>
              <w:t>email</w:t>
            </w:r>
            <w:r>
              <w:rPr>
                <w:rFonts w:ascii="Times New Roman" w:hAnsi="Times New Roman" w:eastAsia="Calibri" w:cs="Times New Roman"/>
                <w:kern w:val="0"/>
                <w:sz w:val="24"/>
                <w14:ligatures w14:val="none"/>
              </w:rPr>
              <w:t>-рассылки.</w:t>
            </w:r>
          </w:p>
        </w:tc>
      </w:tr>
    </w:tbl>
    <w:p w14:paraId="5F98AF1C">
      <w:pPr>
        <w:spacing w:before="0" w:after="0" w:line="360" w:lineRule="auto"/>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Источник: составлено автором </w:t>
      </w:r>
    </w:p>
    <w:p w14:paraId="7F82BC7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 продвижении стоматологических услуг применение рекламы имеет слабую эффективность – потребитель ей не доверяет. Помимо этого, ни один из маркетинговых инструментов не будет работать, если услуги не будут качественными – это имеет особую актуальность именно в контексте стоматологической клиники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[40]. </w:t>
      </w:r>
    </w:p>
    <w:p w14:paraId="5584B4F0">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Поэтому, при продвижении и удержании клиентов стоматологической клиники важно сделать акцент на двух направлениях деятельности:</w:t>
      </w:r>
    </w:p>
    <w:p w14:paraId="5F1E2C55">
      <w:pPr>
        <w:pStyle w:val="151"/>
        <w:numPr>
          <w:ilvl w:val="0"/>
          <w:numId w:val="14"/>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повышение качества оказания услуг за счет профессионального персонала, стандартизации деятельности и постоянного повышения квалификации;</w:t>
      </w:r>
    </w:p>
    <w:p w14:paraId="2397AE38">
      <w:pPr>
        <w:pStyle w:val="151"/>
        <w:numPr>
          <w:ilvl w:val="0"/>
          <w:numId w:val="14"/>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публикация достижений стоматологической клиники и ее врачей, повышение имиджа экспертности;</w:t>
      </w:r>
    </w:p>
    <w:p w14:paraId="0D035F0E">
      <w:pPr>
        <w:pStyle w:val="151"/>
        <w:numPr>
          <w:ilvl w:val="0"/>
          <w:numId w:val="14"/>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работа с социальными эффектами – отзывами, сарафанным радио, а также общим повышением удовлетворенности клиентов за счет качества лечения и обслуживания клиентов.</w:t>
      </w:r>
    </w:p>
    <w:p w14:paraId="5562653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Одним из современных цифровых инструментов для удержания клиентов стоматологической клиники является применение телемедицины для консультаций и планирование лечения</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[41].</w:t>
      </w:r>
    </w:p>
    <w:p w14:paraId="3AD1D39C">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Телестоматология позволяет повысить доступность стоматологических услуг за счет оказания услуг удаленно – это особенно актуально для жителей удаленных районов и лиц с ограниченной мобильностью. </w:t>
      </w:r>
    </w:p>
    <w:p w14:paraId="1EAFDF5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Помимо этого, телемедицина в стоматологии может обеспечить регулярность осмотров, чтобы отслеживать состояние пациента. </w:t>
      </w:r>
    </w:p>
    <w:p w14:paraId="5C17D40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Преимуществом телемедицины в стоматологии также является снижение нагрузки на стоматологическую клинику, что особенно актуально для небольших клиник.</w:t>
      </w:r>
    </w:p>
    <w:p w14:paraId="192D54E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Основные технологии для внедрения телемедицины в стоматологической клинике:</w:t>
      </w:r>
    </w:p>
    <w:p w14:paraId="7B1EE546">
      <w:pPr>
        <w:pStyle w:val="151"/>
        <w:numPr>
          <w:ilvl w:val="0"/>
          <w:numId w:val="15"/>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видеоконференции – проведение удаленных осмотров и консультаций;</w:t>
      </w:r>
    </w:p>
    <w:p w14:paraId="6B4EB9F2">
      <w:pPr>
        <w:pStyle w:val="151"/>
        <w:numPr>
          <w:ilvl w:val="0"/>
          <w:numId w:val="15"/>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цифровые изображения – передача рентгеновских снимков и фотографий для удаленного анализа состояния зубов, диагностики и назначения лечения;</w:t>
      </w:r>
    </w:p>
    <w:p w14:paraId="46405B25">
      <w:pPr>
        <w:pStyle w:val="151"/>
        <w:numPr>
          <w:ilvl w:val="0"/>
          <w:numId w:val="15"/>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специальные мобильные приложения – платформы для загрузки фотографий, заполнения анкет и общения со стоматологами;</w:t>
      </w:r>
    </w:p>
    <w:p w14:paraId="2DF57961">
      <w:pPr>
        <w:pStyle w:val="151"/>
        <w:numPr>
          <w:ilvl w:val="0"/>
          <w:numId w:val="15"/>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облачные технологии – безопасное хранение и доступ к медицинской информации, обмена данными и ведения медицинских записей.</w:t>
      </w:r>
    </w:p>
    <w:p w14:paraId="3D3E370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Телестоматология позволяет получить достоверную информацию специалистов, а также второе мнение. Особенно актуально применение телестоматологии представляется в ортопедии. </w:t>
      </w:r>
    </w:p>
    <w:p w14:paraId="16D221F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Для реализации телемедицины в стоматологии разработано устройство </w:t>
      </w:r>
      <w:r>
        <w:rPr>
          <w:rFonts w:ascii="Times New Roman" w:hAnsi="Times New Roman" w:eastAsia="Calibri" w:cs="Times New Roman"/>
          <w:kern w:val="0"/>
          <w:sz w:val="28"/>
          <w:szCs w:val="28"/>
          <w:lang w:val="en-US"/>
          <w14:ligatures w14:val="none"/>
        </w:rPr>
        <w:t>MouthWatch</w:t>
      </w:r>
      <w:r>
        <w:rPr>
          <w:rFonts w:ascii="Times New Roman" w:hAnsi="Times New Roman" w:eastAsia="Calibri" w:cs="Times New Roman"/>
          <w:kern w:val="0"/>
          <w:sz w:val="28"/>
          <w:szCs w:val="28"/>
          <w14:ligatures w14:val="none"/>
        </w:rPr>
        <w:t xml:space="preserve"> – для мониторинга состояния слизистой полости рта</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[42]. </w:t>
      </w:r>
    </w:p>
    <w:p w14:paraId="166E0ECC">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Телемедицина становится инструментом, который позволяет снизить ряд барьеров, которые препятствуют принятию решения о пользовании услугами клиники, такими как:</w:t>
      </w:r>
    </w:p>
    <w:p w14:paraId="173A6A93">
      <w:pPr>
        <w:pStyle w:val="151"/>
        <w:numPr>
          <w:ilvl w:val="0"/>
          <w:numId w:val="16"/>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удаленность клиники;</w:t>
      </w:r>
    </w:p>
    <w:p w14:paraId="3717414D">
      <w:pPr>
        <w:pStyle w:val="151"/>
        <w:numPr>
          <w:ilvl w:val="0"/>
          <w:numId w:val="16"/>
        </w:numPr>
        <w:spacing w:before="0" w:after="0" w:line="360"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боязнь медицинских манипуляций.</w:t>
      </w:r>
    </w:p>
    <w:p w14:paraId="1230EDC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Исследователи также рассматривают следующие цифровые маркетинговые инструменты привлечения и удержания клиентов стоматологической клиники:</w:t>
      </w:r>
    </w:p>
    <w:p w14:paraId="7A1EDE14">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повышение прозрачности ценообразования с помощью внедрения онлайн-калькулятора стоимости лечения на сайте компании;</w:t>
      </w:r>
    </w:p>
    <w:p w14:paraId="0D3AAFF6">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внедрение программы лояльности с системой бонусов за отзывы, повторные посещения;</w:t>
      </w:r>
    </w:p>
    <w:p w14:paraId="1F7D2C3D">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создание чат-бота с ответами на наиболее часто задаваемые вопросы;</w:t>
      </w:r>
    </w:p>
    <w:p w14:paraId="2016D8A9">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развитие контент-маркетинга для создания экспертного имиджа клиники и ее специалистов: короткие образовательные видео, рекомендации по уходу за зубами, контент о клинике и ее работниках, примеры работ, 3</w:t>
      </w:r>
      <w:r>
        <w:rPr>
          <w:rFonts w:ascii="Times New Roman" w:hAnsi="Times New Roman" w:eastAsia="Calibri" w:cs="Times New Roman"/>
          <w:kern w:val="0"/>
          <w:sz w:val="28"/>
          <w:szCs w:val="28"/>
          <w:lang w:val="en-US"/>
          <w14:ligatures w14:val="none"/>
        </w:rPr>
        <w:t>D</w:t>
      </w:r>
      <w:r>
        <w:rPr>
          <w:rFonts w:ascii="Times New Roman" w:hAnsi="Times New Roman" w:eastAsia="Calibri" w:cs="Times New Roman"/>
          <w:kern w:val="0"/>
          <w:sz w:val="28"/>
          <w:szCs w:val="28"/>
          <w14:ligatures w14:val="none"/>
        </w:rPr>
        <w:t>-туры по клинике;</w:t>
      </w:r>
    </w:p>
    <w:p w14:paraId="27827D39">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развитие онлайн-коммуникаций – организация возможности коммуникации с врачами онлайн (в социальных сетях);</w:t>
      </w:r>
    </w:p>
    <w:p w14:paraId="540AC587">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улучшение процессов: напоминание о предстоящих посещениях в мессенджерах, социальных сетях или </w:t>
      </w:r>
      <w:r>
        <w:rPr>
          <w:rFonts w:ascii="Times New Roman" w:hAnsi="Times New Roman" w:eastAsia="Calibri" w:cs="Times New Roman"/>
          <w:kern w:val="0"/>
          <w:sz w:val="28"/>
          <w:szCs w:val="28"/>
          <w:lang w:val="en-US"/>
          <w14:ligatures w14:val="none"/>
        </w:rPr>
        <w:t>SMS</w:t>
      </w:r>
      <w:r>
        <w:rPr>
          <w:rFonts w:ascii="Times New Roman" w:hAnsi="Times New Roman" w:eastAsia="Calibri" w:cs="Times New Roman"/>
          <w:kern w:val="0"/>
          <w:sz w:val="28"/>
          <w:szCs w:val="28"/>
          <w14:ligatures w14:val="none"/>
        </w:rPr>
        <w:t>;</w:t>
      </w:r>
    </w:p>
    <w:p w14:paraId="3C48B35F">
      <w:pPr>
        <w:pStyle w:val="151"/>
        <w:numPr>
          <w:ilvl w:val="0"/>
          <w:numId w:val="17"/>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онлайн-анкетирование перед приемом для ускорения приема</w:t>
      </w:r>
      <w:r>
        <w:rPr>
          <w:vertAlign w:val="superscript"/>
        </w:rPr>
        <w:t xml:space="preserve"> </w:t>
      </w:r>
      <w:r>
        <w:rPr>
          <w:rFonts w:ascii="Times New Roman" w:hAnsi="Times New Roman" w:cs="Times New Roman"/>
          <w:sz w:val="28"/>
          <w:szCs w:val="28"/>
        </w:rPr>
        <w:t>[43]</w:t>
      </w:r>
      <w:r>
        <w:rPr>
          <w:rFonts w:ascii="Times New Roman" w:hAnsi="Times New Roman" w:eastAsia="Calibri" w:cs="Times New Roman"/>
          <w:kern w:val="0"/>
          <w:sz w:val="28"/>
          <w:szCs w:val="28"/>
          <w14:ligatures w14:val="none"/>
        </w:rPr>
        <w:t>.</w:t>
      </w:r>
    </w:p>
    <w:p w14:paraId="4C16097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Указанные цифровые инструменты направлены на снижение влияния таких барьеров принятия решения о визите как:</w:t>
      </w:r>
    </w:p>
    <w:p w14:paraId="047719A4">
      <w:pPr>
        <w:pStyle w:val="151"/>
        <w:numPr>
          <w:ilvl w:val="0"/>
          <w:numId w:val="18"/>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недоверие к клинике, сомнения в экспертности и качестве предоставления стоматологических услуг;</w:t>
      </w:r>
    </w:p>
    <w:p w14:paraId="681F6D83">
      <w:pPr>
        <w:pStyle w:val="151"/>
        <w:numPr>
          <w:ilvl w:val="0"/>
          <w:numId w:val="18"/>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недоверие к процессу ценообразования, непонимание ценности и структуры затрат;</w:t>
      </w:r>
    </w:p>
    <w:p w14:paraId="18B918A1">
      <w:pPr>
        <w:pStyle w:val="151"/>
        <w:numPr>
          <w:ilvl w:val="0"/>
          <w:numId w:val="18"/>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недостаточность мотивации к посещению, высокая нагрузка клиента, возможность забыть о предстоящем приеме.</w:t>
      </w:r>
    </w:p>
    <w:p w14:paraId="0FF28A6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исследовании К.Ю. Тавберидзе указывается, что сфера здравоохранения должна развиваться в контексте применения современных технологий.</w:t>
      </w:r>
    </w:p>
    <w:p w14:paraId="66B3F71E">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Автор выделяет следующие преимущества от использования инструментов цифрового маркетинга:</w:t>
      </w:r>
    </w:p>
    <w:p w14:paraId="211C1D1B">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расширение возможностей для общения, разработки и распространения стратегий в области здравоохранения;</w:t>
      </w:r>
    </w:p>
    <w:p w14:paraId="4E955B2A">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персонализация контакта с клиентом;</w:t>
      </w:r>
    </w:p>
    <w:p w14:paraId="52D7499A">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улучшение ведения клиентов по клиентскому пути;</w:t>
      </w:r>
    </w:p>
    <w:p w14:paraId="282F6FA4">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привлечение более широкого круга клиентов;</w:t>
      </w:r>
    </w:p>
    <w:p w14:paraId="3EDAA020">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продвижение медицинских услуг с целью расширения бизнеса – привлечение новых клиентов и предложение им качественных услуг;</w:t>
      </w:r>
    </w:p>
    <w:p w14:paraId="643DB248">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повышение удовлетворенности, лояльности и вовлеченности пациентами;</w:t>
      </w:r>
    </w:p>
    <w:p w14:paraId="2DED5903">
      <w:pPr>
        <w:pStyle w:val="151"/>
        <w:numPr>
          <w:ilvl w:val="0"/>
          <w:numId w:val="19"/>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расширение бренда и бизнеса в интернете.</w:t>
      </w:r>
    </w:p>
    <w:p w14:paraId="057C8E4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Цифровой маркетинг особенно актуален в сфере медицинских услуг, поскольку перед посещением врача потребители изучают отзывы о клинике и о конкретном враче – изучают сайт клиники, материалы в социальных сетях, а также используют обзоры, чтобы изучить деятельность конкретной клиники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 xml:space="preserve">[8]. </w:t>
      </w:r>
    </w:p>
    <w:p w14:paraId="166BDB0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Тема здоровья достаточно важная и критичная для пациентов, поэтому для продвижения клиники важно обеспечить высокий уровень доверия у целевой аудитории.</w:t>
      </w:r>
    </w:p>
    <w:p w14:paraId="42BE076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К.Ю. Тавберидзе выделяет стратегии цифрового маркетинга, наиболее актуальные для медицинских учреждений, позволяющие повысить конкурентоспособность и устойчивость:</w:t>
      </w:r>
    </w:p>
    <w:p w14:paraId="0F2E4021">
      <w:pPr>
        <w:pStyle w:val="151"/>
        <w:numPr>
          <w:ilvl w:val="0"/>
          <w:numId w:val="20"/>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обмен данными по исследованиям – системное представление исследовательских данных для трансформации цифрового здравоохранения;</w:t>
      </w:r>
    </w:p>
    <w:p w14:paraId="7C5ED953">
      <w:pPr>
        <w:pStyle w:val="151"/>
        <w:numPr>
          <w:ilvl w:val="0"/>
          <w:numId w:val="20"/>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использование мобильных приложений для создания базы характеристик и описания лекарственных средств, медицинских услуг и диагнозов для клиентов, чтобы они могли лучше понимать все особенности своего здоровья, что в долгосрочной перспективе может позволить увеличить прибыль для клиник;</w:t>
      </w:r>
    </w:p>
    <w:p w14:paraId="5DC42CDA">
      <w:pPr>
        <w:pStyle w:val="151"/>
        <w:numPr>
          <w:ilvl w:val="0"/>
          <w:numId w:val="20"/>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lang w:val="en-US"/>
          <w14:ligatures w14:val="none"/>
        </w:rPr>
        <w:t>IT</w:t>
      </w:r>
      <w:r>
        <w:rPr>
          <w:rFonts w:ascii="Times New Roman" w:hAnsi="Times New Roman" w:eastAsia="Calibri" w:cs="Times New Roman"/>
          <w:kern w:val="0"/>
          <w:sz w:val="28"/>
          <w:szCs w:val="28"/>
          <w14:ligatures w14:val="none"/>
        </w:rPr>
        <w:t>-поддержка для решения проблем цифрового маркетинга;</w:t>
      </w:r>
    </w:p>
    <w:p w14:paraId="49F99005">
      <w:pPr>
        <w:pStyle w:val="151"/>
        <w:numPr>
          <w:ilvl w:val="0"/>
          <w:numId w:val="20"/>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совместные бизнес-модели – сотрудничество с партнерами с помощью цифровых технологий – например, облачных платформ для сбора клинических данных;</w:t>
      </w:r>
    </w:p>
    <w:p w14:paraId="0616EE14">
      <w:pPr>
        <w:pStyle w:val="151"/>
        <w:numPr>
          <w:ilvl w:val="0"/>
          <w:numId w:val="20"/>
        </w:numPr>
        <w:spacing w:before="0" w:after="0" w:line="360" w:lineRule="auto"/>
        <w:ind w:left="0"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новые организационные структуры цифрового маркетинга – назначение стратегического менеджера по вопросам цифровизации маркетинга, продуктового менеджера для создания и управления созданием новых цифровых сервисов в клинике</w:t>
      </w:r>
      <w:r>
        <w:rPr>
          <w:vertAlign w:val="superscript"/>
        </w:rPr>
        <w:t xml:space="preserve"> </w:t>
      </w:r>
      <w:r>
        <w:rPr>
          <w:rFonts w:ascii="Times New Roman" w:hAnsi="Times New Roman" w:cs="Times New Roman"/>
          <w:sz w:val="28"/>
          <w:szCs w:val="28"/>
        </w:rPr>
        <w:t>[8]</w:t>
      </w:r>
      <w:r>
        <w:rPr>
          <w:rFonts w:ascii="Times New Roman" w:hAnsi="Times New Roman" w:eastAsia="Calibri" w:cs="Times New Roman"/>
          <w:kern w:val="0"/>
          <w:sz w:val="28"/>
          <w:szCs w:val="28"/>
          <w14:ligatures w14:val="none"/>
        </w:rPr>
        <w:t>.</w:t>
      </w:r>
    </w:p>
    <w:p w14:paraId="38B83C1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Кратко охарактеризуем правовой аспект разработки мобильных приложений в стоматологии.</w:t>
      </w:r>
    </w:p>
    <w:p w14:paraId="0EE5715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Сразу стоит отметить, что в законодательстве отсутствует понятие «мобильного приложения». Однако, существует стандарт (ГОСТ), в котором приводится понятие «мобильного приложения для смартфонов» как программного обеспечения для работы на смартфонах и других мобильных устройствах</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[44].</w:t>
      </w:r>
    </w:p>
    <w:p w14:paraId="133987D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российском законодательстве отсутствует правовое регулирование разработки мобильных приложений в сфере медицины или стоматологии.</w:t>
      </w:r>
    </w:p>
    <w:p w14:paraId="211D4BA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зарубежной практике мобильные медицинские приложения приравниваются к медицинским изделиям и подлежат обязательной государственной регистрации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[45].</w:t>
      </w:r>
    </w:p>
    <w:p w14:paraId="7BEB110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Если трактовать мобильное медицинское приложение как медицинское изделие, то в отечественном законодательстве существует Федеральный закон №323 от 21.11.2011 «Об основах охраны здоровья граждан в Российской Федерации», согласно которому, ключевыми характеристиками медицинских изделий является то, что изделие или программное обеспечение призвано выполнять следующие цели: профилактика, диагностика, лечение и медицинская реабилитация заболеваний, мониторинг состояния организма человека, проведения медицинских исследований, восстановления, замещения, изменения анатомической структуры или физиологических функций организма, предотвращения или прерывания беременности, функциональное назначение которых не реализуется путем фармакологического, иммунологического, генетического или метаболического воздействия на организм человека</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[46].</w:t>
      </w:r>
    </w:p>
    <w:p w14:paraId="03F8A2C5">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Также критериями является автономность, использование в медицинских целях, интерпретация данных для принятия клинических решений, а также то, что источником данных является медицинский работник или оборудование.</w:t>
      </w:r>
    </w:p>
    <w:p w14:paraId="74890AA6">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Если мобильное приложение отвечает данным требованиям и относится к медицинским изделиям, то они классифицируются по уровням безопасности:</w:t>
      </w:r>
    </w:p>
    <w:p w14:paraId="486A6D2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А – отсутствие вреда (справочные системы);</w:t>
      </w:r>
    </w:p>
    <w:p w14:paraId="35EA4BE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 несерьезный вред (ПО для физиотерапии);</w:t>
      </w:r>
    </w:p>
    <w:p w14:paraId="786EDBD8">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С – серьезный вред (системы дозирования, мониторинга витальных функций).</w:t>
      </w:r>
    </w:p>
    <w:p w14:paraId="4FF4E22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 таким мобильным приложениям накладываются требования к документации, а именно фиксируются: наименование и идентификационные данные, назначение ПО и принципы его действия, показания и противопоказания, информация о потребителях, аппаратные ограничения, сведения о безопасности, тестирования, верификации</w:t>
      </w:r>
      <w:r>
        <w:rPr>
          <w:rFonts w:ascii="Times New Roman" w:hAnsi="Times New Roman" w:eastAsia="Calibri" w:cs="Times New Roman"/>
          <w:kern w:val="0"/>
          <w:sz w:val="28"/>
          <w:szCs w:val="28"/>
          <w:vertAlign w:val="superscript"/>
          <w14:ligatures w14:val="none"/>
        </w:rPr>
        <w:t xml:space="preserve"> </w:t>
      </w:r>
      <w:r>
        <w:rPr>
          <w:rFonts w:ascii="Times New Roman" w:hAnsi="Times New Roman" w:eastAsia="Calibri" w:cs="Times New Roman"/>
          <w:kern w:val="0"/>
          <w:sz w:val="28"/>
          <w:szCs w:val="28"/>
          <w14:ligatures w14:val="none"/>
        </w:rPr>
        <w:t>[47].</w:t>
      </w:r>
    </w:p>
    <w:p w14:paraId="0094052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Медицинские изделия должны соблюдать требования к кибербезопасности: защита от несанкционированного доступа, аутентификация пользователей, идентификация угроз и уязвимостей, ограничения доступа по уровням привилегий.</w:t>
      </w:r>
    </w:p>
    <w:p w14:paraId="499651A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Для ПО с уровнем риска </w:t>
      </w:r>
      <w:r>
        <w:rPr>
          <w:rFonts w:ascii="Times New Roman" w:hAnsi="Times New Roman" w:eastAsia="Calibri" w:cs="Times New Roman"/>
          <w:kern w:val="0"/>
          <w:sz w:val="28"/>
          <w:szCs w:val="28"/>
          <w:lang w:val="en-US"/>
          <w14:ligatures w14:val="none"/>
        </w:rPr>
        <w:t>B</w:t>
      </w:r>
      <w:r>
        <w:rPr>
          <w:rFonts w:ascii="Times New Roman" w:hAnsi="Times New Roman" w:eastAsia="Calibri" w:cs="Times New Roman"/>
          <w:kern w:val="0"/>
          <w:sz w:val="28"/>
          <w:szCs w:val="28"/>
          <w14:ligatures w14:val="none"/>
        </w:rPr>
        <w:t xml:space="preserve"> и С вводится обязательные клинические испытания и мониторинг.</w:t>
      </w:r>
    </w:p>
    <w:p w14:paraId="26C66AA1">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Также для мобильных приложений, относящихся к медицинским изделиям, вводится обязательная регистрация в Росздравнадзоре.</w:t>
      </w:r>
    </w:p>
    <w:p w14:paraId="24F558F7">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К медицинским изделиям не относятся мобильные приложения для административно-хозяйственной деятельности, здорового образа жизни, МИС, ЛИС и ЭМК без функции интерпретации данных, для контроля медтехники, для обмена сообщениями и записи на прием, образовательные системы и справочные системы.</w:t>
      </w:r>
    </w:p>
    <w:p w14:paraId="7362B13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Таким образом, можно сделать вывод о том, что современные массовые мобильные приложения для клиентов не относятся и не имеют нормативных ограничений.</w:t>
      </w:r>
    </w:p>
    <w:p w14:paraId="2C35F26F">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Подводя итог первой главе, стоит отметить, что эффективность продвижения стоматологической клиники определяется комплексным подходом, учитывающим ключевые критерии выбора клиентов: квалификацию специалистов, стоимость услуг, отзывы, оснащенность современным оборудованием и локацию клиники. Установлено, что современные потребители предъявляют повышенные требования к качеству обслуживания, ожидают наличия современного оборудования, широкого спектра услуг, гибкого графика работы и комфортного пребывания в клинике.</w:t>
      </w:r>
    </w:p>
    <w:p w14:paraId="2CA2699D">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Успешная маркетинговая стратегия должна базироваться на формировании экспертного имиджа специалистов, активной работе с отзывами, цифровизации процессов обслуживания и внедрении телемедицинских технологий.</w:t>
      </w:r>
    </w:p>
    <w:p w14:paraId="6DBA64FA">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Результаты исследования подтверждают, что digital-маркетинг становится неотъемлемым компонентом развития стоматологической клиники, способствующим повышению конкурентоспособности и формированию устойчивой клиентской базы при условии обеспечения высокого качества медицинских услуг.</w:t>
      </w:r>
    </w:p>
    <w:p w14:paraId="22C0CCD3">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Проведенное в первой главе исследование позволило сформировать целостное представление о современном состоянии и перспективах развития digital-маркетинга в сфере медицинских услуг.</w:t>
      </w:r>
    </w:p>
    <w:p w14:paraId="597E73D2">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 ходе анализа установлено, что digital-маркетинг представляет собой комплексную систему инструментов и каналов коммуникации, существенно превосходящую по своему функционалу традиционный интернет-маркетинг. Особое внимание уделено ключевым инструментам продвижения: социальным медиа, контент-маркетингу, различным форматам рекламы и корпоративным веб-ресурсам.</w:t>
      </w:r>
    </w:p>
    <w:p w14:paraId="632E2FD4">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Выявлены актуальные тенденции развития digital-маркетинга, среди которых доминирующее положение занимают: внедрение искусственного интеллекта, персонализация коммуникаций, развитие мобильных технологий и омниканального подхода. Для сферы медицинских услуг, в частности стоматологии, особую значимость приобретает формирование доверительных отношений с клиентами через качественный цифровой контент и проработку пользовательского опыта.</w:t>
      </w:r>
    </w:p>
    <w:p w14:paraId="7DEDD179">
      <w:pPr>
        <w:spacing w:before="0" w:after="0"/>
        <w:ind w:firstLine="709"/>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Можно отметить, что эффективное применение инструментов digital-маркетинга требует системного подхода и постоянного развития компетенций в области цифровых технологий, что особенно важно в условиях растущей конкуренции и меняющихся потребительских предпочтений.</w:t>
      </w:r>
    </w:p>
    <w:p w14:paraId="5C0962FF">
      <w:pPr>
        <w:spacing w:before="0" w:after="0"/>
        <w:ind w:firstLine="709"/>
        <w:jc w:val="both"/>
      </w:pPr>
      <w:r>
        <w:rPr>
          <w:rFonts w:ascii="Times New Roman" w:hAnsi="Times New Roman"/>
          <w:b w:val="0"/>
          <w:sz w:val="28"/>
        </w:rPr>
        <w:t>Теоретическую базу исследования образуют шесть концепций. Они объясняют поведение пациента на разных стадиях пути: от первого контакта с клиникой до формирования долгосрочной лояльности. В таблице показано, какой практике соответствует каждая концепция и на какие исследовательские вопросы эта практика отвечает.</w:t>
      </w:r>
    </w:p>
    <w:p w14:paraId="1F33D6CE">
      <w:pPr>
        <w:spacing w:before="0" w:after="0"/>
        <w:jc w:val="left"/>
      </w:pPr>
      <w:r>
        <w:rPr>
          <w:rFonts w:ascii="Times New Roman" w:hAnsi="Times New Roman"/>
          <w:b w:val="0"/>
          <w:sz w:val="28"/>
        </w:rPr>
        <w:t>Таблица 9 — Теоретическая основа работы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5EC4095">
        <w:tc>
          <w:tcPr>
            <w:tcW w:w="3118" w:type="dxa"/>
          </w:tcPr>
          <w:p w14:paraId="26BDC868">
            <w:pPr>
              <w:spacing w:before="0" w:after="0" w:line="240" w:lineRule="auto"/>
              <w:ind w:firstLine="0"/>
              <w:jc w:val="both"/>
              <w:rPr>
                <w:kern w:val="0"/>
                <w14:ligatures w14:val="none"/>
              </w:rPr>
            </w:pPr>
            <w:r>
              <w:rPr>
                <w:rFonts w:ascii="Times New Roman" w:hAnsi="Times New Roman"/>
                <w:b/>
                <w:kern w:val="0"/>
                <w:sz w:val="24"/>
                <w14:ligatures w14:val="none"/>
              </w:rPr>
              <w:t>Теория / практика</w:t>
            </w:r>
          </w:p>
        </w:tc>
        <w:tc>
          <w:tcPr>
            <w:tcW w:w="3118" w:type="dxa"/>
          </w:tcPr>
          <w:p w14:paraId="19E83B41">
            <w:pPr>
              <w:spacing w:before="0" w:after="0" w:line="240" w:lineRule="auto"/>
              <w:ind w:firstLine="0"/>
              <w:jc w:val="both"/>
              <w:rPr>
                <w:kern w:val="0"/>
                <w14:ligatures w14:val="none"/>
              </w:rPr>
            </w:pPr>
            <w:r>
              <w:rPr>
                <w:rFonts w:ascii="Times New Roman" w:hAnsi="Times New Roman"/>
                <w:b/>
                <w:kern w:val="0"/>
                <w:sz w:val="24"/>
                <w14:ligatures w14:val="none"/>
              </w:rPr>
              <w:t>Применение в работе</w:t>
            </w:r>
          </w:p>
        </w:tc>
        <w:tc>
          <w:tcPr>
            <w:tcW w:w="3118" w:type="dxa"/>
          </w:tcPr>
          <w:p w14:paraId="44B50702">
            <w:pPr>
              <w:spacing w:before="0" w:after="0" w:line="240" w:lineRule="auto"/>
              <w:ind w:firstLine="0"/>
              <w:jc w:val="both"/>
              <w:rPr>
                <w:kern w:val="0"/>
                <w14:ligatures w14:val="none"/>
              </w:rPr>
            </w:pPr>
            <w:r>
              <w:rPr>
                <w:rFonts w:ascii="Times New Roman" w:hAnsi="Times New Roman"/>
                <w:b/>
                <w:kern w:val="0"/>
                <w:sz w:val="24"/>
                <w14:ligatures w14:val="none"/>
              </w:rPr>
              <w:t>На какой вопрос отвечает</w:t>
            </w:r>
          </w:p>
        </w:tc>
      </w:tr>
      <w:tr w14:paraId="19DAF41C">
        <w:tc>
          <w:tcPr>
            <w:tcW w:w="3118" w:type="dxa"/>
          </w:tcPr>
          <w:p w14:paraId="3CC0999B">
            <w:pPr>
              <w:spacing w:before="0" w:after="0" w:line="240" w:lineRule="auto"/>
              <w:ind w:firstLine="0"/>
              <w:jc w:val="both"/>
              <w:rPr>
                <w:kern w:val="0"/>
                <w14:ligatures w14:val="none"/>
              </w:rPr>
            </w:pPr>
            <w:r>
              <w:rPr>
                <w:rFonts w:ascii="Times New Roman" w:hAnsi="Times New Roman"/>
                <w:b w:val="0"/>
                <w:kern w:val="0"/>
                <w:sz w:val="24"/>
                <w14:ligatures w14:val="none"/>
              </w:rPr>
              <w:t>Воронка конверсии и путь пациента</w:t>
            </w:r>
          </w:p>
        </w:tc>
        <w:tc>
          <w:tcPr>
            <w:tcW w:w="3118" w:type="dxa"/>
          </w:tcPr>
          <w:p w14:paraId="54FAF8A9">
            <w:pPr>
              <w:spacing w:before="0" w:after="0" w:line="240" w:lineRule="auto"/>
              <w:ind w:firstLine="0"/>
              <w:jc w:val="both"/>
              <w:rPr>
                <w:kern w:val="0"/>
                <w14:ligatures w14:val="none"/>
              </w:rPr>
            </w:pPr>
            <w:r>
              <w:rPr>
                <w:rFonts w:ascii="Times New Roman" w:hAnsi="Times New Roman"/>
                <w:b w:val="0"/>
                <w:kern w:val="0"/>
                <w:sz w:val="24"/>
                <w14:ligatures w14:val="none"/>
              </w:rPr>
              <w:t>Путь пациента разбит на стадии: привлечение, запись, подтверждение визита, пост-визит и удержание. По каждой стадии зафиксированы конкретные проявления потерь (таблица 13): низкая конверсия трафика сайта, рост неявок, отток после диагностики. Конверсия измерялась в A/B-тесте (выборка 600 чел.): базовый CR составил около 3 %, тестовая версия онлайн-записи подняла его до ~4,5 %.</w:t>
            </w:r>
          </w:p>
        </w:tc>
        <w:tc>
          <w:tcPr>
            <w:tcW w:w="3118" w:type="dxa"/>
          </w:tcPr>
          <w:p w14:paraId="5A3B208B">
            <w:pPr>
              <w:spacing w:before="0" w:after="0" w:line="240" w:lineRule="auto"/>
              <w:ind w:firstLine="0"/>
              <w:jc w:val="both"/>
              <w:rPr>
                <w:kern w:val="0"/>
                <w14:ligatures w14:val="none"/>
              </w:rPr>
            </w:pPr>
            <w:r>
              <w:rPr>
                <w:rFonts w:ascii="Times New Roman" w:hAnsi="Times New Roman"/>
                <w:b w:val="0"/>
                <w:kern w:val="0"/>
                <w:sz w:val="24"/>
                <w14:ligatures w14:val="none"/>
              </w:rPr>
              <w:t>На каком этапе пути пациент «отваливается» и насколько велики потери конверсии при замене заявки на онлайн-запись?</w:t>
            </w:r>
          </w:p>
        </w:tc>
      </w:tr>
      <w:tr w14:paraId="56656123">
        <w:tc>
          <w:tcPr>
            <w:tcW w:w="3118" w:type="dxa"/>
          </w:tcPr>
          <w:p w14:paraId="5C931723">
            <w:pPr>
              <w:spacing w:before="0" w:after="0" w:line="240" w:lineRule="auto"/>
              <w:ind w:firstLine="0"/>
              <w:jc w:val="both"/>
              <w:rPr>
                <w:kern w:val="0"/>
                <w14:ligatures w14:val="none"/>
              </w:rPr>
            </w:pPr>
            <w:r>
              <w:rPr>
                <w:rFonts w:ascii="Times New Roman" w:hAnsi="Times New Roman"/>
                <w:b w:val="0"/>
                <w:kern w:val="0"/>
                <w:sz w:val="24"/>
                <w14:ligatures w14:val="none"/>
              </w:rPr>
              <w:t>Теория «точек трения» (friction points)</w:t>
            </w:r>
          </w:p>
        </w:tc>
        <w:tc>
          <w:tcPr>
            <w:tcW w:w="3118" w:type="dxa"/>
          </w:tcPr>
          <w:p w14:paraId="7360FC4E">
            <w:pPr>
              <w:spacing w:before="0" w:after="0" w:line="240" w:lineRule="auto"/>
              <w:ind w:firstLine="0"/>
              <w:jc w:val="both"/>
              <w:rPr>
                <w:kern w:val="0"/>
                <w14:ligatures w14:val="none"/>
              </w:rPr>
            </w:pPr>
            <w:r>
              <w:rPr>
                <w:rFonts w:ascii="Times New Roman" w:hAnsi="Times New Roman"/>
                <w:b w:val="0"/>
                <w:kern w:val="0"/>
                <w:sz w:val="24"/>
                <w14:ligatures w14:val="none"/>
              </w:rPr>
              <w:t>Барьеры пути пациента разделены по типу (сервисный, поведенческий, информационный, структурный, операционный) и стадии (таблица 13). Полуструктурированные интервью и контент-анализ отзывов (выборка 62 чел.) позволили установить, что ключевые барьеры — недоступность телефонного канала (59,1 % упоминаний) и отсутствие онлайн-записи, а не ценовые или качественные факторы.</w:t>
            </w:r>
          </w:p>
        </w:tc>
        <w:tc>
          <w:tcPr>
            <w:tcW w:w="3118" w:type="dxa"/>
          </w:tcPr>
          <w:p w14:paraId="4E0F90D4">
            <w:pPr>
              <w:spacing w:before="0" w:after="0" w:line="240" w:lineRule="auto"/>
              <w:ind w:firstLine="0"/>
              <w:jc w:val="both"/>
              <w:rPr>
                <w:kern w:val="0"/>
                <w14:ligatures w14:val="none"/>
              </w:rPr>
            </w:pPr>
            <w:r>
              <w:rPr>
                <w:rFonts w:ascii="Times New Roman" w:hAnsi="Times New Roman"/>
                <w:b w:val="0"/>
                <w:kern w:val="0"/>
                <w:sz w:val="24"/>
                <w14:ligatures w14:val="none"/>
              </w:rPr>
              <w:t>Какие именно «точки трения» в цифровой части пути пациента снижают вероятность записи и повторного визита?</w:t>
            </w:r>
          </w:p>
        </w:tc>
      </w:tr>
      <w:tr w14:paraId="3478FEEA">
        <w:tc>
          <w:tcPr>
            <w:tcW w:w="3118" w:type="dxa"/>
          </w:tcPr>
          <w:p w14:paraId="1B3DDFD0">
            <w:pPr>
              <w:spacing w:before="0" w:after="0" w:line="240" w:lineRule="auto"/>
              <w:ind w:firstLine="0"/>
              <w:jc w:val="both"/>
              <w:rPr>
                <w:kern w:val="0"/>
                <w14:ligatures w14:val="none"/>
              </w:rPr>
            </w:pPr>
            <w:r>
              <w:rPr>
                <w:rFonts w:ascii="Times New Roman" w:hAnsi="Times New Roman"/>
                <w:b w:val="0"/>
                <w:kern w:val="0"/>
                <w:sz w:val="24"/>
                <w14:ligatures w14:val="none"/>
              </w:rPr>
              <w:t>Омниканальный маркетинг</w:t>
            </w:r>
          </w:p>
        </w:tc>
        <w:tc>
          <w:tcPr>
            <w:tcW w:w="3118" w:type="dxa"/>
          </w:tcPr>
          <w:p w14:paraId="59E9CF74">
            <w:pPr>
              <w:spacing w:before="0" w:after="0" w:line="240" w:lineRule="auto"/>
              <w:ind w:firstLine="0"/>
              <w:jc w:val="both"/>
              <w:rPr>
                <w:kern w:val="0"/>
                <w14:ligatures w14:val="none"/>
              </w:rPr>
            </w:pPr>
            <w:r>
              <w:rPr>
                <w:rFonts w:ascii="Times New Roman" w:hAnsi="Times New Roman"/>
                <w:b w:val="0"/>
                <w:kern w:val="0"/>
                <w:sz w:val="24"/>
                <w14:ligatures w14:val="none"/>
              </w:rPr>
              <w:t>Работа систематизирует четыре линии цифровых коммуникаций клиники: МИС с пациентским контуром, агрегаторы записи, собственные приложения сетей, мессенджеры и чат-боты. Вторичный анализ отраслевых данных (таблица 5) показал, что рост мобильного трафика на сайты клиник (+28 % за год) опережает десктопный, а основной поток первичных обращений сместился в чаты и онлайн-заявки. Концепция используется для обоснования состава цифровых инструментов и критериев их отбора.</w:t>
            </w:r>
          </w:p>
        </w:tc>
        <w:tc>
          <w:tcPr>
            <w:tcW w:w="3118" w:type="dxa"/>
          </w:tcPr>
          <w:p w14:paraId="4C7BDA95">
            <w:pPr>
              <w:spacing w:before="0" w:after="0" w:line="240" w:lineRule="auto"/>
              <w:ind w:firstLine="0"/>
              <w:jc w:val="both"/>
              <w:rPr>
                <w:kern w:val="0"/>
                <w14:ligatures w14:val="none"/>
              </w:rPr>
            </w:pPr>
            <w:r>
              <w:rPr>
                <w:rFonts w:ascii="Times New Roman" w:hAnsi="Times New Roman"/>
                <w:b w:val="0"/>
                <w:kern w:val="0"/>
                <w:sz w:val="24"/>
                <w14:ligatures w14:val="none"/>
              </w:rPr>
              <w:t>Как распределены точки контакта пациента и какой состав каналов обеспечивает единый клиентский опыт?</w:t>
            </w:r>
          </w:p>
        </w:tc>
      </w:tr>
      <w:tr w14:paraId="7ECA6844">
        <w:tc>
          <w:tcPr>
            <w:tcW w:w="3118" w:type="dxa"/>
          </w:tcPr>
          <w:p w14:paraId="1100CC3B">
            <w:pPr>
              <w:spacing w:before="0" w:after="0" w:line="240" w:lineRule="auto"/>
              <w:ind w:firstLine="0"/>
              <w:jc w:val="both"/>
              <w:rPr>
                <w:kern w:val="0"/>
                <w14:ligatures w14:val="none"/>
              </w:rPr>
            </w:pPr>
            <w:r>
              <w:rPr>
                <w:rFonts w:ascii="Times New Roman" w:hAnsi="Times New Roman"/>
                <w:b w:val="0"/>
                <w:kern w:val="0"/>
                <w:sz w:val="24"/>
                <w14:ligatures w14:val="none"/>
              </w:rPr>
              <w:t>Поведенческие механизмы напоминаний (снижение неявок)</w:t>
            </w:r>
          </w:p>
        </w:tc>
        <w:tc>
          <w:tcPr>
            <w:tcW w:w="3118" w:type="dxa"/>
          </w:tcPr>
          <w:p w14:paraId="1F393138">
            <w:pPr>
              <w:spacing w:before="0" w:after="0" w:line="240" w:lineRule="auto"/>
              <w:ind w:firstLine="0"/>
              <w:jc w:val="both"/>
              <w:rPr>
                <w:kern w:val="0"/>
                <w14:ligatures w14:val="none"/>
              </w:rPr>
            </w:pPr>
            <w:r>
              <w:rPr>
                <w:rFonts w:ascii="Times New Roman" w:hAnsi="Times New Roman"/>
                <w:b w:val="0"/>
                <w:kern w:val="0"/>
                <w:sz w:val="24"/>
                <w14:ligatures w14:val="none"/>
              </w:rPr>
              <w:t>Мета-анализы подтверждают: SMS- и push-напоминания снижают долю неявок на 11–29 %. Этот механизм служит одним из ключевых аргументов для включения автоматических уведомлений (FR-02: напоминание за 24 ч и за 2 ч) в функциональные требования MVP. Отраслевой бенчмарк no-show для стоматологии — 4–15 %; базовый сценарий расчёта принят на уровне 18 % с коэффициентом снижения 29 % от напоминаний.</w:t>
            </w:r>
          </w:p>
        </w:tc>
        <w:tc>
          <w:tcPr>
            <w:tcW w:w="3118" w:type="dxa"/>
          </w:tcPr>
          <w:p w14:paraId="1AD02582">
            <w:pPr>
              <w:spacing w:before="0" w:after="0" w:line="240" w:lineRule="auto"/>
              <w:ind w:firstLine="0"/>
              <w:jc w:val="both"/>
              <w:rPr>
                <w:kern w:val="0"/>
                <w14:ligatures w14:val="none"/>
              </w:rPr>
            </w:pPr>
            <w:r>
              <w:rPr>
                <w:rFonts w:ascii="Times New Roman" w:hAnsi="Times New Roman"/>
                <w:b w:val="0"/>
                <w:kern w:val="0"/>
                <w:sz w:val="24"/>
                <w14:ligatures w14:val="none"/>
              </w:rPr>
              <w:t>Почему автоматические напоминания включены в MVP и какой экономический эффект снижения неявок обоснован в расчёте?</w:t>
            </w:r>
          </w:p>
        </w:tc>
      </w:tr>
      <w:tr w14:paraId="4EBA6304">
        <w:tc>
          <w:tcPr>
            <w:tcW w:w="3118" w:type="dxa"/>
          </w:tcPr>
          <w:p w14:paraId="379CDE07">
            <w:pPr>
              <w:spacing w:before="0" w:after="0" w:line="240" w:lineRule="auto"/>
              <w:ind w:firstLine="0"/>
              <w:jc w:val="both"/>
              <w:rPr>
                <w:kern w:val="0"/>
                <w14:ligatures w14:val="none"/>
              </w:rPr>
            </w:pPr>
            <w:r>
              <w:rPr>
                <w:rFonts w:ascii="Times New Roman" w:hAnsi="Times New Roman"/>
                <w:b w:val="0"/>
                <w:kern w:val="0"/>
                <w:sz w:val="24"/>
                <w14:ligatures w14:val="none"/>
              </w:rPr>
              <w:t>Удержание и LTV</w:t>
            </w:r>
          </w:p>
        </w:tc>
        <w:tc>
          <w:tcPr>
            <w:tcW w:w="3118" w:type="dxa"/>
          </w:tcPr>
          <w:p w14:paraId="7CE2768F">
            <w:pPr>
              <w:spacing w:before="0" w:after="0" w:line="240" w:lineRule="auto"/>
              <w:ind w:firstLine="0"/>
              <w:jc w:val="both"/>
              <w:rPr>
                <w:kern w:val="0"/>
                <w14:ligatures w14:val="none"/>
              </w:rPr>
            </w:pPr>
            <w:r>
              <w:rPr>
                <w:rFonts w:ascii="Times New Roman" w:hAnsi="Times New Roman"/>
                <w:b w:val="0"/>
                <w:kern w:val="0"/>
                <w:sz w:val="24"/>
                <w14:ligatures w14:val="none"/>
              </w:rPr>
              <w:t>LTV пациента стоматологической клиники рассчитан как модельная оценка: при среднем чеке 10 108 руб. и частоте 2 визита в год значение варьируется от 242 тыс. до 403 тыс. руб. за период отношений. Прирост удержания на 3 п.п. за счёт приложения даёт прогнозируемый прирост выручки 21,6 млн руб./год на одну клинику (базовый сценарий, таблицы 42–43). Концепция показывает зависимость между инвестициями в цифровой сервис и измеримым финансовым результатом.</w:t>
            </w:r>
          </w:p>
        </w:tc>
        <w:tc>
          <w:tcPr>
            <w:tcW w:w="3118" w:type="dxa"/>
          </w:tcPr>
          <w:p w14:paraId="58C6841F">
            <w:pPr>
              <w:spacing w:before="0" w:after="0" w:line="240" w:lineRule="auto"/>
              <w:ind w:firstLine="0"/>
              <w:jc w:val="both"/>
              <w:rPr>
                <w:kern w:val="0"/>
                <w14:ligatures w14:val="none"/>
              </w:rPr>
            </w:pPr>
            <w:r>
              <w:rPr>
                <w:rFonts w:ascii="Times New Roman" w:hAnsi="Times New Roman"/>
                <w:b w:val="0"/>
                <w:kern w:val="0"/>
                <w:sz w:val="24"/>
                <w14:ligatures w14:val="none"/>
              </w:rPr>
              <w:t>Как изменение удержания пациентов транслируется в финансовый результат клиники и оправдывает инвестиции в мобильное приложение?</w:t>
            </w:r>
          </w:p>
        </w:tc>
      </w:tr>
      <w:tr w14:paraId="71CEE57A">
        <w:tc>
          <w:tcPr>
            <w:tcW w:w="3118" w:type="dxa"/>
          </w:tcPr>
          <w:p w14:paraId="1CA313B7">
            <w:pPr>
              <w:spacing w:before="0" w:after="0" w:line="240" w:lineRule="auto"/>
              <w:ind w:firstLine="0"/>
              <w:jc w:val="both"/>
              <w:rPr>
                <w:kern w:val="0"/>
                <w14:ligatures w14:val="none"/>
              </w:rPr>
            </w:pPr>
            <w:r>
              <w:rPr>
                <w:rFonts w:ascii="Times New Roman" w:hAnsi="Times New Roman"/>
                <w:b w:val="0"/>
                <w:kern w:val="0"/>
                <w:sz w:val="24"/>
                <w14:ligatures w14:val="none"/>
              </w:rPr>
              <w:t>Цифровая зрелость каналов коммуникации</w:t>
            </w:r>
          </w:p>
        </w:tc>
        <w:tc>
          <w:tcPr>
            <w:tcW w:w="3118" w:type="dxa"/>
          </w:tcPr>
          <w:p w14:paraId="63D6E241">
            <w:pPr>
              <w:spacing w:before="0" w:after="0" w:line="240" w:lineRule="auto"/>
              <w:ind w:firstLine="0"/>
              <w:jc w:val="both"/>
              <w:rPr>
                <w:kern w:val="0"/>
                <w14:ligatures w14:val="none"/>
              </w:rPr>
            </w:pPr>
            <w:r>
              <w:rPr>
                <w:rFonts w:ascii="Times New Roman" w:hAnsi="Times New Roman"/>
                <w:b w:val="0"/>
                <w:kern w:val="0"/>
                <w:sz w:val="24"/>
                <w14:ligatures w14:val="none"/>
              </w:rPr>
              <w:t>Анализ российской практики (раздел 2.3) показал: большинство частных стоматологий используют телефонный канал как единственную точку записи; полноценный цифровой контур коммуникаций внедрён в ограниченном числе клиник. Цифровая зрелость каналов оценивалась через кабинетный анализ и вторичные отраслевые данные (рисунки 1–9). Низкая зрелость определяет приоритет мобильного приложения как инструмента, снимающего сразу несколько структурных барьеров.</w:t>
            </w:r>
          </w:p>
        </w:tc>
        <w:tc>
          <w:tcPr>
            <w:tcW w:w="3118" w:type="dxa"/>
          </w:tcPr>
          <w:p w14:paraId="0E249343">
            <w:pPr>
              <w:spacing w:before="0" w:after="0" w:line="240" w:lineRule="auto"/>
              <w:ind w:firstLine="0"/>
              <w:jc w:val="both"/>
              <w:rPr>
                <w:kern w:val="0"/>
                <w14:ligatures w14:val="none"/>
              </w:rPr>
            </w:pPr>
            <w:r>
              <w:rPr>
                <w:rFonts w:ascii="Times New Roman" w:hAnsi="Times New Roman"/>
                <w:b w:val="0"/>
                <w:kern w:val="0"/>
                <w:sz w:val="24"/>
                <w14:ligatures w14:val="none"/>
              </w:rPr>
              <w:t>Почему мобильное приложение избрано в качестве приоритетного инструмента на фоне доступных альтернатив?</w:t>
            </w:r>
          </w:p>
        </w:tc>
      </w:tr>
    </w:tbl>
    <w:p w14:paraId="510EBDB5">
      <w:pPr>
        <w:spacing w:before="0" w:after="0"/>
        <w:ind w:firstLine="709"/>
        <w:jc w:val="both"/>
      </w:pPr>
      <w:r>
        <w:rPr>
          <w:rFonts w:ascii="Times New Roman" w:hAnsi="Times New Roman"/>
          <w:b w:val="0"/>
          <w:sz w:val="28"/>
        </w:rPr>
        <w:t>Эмпирическая часть выстроена в три этапа, различающихся по методу сбора данных и аналитической задаче. В таблице приведены цель, источники данных и способ анализа по каждому этапу. Такое представление позволяет соотнести методологию с поставленными исследовательскими вопросами.</w:t>
      </w:r>
    </w:p>
    <w:p w14:paraId="24007D9E">
      <w:pPr>
        <w:spacing w:before="0" w:after="0"/>
        <w:jc w:val="left"/>
      </w:pPr>
      <w:r>
        <w:rPr>
          <w:rFonts w:ascii="Times New Roman" w:hAnsi="Times New Roman"/>
          <w:b w:val="0"/>
          <w:sz w:val="28"/>
        </w:rPr>
        <w:t>Таблица 10 — Дизайн исследования</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2338"/>
        <w:gridCol w:w="2338"/>
        <w:gridCol w:w="2338"/>
      </w:tblGrid>
      <w:tr w14:paraId="725FA2D0">
        <w:tc>
          <w:tcPr>
            <w:tcW w:w="2338" w:type="dxa"/>
          </w:tcPr>
          <w:p w14:paraId="7FEBD72D">
            <w:pPr>
              <w:spacing w:before="0" w:after="0" w:line="240" w:lineRule="auto"/>
              <w:ind w:firstLine="0"/>
              <w:jc w:val="both"/>
              <w:rPr>
                <w:kern w:val="0"/>
                <w14:ligatures w14:val="none"/>
              </w:rPr>
            </w:pPr>
            <w:r>
              <w:rPr>
                <w:rFonts w:ascii="Times New Roman" w:hAnsi="Times New Roman"/>
                <w:b/>
                <w:kern w:val="0"/>
                <w:sz w:val="24"/>
                <w14:ligatures w14:val="none"/>
              </w:rPr>
              <w:t>Параметр</w:t>
            </w:r>
          </w:p>
        </w:tc>
        <w:tc>
          <w:tcPr>
            <w:tcW w:w="2338" w:type="dxa"/>
          </w:tcPr>
          <w:p w14:paraId="7BA9918A">
            <w:pPr>
              <w:spacing w:before="0" w:after="0" w:line="240" w:lineRule="auto"/>
              <w:ind w:firstLine="0"/>
              <w:jc w:val="both"/>
              <w:rPr>
                <w:kern w:val="0"/>
                <w14:ligatures w14:val="none"/>
              </w:rPr>
            </w:pPr>
            <w:r>
              <w:rPr>
                <w:rFonts w:ascii="Times New Roman" w:hAnsi="Times New Roman"/>
                <w:b/>
                <w:kern w:val="0"/>
                <w:sz w:val="24"/>
                <w14:ligatures w14:val="none"/>
              </w:rPr>
              <w:t>Полуструктурированные интервью и контент-анализ отзывов (выборка 62 чел.)</w:t>
            </w:r>
          </w:p>
        </w:tc>
        <w:tc>
          <w:tcPr>
            <w:tcW w:w="2338" w:type="dxa"/>
          </w:tcPr>
          <w:p w14:paraId="45214ED3">
            <w:pPr>
              <w:spacing w:before="0" w:after="0" w:line="240" w:lineRule="auto"/>
              <w:ind w:firstLine="0"/>
              <w:jc w:val="both"/>
              <w:rPr>
                <w:kern w:val="0"/>
                <w14:ligatures w14:val="none"/>
              </w:rPr>
            </w:pPr>
            <w:r>
              <w:rPr>
                <w:rFonts w:ascii="Times New Roman" w:hAnsi="Times New Roman"/>
                <w:b/>
                <w:kern w:val="0"/>
                <w:sz w:val="24"/>
                <w14:ligatures w14:val="none"/>
              </w:rPr>
              <w:t>A/B-тест (600 чел.)</w:t>
            </w:r>
          </w:p>
        </w:tc>
        <w:tc>
          <w:tcPr>
            <w:tcW w:w="2338" w:type="dxa"/>
          </w:tcPr>
          <w:p w14:paraId="40ECCBA2">
            <w:pPr>
              <w:spacing w:before="0" w:after="0" w:line="240" w:lineRule="auto"/>
              <w:ind w:firstLine="0"/>
              <w:jc w:val="both"/>
              <w:rPr>
                <w:kern w:val="0"/>
                <w14:ligatures w14:val="none"/>
              </w:rPr>
            </w:pPr>
            <w:r>
              <w:rPr>
                <w:rFonts w:ascii="Times New Roman" w:hAnsi="Times New Roman"/>
                <w:b/>
                <w:kern w:val="0"/>
                <w:sz w:val="24"/>
                <w14:ligatures w14:val="none"/>
              </w:rPr>
              <w:t>Вторичные данные и кабинетный анализ</w:t>
            </w:r>
          </w:p>
        </w:tc>
      </w:tr>
      <w:tr w14:paraId="662D3A81">
        <w:tc>
          <w:tcPr>
            <w:tcW w:w="2338" w:type="dxa"/>
          </w:tcPr>
          <w:p w14:paraId="67683A34">
            <w:pPr>
              <w:spacing w:before="0" w:after="0" w:line="240" w:lineRule="auto"/>
              <w:ind w:firstLine="0"/>
              <w:jc w:val="both"/>
              <w:rPr>
                <w:kern w:val="0"/>
                <w14:ligatures w14:val="none"/>
              </w:rPr>
            </w:pPr>
            <w:r>
              <w:rPr>
                <w:rFonts w:ascii="Times New Roman" w:hAnsi="Times New Roman"/>
                <w:b w:val="0"/>
                <w:kern w:val="0"/>
                <w:sz w:val="24"/>
                <w14:ligatures w14:val="none"/>
              </w:rPr>
              <w:t>Цель этапа</w:t>
            </w:r>
          </w:p>
        </w:tc>
        <w:tc>
          <w:tcPr>
            <w:tcW w:w="2338" w:type="dxa"/>
          </w:tcPr>
          <w:p w14:paraId="789A362E">
            <w:pPr>
              <w:spacing w:before="0" w:after="0" w:line="240" w:lineRule="auto"/>
              <w:ind w:firstLine="0"/>
              <w:jc w:val="both"/>
              <w:rPr>
                <w:kern w:val="0"/>
                <w14:ligatures w14:val="none"/>
              </w:rPr>
            </w:pPr>
            <w:r>
              <w:rPr>
                <w:rFonts w:ascii="Times New Roman" w:hAnsi="Times New Roman"/>
                <w:b w:val="0"/>
                <w:kern w:val="0"/>
                <w:sz w:val="24"/>
                <w14:ligatures w14:val="none"/>
              </w:rPr>
              <w:t>Выявить барьеры и «точки трения» в процессе записи на приём и предварительной коммуникации с клиникой.</w:t>
            </w:r>
          </w:p>
        </w:tc>
        <w:tc>
          <w:tcPr>
            <w:tcW w:w="2338" w:type="dxa"/>
          </w:tcPr>
          <w:p w14:paraId="1C041F92">
            <w:pPr>
              <w:spacing w:before="0" w:after="0" w:line="240" w:lineRule="auto"/>
              <w:ind w:firstLine="0"/>
              <w:jc w:val="both"/>
              <w:rPr>
                <w:kern w:val="0"/>
                <w14:ligatures w14:val="none"/>
              </w:rPr>
            </w:pPr>
            <w:r>
              <w:rPr>
                <w:rFonts w:ascii="Times New Roman" w:hAnsi="Times New Roman"/>
                <w:b w:val="0"/>
                <w:kern w:val="0"/>
                <w:sz w:val="24"/>
                <w14:ligatures w14:val="none"/>
              </w:rPr>
              <w:t>Проверить гипотезу о влиянии замены формата записи (заявка на сайте → онлайн-запись) на конверсию (CR).</w:t>
            </w:r>
          </w:p>
        </w:tc>
        <w:tc>
          <w:tcPr>
            <w:tcW w:w="2338" w:type="dxa"/>
          </w:tcPr>
          <w:p w14:paraId="2F3AC6C2">
            <w:pPr>
              <w:spacing w:before="0" w:after="0" w:line="240" w:lineRule="auto"/>
              <w:ind w:firstLine="0"/>
              <w:jc w:val="both"/>
              <w:rPr>
                <w:kern w:val="0"/>
                <w14:ligatures w14:val="none"/>
              </w:rPr>
            </w:pPr>
            <w:r>
              <w:rPr>
                <w:rFonts w:ascii="Times New Roman" w:hAnsi="Times New Roman"/>
                <w:b w:val="0"/>
                <w:kern w:val="0"/>
                <w:sz w:val="24"/>
                <w14:ligatures w14:val="none"/>
              </w:rPr>
              <w:t>Установить рыночный контекст, отраслевые бенчмарки и нормативную рамку; систематизировать международный и российский опыт цифровых решений для клиник.</w:t>
            </w:r>
          </w:p>
        </w:tc>
      </w:tr>
      <w:tr w14:paraId="1F7FAA20">
        <w:tc>
          <w:tcPr>
            <w:tcW w:w="2338" w:type="dxa"/>
          </w:tcPr>
          <w:p w14:paraId="7D892DF9">
            <w:pPr>
              <w:spacing w:before="0" w:after="0" w:line="240" w:lineRule="auto"/>
              <w:ind w:firstLine="0"/>
              <w:jc w:val="both"/>
              <w:rPr>
                <w:kern w:val="0"/>
                <w14:ligatures w14:val="none"/>
              </w:rPr>
            </w:pPr>
            <w:r>
              <w:rPr>
                <w:rFonts w:ascii="Times New Roman" w:hAnsi="Times New Roman"/>
                <w:b w:val="0"/>
                <w:kern w:val="0"/>
                <w:sz w:val="24"/>
                <w14:ligatures w14:val="none"/>
              </w:rPr>
              <w:t>Данные</w:t>
            </w:r>
          </w:p>
        </w:tc>
        <w:tc>
          <w:tcPr>
            <w:tcW w:w="2338" w:type="dxa"/>
          </w:tcPr>
          <w:p w14:paraId="64B94440">
            <w:pPr>
              <w:spacing w:before="0" w:after="0" w:line="240" w:lineRule="auto"/>
              <w:ind w:firstLine="0"/>
              <w:jc w:val="both"/>
              <w:rPr>
                <w:kern w:val="0"/>
                <w14:ligatures w14:val="none"/>
              </w:rPr>
            </w:pPr>
            <w:r>
              <w:rPr>
                <w:rFonts w:ascii="Times New Roman" w:hAnsi="Times New Roman"/>
                <w:b w:val="0"/>
                <w:kern w:val="0"/>
                <w:sz w:val="24"/>
                <w14:ligatures w14:val="none"/>
              </w:rPr>
              <w:t>Полуструктурированные интервью с пациентами; контент-анализ отзывов. Совокупная выборка — 62 человека. Выявлено три группы барьеров: организационно-коммуникационные (ключевой — недоступность телефонного канала, 59,1 %), ценовые и пост-клинические.</w:t>
            </w:r>
          </w:p>
        </w:tc>
        <w:tc>
          <w:tcPr>
            <w:tcW w:w="2338" w:type="dxa"/>
          </w:tcPr>
          <w:p w14:paraId="5D394D3A">
            <w:pPr>
              <w:spacing w:before="0" w:after="0" w:line="240" w:lineRule="auto"/>
              <w:ind w:firstLine="0"/>
              <w:jc w:val="both"/>
              <w:rPr>
                <w:kern w:val="0"/>
                <w14:ligatures w14:val="none"/>
              </w:rPr>
            </w:pPr>
            <w:r>
              <w:rPr>
                <w:rFonts w:ascii="Times New Roman" w:hAnsi="Times New Roman"/>
                <w:b w:val="0"/>
                <w:kern w:val="0"/>
                <w:sz w:val="24"/>
                <w14:ligatures w14:val="none"/>
              </w:rPr>
              <w:t>600 пользователей сайта клиники, разделённых поровну на контрольную (заявка) и тестовую (онлайн-запись) группы. Зависимая переменная — конверсия в запись за сессию (0/1). Базовый CR — около 3 %; целевой — 4,5 %.</w:t>
            </w:r>
          </w:p>
        </w:tc>
        <w:tc>
          <w:tcPr>
            <w:tcW w:w="2338" w:type="dxa"/>
          </w:tcPr>
          <w:p w14:paraId="08AEEE81">
            <w:pPr>
              <w:spacing w:before="0" w:after="0" w:line="240" w:lineRule="auto"/>
              <w:ind w:firstLine="0"/>
              <w:jc w:val="both"/>
              <w:rPr>
                <w:kern w:val="0"/>
                <w14:ligatures w14:val="none"/>
              </w:rPr>
            </w:pPr>
            <w:r>
              <w:rPr>
                <w:rFonts w:ascii="Times New Roman" w:hAnsi="Times New Roman"/>
                <w:b w:val="0"/>
                <w:kern w:val="0"/>
                <w:sz w:val="24"/>
                <w14:ligatures w14:val="none"/>
              </w:rPr>
              <w:t>Отраслевые отчёты по рынку частной стоматологии РФ и динамике медицинского маркетинга; нормативные акты 2025–2026 гг.; международные мета-анализы эффективности цифровых инструментов (SMS-напоминания, мобильные приложения); данные по российским цифровым решениям для стоматологических клиник.</w:t>
            </w:r>
          </w:p>
        </w:tc>
      </w:tr>
      <w:tr w14:paraId="51FA1D9B">
        <w:tc>
          <w:tcPr>
            <w:tcW w:w="2338" w:type="dxa"/>
          </w:tcPr>
          <w:p w14:paraId="7EF39F28">
            <w:pPr>
              <w:spacing w:before="0" w:after="0" w:line="240" w:lineRule="auto"/>
              <w:ind w:firstLine="0"/>
              <w:jc w:val="both"/>
              <w:rPr>
                <w:kern w:val="0"/>
                <w14:ligatures w14:val="none"/>
              </w:rPr>
            </w:pPr>
            <w:r>
              <w:rPr>
                <w:rFonts w:ascii="Times New Roman" w:hAnsi="Times New Roman"/>
                <w:b w:val="0"/>
                <w:kern w:val="0"/>
                <w:sz w:val="24"/>
                <w14:ligatures w14:val="none"/>
              </w:rPr>
              <w:t>Анализ</w:t>
            </w:r>
          </w:p>
        </w:tc>
        <w:tc>
          <w:tcPr>
            <w:tcW w:w="2338" w:type="dxa"/>
          </w:tcPr>
          <w:p w14:paraId="198E4EDE">
            <w:pPr>
              <w:spacing w:before="0" w:after="0" w:line="240" w:lineRule="auto"/>
              <w:ind w:firstLine="0"/>
              <w:jc w:val="both"/>
              <w:rPr>
                <w:kern w:val="0"/>
                <w14:ligatures w14:val="none"/>
              </w:rPr>
            </w:pPr>
            <w:r>
              <w:rPr>
                <w:rFonts w:ascii="Times New Roman" w:hAnsi="Times New Roman"/>
                <w:b w:val="0"/>
                <w:kern w:val="0"/>
                <w:sz w:val="24"/>
                <w14:ligatures w14:val="none"/>
              </w:rPr>
              <w:t>Тематическое кодирование ответов; распределение барьеров по типу и стадии пути пациента (таблица 13).</w:t>
            </w:r>
          </w:p>
        </w:tc>
        <w:tc>
          <w:tcPr>
            <w:tcW w:w="2338" w:type="dxa"/>
          </w:tcPr>
          <w:p w14:paraId="33957B72">
            <w:pPr>
              <w:spacing w:before="0" w:after="0" w:line="240" w:lineRule="auto"/>
              <w:ind w:firstLine="0"/>
              <w:jc w:val="both"/>
              <w:rPr>
                <w:kern w:val="0"/>
                <w14:ligatures w14:val="none"/>
              </w:rPr>
            </w:pPr>
            <w:r>
              <w:rPr>
                <w:rFonts w:ascii="Times New Roman" w:hAnsi="Times New Roman"/>
                <w:b w:val="0"/>
                <w:kern w:val="0"/>
                <w:sz w:val="24"/>
                <w14:ligatures w14:val="none"/>
              </w:rPr>
              <w:t>Критерий хи-квадрат (p-value 0,05); бутстреп-распределение конверсии; доверительные интервалы для CR двух групп. Результат: CR тестовой группы выше на 1,5 п.п.; доверительные интервалы не пересекаются, разница статистически значима.</w:t>
            </w:r>
          </w:p>
        </w:tc>
        <w:tc>
          <w:tcPr>
            <w:tcW w:w="2338" w:type="dxa"/>
          </w:tcPr>
          <w:p w14:paraId="4EC1484D">
            <w:pPr>
              <w:spacing w:before="0" w:after="0" w:line="240" w:lineRule="auto"/>
              <w:ind w:firstLine="0"/>
              <w:jc w:val="both"/>
              <w:rPr>
                <w:kern w:val="0"/>
                <w14:ligatures w14:val="none"/>
              </w:rPr>
            </w:pPr>
            <w:r>
              <w:rPr>
                <w:rFonts w:ascii="Times New Roman" w:hAnsi="Times New Roman"/>
                <w:b w:val="0"/>
                <w:kern w:val="0"/>
                <w:sz w:val="24"/>
                <w14:ligatures w14:val="none"/>
              </w:rPr>
              <w:t>Сравнительный анализ функциональных возможностей российских цифровых решений (таблица 14); сводная карта нормативных изменений (таблица 15); оценка цифровых инструментов по критериям отбора (таблица 19).</w:t>
            </w:r>
          </w:p>
        </w:tc>
      </w:tr>
    </w:tbl>
    <w:p w14:paraId="6BA6C62C">
      <w:pPr>
        <w:spacing w:before="0" w:after="0"/>
        <w:ind w:firstLine="709"/>
        <w:jc w:val="both"/>
      </w:pPr>
      <w:r>
        <w:rPr>
          <w:rFonts w:ascii="Times New Roman" w:hAnsi="Times New Roman"/>
          <w:b w:val="0"/>
          <w:sz w:val="28"/>
        </w:rPr>
        <w:t>Специфика стоматологической услуги определяет характер барьеров, с которыми пациент сталкивается на каждой стадии пути. Четыре ключевые особенности — высокий уровень доверия, стоматофобия, сложность ценообразования и длительный цикл принятия решения — формируют конкретные «точки трения», снижающие вероятность первичной записи и повторного визита. Устранение этих трений требует подбора цифровых инструментов, ориентированных на каждую из особенностей; логика такого соответствия развёрнута в главе 2 применительно к проявлениям проблемы (таблица 13).</w:t>
      </w:r>
    </w:p>
    <w:p w14:paraId="64EB5D47">
      <w:pPr>
        <w:spacing w:before="0" w:after="0"/>
        <w:jc w:val="left"/>
      </w:pPr>
      <w:r>
        <w:rPr>
          <w:rFonts w:ascii="Times New Roman" w:hAnsi="Times New Roman"/>
          <w:b w:val="0"/>
          <w:sz w:val="28"/>
        </w:rPr>
        <w:t>Таблица 11 — Интегративная рамка: специфика стоматологической услуги, барьеры и цифровые инструменты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2338"/>
        <w:gridCol w:w="2338"/>
        <w:gridCol w:w="2338"/>
      </w:tblGrid>
      <w:tr w14:paraId="6804C1D0">
        <w:tc>
          <w:tcPr>
            <w:tcW w:w="2338" w:type="dxa"/>
          </w:tcPr>
          <w:p w14:paraId="317BE9C6">
            <w:pPr>
              <w:spacing w:before="0" w:after="0" w:line="240" w:lineRule="auto"/>
              <w:ind w:firstLine="0"/>
              <w:jc w:val="both"/>
              <w:rPr>
                <w:kern w:val="0"/>
                <w14:ligatures w14:val="none"/>
              </w:rPr>
            </w:pPr>
            <w:r>
              <w:rPr>
                <w:rFonts w:ascii="Times New Roman" w:hAnsi="Times New Roman"/>
                <w:b/>
                <w:kern w:val="0"/>
                <w:sz w:val="24"/>
                <w14:ligatures w14:val="none"/>
              </w:rPr>
              <w:t>Специфика стоматологической услуги</w:t>
            </w:r>
          </w:p>
        </w:tc>
        <w:tc>
          <w:tcPr>
            <w:tcW w:w="2338" w:type="dxa"/>
          </w:tcPr>
          <w:p w14:paraId="298AEAC5">
            <w:pPr>
              <w:spacing w:before="0" w:after="0" w:line="240" w:lineRule="auto"/>
              <w:ind w:firstLine="0"/>
              <w:jc w:val="both"/>
              <w:rPr>
                <w:kern w:val="0"/>
                <w14:ligatures w14:val="none"/>
              </w:rPr>
            </w:pPr>
            <w:r>
              <w:rPr>
                <w:rFonts w:ascii="Times New Roman" w:hAnsi="Times New Roman"/>
                <w:b/>
                <w:kern w:val="0"/>
                <w:sz w:val="24"/>
                <w14:ligatures w14:val="none"/>
              </w:rPr>
              <w:t>Как проявляется барьер</w:t>
            </w:r>
          </w:p>
        </w:tc>
        <w:tc>
          <w:tcPr>
            <w:tcW w:w="2338" w:type="dxa"/>
          </w:tcPr>
          <w:p w14:paraId="1C47E228">
            <w:pPr>
              <w:spacing w:before="0" w:after="0" w:line="240" w:lineRule="auto"/>
              <w:ind w:firstLine="0"/>
              <w:jc w:val="both"/>
              <w:rPr>
                <w:kern w:val="0"/>
                <w14:ligatures w14:val="none"/>
              </w:rPr>
            </w:pPr>
            <w:r>
              <w:rPr>
                <w:rFonts w:ascii="Times New Roman" w:hAnsi="Times New Roman"/>
                <w:b/>
                <w:kern w:val="0"/>
                <w:sz w:val="24"/>
                <w14:ligatures w14:val="none"/>
              </w:rPr>
              <w:t>Цифровые инструменты, снимающие барьер</w:t>
            </w:r>
          </w:p>
        </w:tc>
        <w:tc>
          <w:tcPr>
            <w:tcW w:w="2338" w:type="dxa"/>
          </w:tcPr>
          <w:p w14:paraId="355F520B">
            <w:pPr>
              <w:spacing w:before="0" w:after="0" w:line="240" w:lineRule="auto"/>
              <w:ind w:firstLine="0"/>
              <w:jc w:val="both"/>
              <w:rPr>
                <w:kern w:val="0"/>
                <w14:ligatures w14:val="none"/>
              </w:rPr>
            </w:pPr>
            <w:r>
              <w:rPr>
                <w:rFonts w:ascii="Times New Roman" w:hAnsi="Times New Roman"/>
                <w:b/>
                <w:kern w:val="0"/>
                <w:sz w:val="24"/>
                <w14:ligatures w14:val="none"/>
              </w:rPr>
              <w:t>Связь с главой 2</w:t>
            </w:r>
          </w:p>
        </w:tc>
      </w:tr>
      <w:tr w14:paraId="4B0C9773">
        <w:tc>
          <w:tcPr>
            <w:tcW w:w="2338" w:type="dxa"/>
          </w:tcPr>
          <w:p w14:paraId="0BF91A48">
            <w:pPr>
              <w:spacing w:before="0" w:after="0" w:line="240" w:lineRule="auto"/>
              <w:ind w:firstLine="0"/>
              <w:jc w:val="both"/>
              <w:rPr>
                <w:kern w:val="0"/>
                <w14:ligatures w14:val="none"/>
              </w:rPr>
            </w:pPr>
            <w:r>
              <w:rPr>
                <w:rFonts w:ascii="Times New Roman" w:hAnsi="Times New Roman"/>
                <w:b w:val="0"/>
                <w:kern w:val="0"/>
                <w:sz w:val="24"/>
                <w14:ligatures w14:val="none"/>
              </w:rPr>
              <w:t>Высокий уровень доверия к врачу и клинике</w:t>
            </w:r>
          </w:p>
        </w:tc>
        <w:tc>
          <w:tcPr>
            <w:tcW w:w="2338" w:type="dxa"/>
          </w:tcPr>
          <w:p w14:paraId="55A6E941">
            <w:pPr>
              <w:spacing w:before="0" w:after="0" w:line="240" w:lineRule="auto"/>
              <w:ind w:firstLine="0"/>
              <w:jc w:val="both"/>
              <w:rPr>
                <w:kern w:val="0"/>
                <w14:ligatures w14:val="none"/>
              </w:rPr>
            </w:pPr>
            <w:r>
              <w:rPr>
                <w:rFonts w:ascii="Times New Roman" w:hAnsi="Times New Roman"/>
                <w:b w:val="0"/>
                <w:kern w:val="0"/>
                <w:sz w:val="24"/>
                <w14:ligatures w14:val="none"/>
              </w:rPr>
              <w:t>Пациент откладывает запись или отказывается от неё при отсутствии подтверждённых сигналов надёжности: рейтингов, отзывов, информации о враче и гарантий на работы. Структурный барьер отсутствия идентифицированных контактов лишает клинику инструментов ретаргетинга и повторных коммуникаций.</w:t>
            </w:r>
          </w:p>
        </w:tc>
        <w:tc>
          <w:tcPr>
            <w:tcW w:w="2338" w:type="dxa"/>
          </w:tcPr>
          <w:p w14:paraId="6740EA77">
            <w:pPr>
              <w:spacing w:before="0" w:after="0" w:line="240" w:lineRule="auto"/>
              <w:ind w:firstLine="0"/>
              <w:jc w:val="both"/>
              <w:rPr>
                <w:kern w:val="0"/>
                <w14:ligatures w14:val="none"/>
              </w:rPr>
            </w:pPr>
            <w:r>
              <w:rPr>
                <w:rFonts w:ascii="Times New Roman" w:hAnsi="Times New Roman"/>
                <w:b w:val="0"/>
                <w:kern w:val="0"/>
                <w:sz w:val="24"/>
                <w14:ligatures w14:val="none"/>
              </w:rPr>
              <w:t>Управление репутацией (агрегация отзывов, ответы на них); карточки врачей с квалификацией и портфолио; отображение гарантий на выполненные работы в профиле пациента (FR-08); единая история визитов во всех филиалах сети (FR-04).</w:t>
            </w:r>
          </w:p>
        </w:tc>
        <w:tc>
          <w:tcPr>
            <w:tcW w:w="2338" w:type="dxa"/>
          </w:tcPr>
          <w:p w14:paraId="0EDD5429">
            <w:pPr>
              <w:spacing w:before="0" w:after="0" w:line="240" w:lineRule="auto"/>
              <w:ind w:firstLine="0"/>
              <w:jc w:val="both"/>
              <w:rPr>
                <w:kern w:val="0"/>
                <w14:ligatures w14:val="none"/>
              </w:rPr>
            </w:pPr>
            <w:r>
              <w:rPr>
                <w:rFonts w:ascii="Times New Roman" w:hAnsi="Times New Roman"/>
                <w:b w:val="0"/>
                <w:kern w:val="0"/>
                <w:sz w:val="24"/>
                <w14:ligatures w14:val="none"/>
              </w:rPr>
              <w:t>Невозможность ретаргетинга из-за отсутствия идентифицированных контактов (стадия «Привлечение»); см. проявления в таблице 13.</w:t>
            </w:r>
          </w:p>
        </w:tc>
      </w:tr>
      <w:tr w14:paraId="6FA60349">
        <w:tc>
          <w:tcPr>
            <w:tcW w:w="2338" w:type="dxa"/>
          </w:tcPr>
          <w:p w14:paraId="0DBDD9C7">
            <w:pPr>
              <w:spacing w:before="0" w:after="0" w:line="240" w:lineRule="auto"/>
              <w:ind w:firstLine="0"/>
              <w:jc w:val="both"/>
              <w:rPr>
                <w:kern w:val="0"/>
                <w14:ligatures w14:val="none"/>
              </w:rPr>
            </w:pPr>
            <w:r>
              <w:rPr>
                <w:rFonts w:ascii="Times New Roman" w:hAnsi="Times New Roman"/>
                <w:b w:val="0"/>
                <w:kern w:val="0"/>
                <w:sz w:val="24"/>
                <w14:ligatures w14:val="none"/>
              </w:rPr>
              <w:t>Страх боли и негативного опыта (стоматофобия)</w:t>
            </w:r>
          </w:p>
        </w:tc>
        <w:tc>
          <w:tcPr>
            <w:tcW w:w="2338" w:type="dxa"/>
          </w:tcPr>
          <w:p w14:paraId="19FCFA32">
            <w:pPr>
              <w:spacing w:before="0" w:after="0" w:line="240" w:lineRule="auto"/>
              <w:ind w:firstLine="0"/>
              <w:jc w:val="both"/>
              <w:rPr>
                <w:kern w:val="0"/>
                <w14:ligatures w14:val="none"/>
              </w:rPr>
            </w:pPr>
            <w:r>
              <w:rPr>
                <w:rFonts w:ascii="Times New Roman" w:hAnsi="Times New Roman"/>
                <w:b w:val="0"/>
                <w:kern w:val="0"/>
                <w:sz w:val="24"/>
                <w14:ligatures w14:val="none"/>
              </w:rPr>
              <w:t>Поведенческий барьер усиливается на стадиях принятия решения и подтверждения визита. Тревожность провоцирует перенос или отмену записи; высокий уровень неявок (no-show) — прямое следствие ненейтрализованного страха.</w:t>
            </w:r>
          </w:p>
        </w:tc>
        <w:tc>
          <w:tcPr>
            <w:tcW w:w="2338" w:type="dxa"/>
          </w:tcPr>
          <w:p w14:paraId="23EC7CB9">
            <w:pPr>
              <w:spacing w:before="0" w:after="0" w:line="240" w:lineRule="auto"/>
              <w:ind w:firstLine="0"/>
              <w:jc w:val="both"/>
              <w:rPr>
                <w:kern w:val="0"/>
                <w14:ligatures w14:val="none"/>
              </w:rPr>
            </w:pPr>
            <w:r>
              <w:rPr>
                <w:rFonts w:ascii="Times New Roman" w:hAnsi="Times New Roman"/>
                <w:b w:val="0"/>
                <w:kern w:val="0"/>
                <w:sz w:val="24"/>
                <w14:ligatures w14:val="none"/>
              </w:rPr>
              <w:t>Автоматические SMS- и push-напоминания за 24 ч и за 2 ч до визита (FR-02); экспертный контент о процедурах; чат-бот для ответов на вопросы до визита; форма лёгкого переноса или отмены без звонка (FR-10, FR-11).</w:t>
            </w:r>
          </w:p>
        </w:tc>
        <w:tc>
          <w:tcPr>
            <w:tcW w:w="2338" w:type="dxa"/>
          </w:tcPr>
          <w:p w14:paraId="5EF4A3F2">
            <w:pPr>
              <w:spacing w:before="0" w:after="0" w:line="240" w:lineRule="auto"/>
              <w:ind w:firstLine="0"/>
              <w:jc w:val="both"/>
              <w:rPr>
                <w:kern w:val="0"/>
                <w14:ligatures w14:val="none"/>
              </w:rPr>
            </w:pPr>
            <w:r>
              <w:rPr>
                <w:rFonts w:ascii="Times New Roman" w:hAnsi="Times New Roman"/>
                <w:b w:val="0"/>
                <w:kern w:val="0"/>
                <w:sz w:val="24"/>
                <w14:ligatures w14:val="none"/>
              </w:rPr>
              <w:t>Рост числа неявок на записанные приёмы (поведенческий барьер, стадия «Подтверждение»); отказы из-за трудоёмкости переноса записи (сервисный барьер, стадия «Подтверждение»); см. проявления в таблице 13.</w:t>
            </w:r>
          </w:p>
        </w:tc>
      </w:tr>
      <w:tr w14:paraId="03933A76">
        <w:tc>
          <w:tcPr>
            <w:tcW w:w="2338" w:type="dxa"/>
          </w:tcPr>
          <w:p w14:paraId="7137F5E8">
            <w:pPr>
              <w:spacing w:before="0" w:after="0" w:line="240" w:lineRule="auto"/>
              <w:ind w:firstLine="0"/>
              <w:jc w:val="both"/>
              <w:rPr>
                <w:kern w:val="0"/>
                <w14:ligatures w14:val="none"/>
              </w:rPr>
            </w:pPr>
            <w:r>
              <w:rPr>
                <w:rFonts w:ascii="Times New Roman" w:hAnsi="Times New Roman"/>
                <w:b w:val="0"/>
                <w:kern w:val="0"/>
                <w:sz w:val="24"/>
                <w14:ligatures w14:val="none"/>
              </w:rPr>
              <w:t>Сложность ценообразования</w:t>
            </w:r>
          </w:p>
        </w:tc>
        <w:tc>
          <w:tcPr>
            <w:tcW w:w="2338" w:type="dxa"/>
          </w:tcPr>
          <w:p w14:paraId="67DFB47E">
            <w:pPr>
              <w:spacing w:before="0" w:after="0" w:line="240" w:lineRule="auto"/>
              <w:ind w:firstLine="0"/>
              <w:jc w:val="both"/>
              <w:rPr>
                <w:kern w:val="0"/>
                <w14:ligatures w14:val="none"/>
              </w:rPr>
            </w:pPr>
            <w:r>
              <w:rPr>
                <w:rFonts w:ascii="Times New Roman" w:hAnsi="Times New Roman"/>
                <w:b w:val="0"/>
                <w:kern w:val="0"/>
                <w:sz w:val="24"/>
                <w14:ligatures w14:val="none"/>
              </w:rPr>
              <w:t>Информационный барьер: стоимость лечения непрозрачна, пациент не видит понятной цены до приёма, не может заранее оценить расходы, откладывает запись и уходит после диагностики, когда итоговая цена оказывается неожиданной. Отсутствие цифрового канала передачи плана лечения усиливает неопределённость и нагружает регистратуру.</w:t>
            </w:r>
          </w:p>
        </w:tc>
        <w:tc>
          <w:tcPr>
            <w:tcW w:w="2338" w:type="dxa"/>
          </w:tcPr>
          <w:p w14:paraId="0F86F7E7">
            <w:pPr>
              <w:spacing w:before="0" w:after="0" w:line="240" w:lineRule="auto"/>
              <w:ind w:firstLine="0"/>
              <w:jc w:val="both"/>
              <w:rPr>
                <w:kern w:val="0"/>
                <w14:ligatures w14:val="none"/>
              </w:rPr>
            </w:pPr>
            <w:r>
              <w:rPr>
                <w:rFonts w:ascii="Times New Roman" w:hAnsi="Times New Roman"/>
                <w:b w:val="0"/>
                <w:kern w:val="0"/>
                <w:sz w:val="24"/>
                <w14:ligatures w14:val="none"/>
              </w:rPr>
              <w:t>Каталог услуг с ценами и длительностью (FR-07); отображение цены на экране выбора услуги; онлайн-оплата (FR-06); цифровой план лечения (вторая очередь MVP); поддержка через мессенджер с примерным расчётом стоимости.</w:t>
            </w:r>
          </w:p>
        </w:tc>
        <w:tc>
          <w:tcPr>
            <w:tcW w:w="2338" w:type="dxa"/>
          </w:tcPr>
          <w:p w14:paraId="6D05BA64">
            <w:pPr>
              <w:spacing w:before="0" w:after="0" w:line="240" w:lineRule="auto"/>
              <w:ind w:firstLine="0"/>
              <w:jc w:val="both"/>
              <w:rPr>
                <w:kern w:val="0"/>
                <w14:ligatures w14:val="none"/>
              </w:rPr>
            </w:pPr>
            <w:r>
              <w:rPr>
                <w:rFonts w:ascii="Times New Roman" w:hAnsi="Times New Roman"/>
                <w:b w:val="0"/>
                <w:kern w:val="0"/>
                <w:sz w:val="24"/>
                <w14:ligatures w14:val="none"/>
              </w:rPr>
              <w:t>Отток на этапе пост-диагностики из-за отсутствия цифрового канала плана лечения (информационный барьер, стадия «Пост-визит»); нагрузка регистратуры по запросам истории (информационный барьер, стадия «Удержание»); см. проявления в таблице 13.</w:t>
            </w:r>
          </w:p>
        </w:tc>
      </w:tr>
      <w:tr w14:paraId="254E5004">
        <w:tc>
          <w:tcPr>
            <w:tcW w:w="2338" w:type="dxa"/>
          </w:tcPr>
          <w:p w14:paraId="4DFDA86D">
            <w:pPr>
              <w:spacing w:before="0" w:after="0" w:line="240" w:lineRule="auto"/>
              <w:ind w:firstLine="0"/>
              <w:jc w:val="both"/>
              <w:rPr>
                <w:kern w:val="0"/>
                <w14:ligatures w14:val="none"/>
              </w:rPr>
            </w:pPr>
            <w:r>
              <w:rPr>
                <w:rFonts w:ascii="Times New Roman" w:hAnsi="Times New Roman"/>
                <w:b w:val="0"/>
                <w:kern w:val="0"/>
                <w:sz w:val="24"/>
                <w14:ligatures w14:val="none"/>
              </w:rPr>
              <w:t>Длительный цикл принятия решения о лечении</w:t>
            </w:r>
          </w:p>
        </w:tc>
        <w:tc>
          <w:tcPr>
            <w:tcW w:w="2338" w:type="dxa"/>
          </w:tcPr>
          <w:p w14:paraId="76D86F49">
            <w:pPr>
              <w:spacing w:before="0" w:after="0" w:line="240" w:lineRule="auto"/>
              <w:ind w:firstLine="0"/>
              <w:jc w:val="both"/>
              <w:rPr>
                <w:kern w:val="0"/>
                <w14:ligatures w14:val="none"/>
              </w:rPr>
            </w:pPr>
            <w:r>
              <w:rPr>
                <w:rFonts w:ascii="Times New Roman" w:hAnsi="Times New Roman"/>
                <w:b w:val="0"/>
                <w:kern w:val="0"/>
                <w:sz w:val="24"/>
                <w14:ligatures w14:val="none"/>
              </w:rPr>
              <w:t>Поведенческий и структурный барьеры: пациент «выходит» из воронки в промежутке между первым контактом и записью. Отсутствие триггерных коммуникаций снижает частоту профилактических визитов; зависимость от телефонного канала создаёт операционный риск потери пациента при недоступности регистратуры.</w:t>
            </w:r>
          </w:p>
        </w:tc>
        <w:tc>
          <w:tcPr>
            <w:tcW w:w="2338" w:type="dxa"/>
          </w:tcPr>
          <w:p w14:paraId="2E11DEB8">
            <w:pPr>
              <w:spacing w:before="0" w:after="0" w:line="240" w:lineRule="auto"/>
              <w:ind w:firstLine="0"/>
              <w:jc w:val="both"/>
              <w:rPr>
                <w:kern w:val="0"/>
                <w14:ligatures w14:val="none"/>
              </w:rPr>
            </w:pPr>
            <w:r>
              <w:rPr>
                <w:rFonts w:ascii="Times New Roman" w:hAnsi="Times New Roman"/>
                <w:b w:val="0"/>
                <w:kern w:val="0"/>
                <w:sz w:val="24"/>
                <w14:ligatures w14:val="none"/>
              </w:rPr>
              <w:t>Онлайн-запись без звонка (FR-01); триггерные push-уведомления для напоминания о профилактике (FR-02); мессенджеры и чат-боты на каждом этапе воронки; омниканальный доступ через мобильное приложение, агрегаторы и веб-сайт.</w:t>
            </w:r>
          </w:p>
        </w:tc>
        <w:tc>
          <w:tcPr>
            <w:tcW w:w="2338" w:type="dxa"/>
          </w:tcPr>
          <w:p w14:paraId="3416FE52">
            <w:pPr>
              <w:spacing w:before="0" w:after="0" w:line="240" w:lineRule="auto"/>
              <w:ind w:firstLine="0"/>
              <w:jc w:val="both"/>
              <w:rPr>
                <w:kern w:val="0"/>
                <w14:ligatures w14:val="none"/>
              </w:rPr>
            </w:pPr>
            <w:r>
              <w:rPr>
                <w:rFonts w:ascii="Times New Roman" w:hAnsi="Times New Roman"/>
                <w:b w:val="0"/>
                <w:kern w:val="0"/>
                <w:sz w:val="24"/>
                <w14:ligatures w14:val="none"/>
              </w:rPr>
              <w:t>Снижение частоты профилактических визитов (поведенческий барьер, стадия «Удержание»); зависимость от единственного канала записи (операционный риск, все стадии); низкая конверсия первичного трафика (сервисный барьер, стадия «Привлечение»); см. проявления в таблице 13.</w:t>
            </w:r>
          </w:p>
        </w:tc>
      </w:tr>
    </w:tbl>
    <w:p w14:paraId="249AE108">
      <w:pPr>
        <w:spacing w:before="0" w:after="0"/>
        <w:ind w:firstLine="709"/>
        <w:jc w:val="both"/>
      </w:pPr>
      <w:r>
        <w:rPr>
          <w:rFonts w:ascii="Times New Roman" w:hAnsi="Times New Roman"/>
          <w:b/>
          <w:sz w:val="28"/>
        </w:rPr>
        <w:t>Гипотезы исследования</w:t>
      </w:r>
    </w:p>
    <w:p w14:paraId="55DF76B2">
      <w:pPr>
        <w:spacing w:before="0" w:after="0"/>
        <w:ind w:firstLine="709"/>
        <w:jc w:val="both"/>
      </w:pPr>
      <w:r>
        <w:rPr>
          <w:rFonts w:ascii="Times New Roman" w:hAnsi="Times New Roman"/>
          <w:b w:val="0"/>
          <w:sz w:val="28"/>
        </w:rPr>
        <w:t>На основании проведённого теоретического анализа сформулированы три проверяемые гипотезы, охватывающие ключевые точки трения пути пациента.</w:t>
      </w:r>
    </w:p>
    <w:p w14:paraId="0A83566D">
      <w:pPr>
        <w:spacing w:before="0" w:after="0"/>
        <w:ind w:firstLine="709"/>
        <w:jc w:val="both"/>
      </w:pPr>
      <w:r>
        <w:rPr>
          <w:rFonts w:ascii="Times New Roman" w:hAnsi="Times New Roman"/>
          <w:b w:val="0"/>
          <w:sz w:val="28"/>
        </w:rPr>
        <w:t>Г1. Замена заявки и телефонного звонка на прямую онлайн-запись повышает конверсию первичного трафика в подтверждённую запись (проверяется A/B-тестом в главе 2).</w:t>
      </w:r>
    </w:p>
    <w:p w14:paraId="61C9C0DB">
      <w:pPr>
        <w:spacing w:before="0" w:after="0"/>
        <w:ind w:firstLine="709"/>
        <w:jc w:val="both"/>
      </w:pPr>
      <w:r>
        <w:rPr>
          <w:rFonts w:ascii="Times New Roman" w:hAnsi="Times New Roman"/>
          <w:b w:val="0"/>
          <w:sz w:val="28"/>
        </w:rPr>
        <w:t>Г2. Автоматические SMS- и push-напоминания снижают долю неявок на записанные приёмы (проверяется по эмпирическим оценкам, Таблица 7).</w:t>
      </w:r>
    </w:p>
    <w:p w14:paraId="1AC07D88">
      <w:pPr>
        <w:spacing w:before="0" w:after="0"/>
        <w:ind w:firstLine="709"/>
        <w:jc w:val="both"/>
      </w:pPr>
      <w:r>
        <w:rPr>
          <w:rFonts w:ascii="Times New Roman" w:hAnsi="Times New Roman"/>
          <w:b w:val="0"/>
          <w:sz w:val="28"/>
        </w:rPr>
        <w:t>Г3. Единый цифровой профиль пациента и замкнутый контур цифровых коммуникаций повышают удержание пациентской базы (прогнозная гипотеза, валидируется в ходе пилотного внедрения).</w:t>
      </w:r>
    </w:p>
    <w:p w14:paraId="6ACAFE0E">
      <w:pPr>
        <w:pStyle w:val="2"/>
        <w:pageBreakBefore/>
        <w:spacing w:before="0" w:after="0"/>
        <w:ind w:firstLine="709"/>
        <w:jc w:val="both"/>
        <w:rPr>
          <w:rFonts w:ascii="Times New Roman" w:hAnsi="Times New Roman" w:cs="Times New Roman"/>
          <w:b/>
          <w:bCs/>
          <w:sz w:val="28"/>
          <w:szCs w:val="28"/>
        </w:rPr>
      </w:pPr>
      <w:bookmarkStart w:id="11" w:name="_Toc1449962099"/>
      <w:r>
        <w:rPr>
          <w:rFonts w:ascii="Times New Roman" w:hAnsi="Times New Roman" w:cs="Times New Roman"/>
          <w:b/>
          <w:bCs/>
          <w:sz w:val="28"/>
          <w:szCs w:val="28"/>
        </w:rPr>
        <w:t>2 АНАЛИЗ СТОМАТОЛОГИЧЕСКОЙ КЛИНИКИ И ОБОСНОВАНИЕ СТРАТЕГИИ ПРИВЛЕЧЕНИЯ И УДЕРЖАНИЯ КЛИЕНТОВ</w:t>
      </w:r>
      <w:bookmarkEnd w:id="11"/>
    </w:p>
    <w:p w14:paraId="226BEE06">
      <w:pPr>
        <w:pStyle w:val="3"/>
        <w:spacing w:before="0" w:after="0"/>
        <w:ind w:firstLine="709"/>
        <w:jc w:val="both"/>
        <w:rPr>
          <w:rFonts w:ascii="Times New Roman" w:hAnsi="Times New Roman" w:cs="Times New Roman"/>
          <w:b/>
          <w:bCs/>
          <w:sz w:val="28"/>
          <w:szCs w:val="28"/>
        </w:rPr>
      </w:pPr>
      <w:bookmarkStart w:id="12" w:name="_Toc2016055384"/>
      <w:r>
        <w:rPr>
          <w:rFonts w:ascii="Times New Roman" w:hAnsi="Times New Roman" w:cs="Times New Roman"/>
          <w:b/>
          <w:bCs/>
          <w:sz w:val="28"/>
          <w:szCs w:val="28"/>
        </w:rPr>
        <w:t>2.1 Анализ динамики медицинской отрасли в маркетинге и коммуникациях клиник с пациентами</w:t>
      </w:r>
      <w:bookmarkEnd w:id="12"/>
    </w:p>
    <w:p w14:paraId="35031638">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Для оценки текущей ситуации на рынке, методом кабинетного исследования были проанализированы коммуникации клиник с пациентами по таким каналам как звонки, чаты, заявки и письма. Данное исследование охватывает 2400 клиник и 24.9 млн. обращений пациентов, и направлено на получение информации по следующим аспектам:</w:t>
      </w:r>
    </w:p>
    <w:p w14:paraId="57C4660C">
      <w:pPr>
        <w:pStyle w:val="151"/>
        <w:numPr>
          <w:ilvl w:val="0"/>
          <w:numId w:val="21"/>
        </w:numPr>
        <w:spacing w:before="0"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основной канал привлечения пациентов в клиниках на сегодняшний день;</w:t>
      </w:r>
    </w:p>
    <w:p w14:paraId="2C0D962B">
      <w:pPr>
        <w:pStyle w:val="151"/>
        <w:numPr>
          <w:ilvl w:val="0"/>
          <w:numId w:val="21"/>
        </w:numPr>
        <w:spacing w:before="0"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точки концентрации первичного трафика и главный источник повторных обращений; </w:t>
      </w:r>
    </w:p>
    <w:p w14:paraId="22ECCD25">
      <w:pPr>
        <w:pStyle w:val="151"/>
        <w:numPr>
          <w:ilvl w:val="0"/>
          <w:numId w:val="21"/>
        </w:numPr>
        <w:spacing w:before="0"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динамика изменения форматов общения с пациентами и градация записей на мобильных и десктопных устройствах и посредством звонков и онлайн-формата.  </w:t>
      </w:r>
    </w:p>
    <w:p w14:paraId="63CD0AB9">
      <w:pPr>
        <w:spacing w:before="0" w:after="0"/>
        <w:jc w:val="both"/>
        <w:rPr>
          <w:rFonts w:ascii="Times New Roman" w:hAnsi="Times New Roman" w:cs="Times New Roman"/>
          <w:b/>
          <w:bCs/>
          <w:sz w:val="28"/>
          <w:szCs w:val="28"/>
        </w:rPr>
      </w:pPr>
      <w:r>
        <w:drawing>
          <wp:inline distT="0" distB="0" distL="0" distR="0">
            <wp:extent cx="6120130" cy="298323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20130" cy="2983230"/>
                    </a:xfrm>
                    <a:prstGeom prst="rect">
                      <a:avLst/>
                    </a:prstGeom>
                    <a:noFill/>
                    <a:ln>
                      <a:noFill/>
                    </a:ln>
                  </pic:spPr>
                </pic:pic>
              </a:graphicData>
            </a:graphic>
          </wp:inline>
        </w:drawing>
      </w:r>
    </w:p>
    <w:p w14:paraId="11E3F8AA">
      <w:pPr>
        <w:spacing w:before="0" w:after="0"/>
        <w:jc w:val="center"/>
        <w:rPr>
          <w:rFonts w:ascii="Times New Roman" w:hAnsi="Times New Roman" w:cs="Times New Roman"/>
          <w:sz w:val="28"/>
          <w:szCs w:val="28"/>
        </w:rPr>
      </w:pPr>
      <w:r>
        <w:rPr>
          <w:rFonts w:ascii="Times New Roman" w:hAnsi="Times New Roman" w:cs="Times New Roman"/>
          <w:sz w:val="28"/>
          <w:szCs w:val="28"/>
        </w:rPr>
        <w:t>Рисунок 1 — Трафик на сайты клиник [48]</w:t>
      </w:r>
    </w:p>
    <w:p w14:paraId="3C8729ED">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За прошедший год количество визитов на сайты медицинских учреждений со стороны потенциальных пациентов увеличилось на 25%, при этом мобильный трафик показал чуть более высокий темп – плюс 28%.</w:t>
      </w:r>
    </w:p>
    <w:p w14:paraId="18F649BC">
      <w:pPr>
        <w:spacing w:before="0" w:after="0" w:line="360" w:lineRule="auto"/>
        <w:ind w:firstLine="709"/>
        <w:jc w:val="both"/>
        <w:rPr>
          <w:rFonts w:ascii="Times New Roman" w:hAnsi="Times New Roman" w:cs="Times New Roman"/>
          <w:sz w:val="28"/>
          <w:szCs w:val="28"/>
        </w:rPr>
      </w:pPr>
      <w:r>
        <w:drawing>
          <wp:anchor distT="0" distB="0" distL="114300" distR="114300" simplePos="0" relativeHeight="251660288" behindDoc="0" locked="0" layoutInCell="1" allowOverlap="1">
            <wp:simplePos x="0" y="0"/>
            <wp:positionH relativeFrom="margin">
              <wp:align>right</wp:align>
            </wp:positionH>
            <wp:positionV relativeFrom="paragraph">
              <wp:posOffset>314960</wp:posOffset>
            </wp:positionV>
            <wp:extent cx="6120130" cy="3006725"/>
            <wp:effectExtent l="0" t="0" r="0" b="317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20130" cy="3006725"/>
                    </a:xfrm>
                    <a:prstGeom prst="rect">
                      <a:avLst/>
                    </a:prstGeom>
                    <a:noFill/>
                    <a:ln>
                      <a:noFill/>
                    </a:ln>
                  </pic:spPr>
                </pic:pic>
              </a:graphicData>
            </a:graphic>
          </wp:anchor>
        </w:drawing>
      </w:r>
    </w:p>
    <w:p w14:paraId="6DE3574A">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Приоритетные способы коммуникации пациентов [48]</w:t>
      </w:r>
    </w:p>
    <w:p w14:paraId="5A2C9251">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 xml:space="preserve">Если анализировать общий поток обращений в клиники, без разделения на первичную и повторную коммуникацию, основным каналом связи на текущий момент по-прежнему выступают телефонные звонки. Однако при детальном рассмотрении статистики в разрезе первичных и повторных обращений ситуация меняется: среди первичных коммуникаций лидируют чаты и заявки. </w:t>
      </w:r>
    </w:p>
    <w:p w14:paraId="535E4B01">
      <w:pPr>
        <w:spacing w:before="0" w:after="0" w:line="360" w:lineRule="auto"/>
        <w:jc w:val="both"/>
        <w:rPr>
          <w:rFonts w:ascii="Times New Roman" w:hAnsi="Times New Roman" w:cs="Times New Roman"/>
          <w:sz w:val="28"/>
          <w:szCs w:val="28"/>
        </w:rPr>
      </w:pPr>
      <w:r>
        <w:drawing>
          <wp:anchor distT="0" distB="0" distL="114300" distR="114300" simplePos="0" relativeHeight="251661312" behindDoc="0" locked="0" layoutInCell="1" allowOverlap="1">
            <wp:simplePos x="0" y="0"/>
            <wp:positionH relativeFrom="margin">
              <wp:align>center</wp:align>
            </wp:positionH>
            <wp:positionV relativeFrom="paragraph">
              <wp:posOffset>86360</wp:posOffset>
            </wp:positionV>
            <wp:extent cx="5226050" cy="3440430"/>
            <wp:effectExtent l="0" t="0" r="0" b="762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26050" cy="3440430"/>
                    </a:xfrm>
                    <a:prstGeom prst="rect">
                      <a:avLst/>
                    </a:prstGeom>
                    <a:noFill/>
                    <a:ln>
                      <a:noFill/>
                    </a:ln>
                  </pic:spPr>
                </pic:pic>
              </a:graphicData>
            </a:graphic>
          </wp:anchor>
        </w:drawing>
      </w:r>
    </w:p>
    <w:p w14:paraId="4C408324">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Основные типы коммуникаций при первичном обращении [48]</w:t>
      </w:r>
    </w:p>
    <w:p w14:paraId="7DBEA691">
      <w:pPr>
        <w:spacing w:before="0" w:after="0"/>
        <w:ind w:firstLine="709"/>
        <w:jc w:val="both"/>
        <w:rPr>
          <w:rFonts w:ascii="Times New Roman" w:hAnsi="Times New Roman" w:cs="Times New Roman"/>
          <w:sz w:val="28"/>
          <w:szCs w:val="28"/>
        </w:rPr>
      </w:pPr>
      <w:r>
        <w:drawing>
          <wp:anchor distT="0" distB="0" distL="114300" distR="114300" simplePos="0" relativeHeight="251662336" behindDoc="0" locked="0" layoutInCell="1" allowOverlap="1">
            <wp:simplePos x="0" y="0"/>
            <wp:positionH relativeFrom="margin">
              <wp:align>center</wp:align>
            </wp:positionH>
            <wp:positionV relativeFrom="paragraph">
              <wp:posOffset>626745</wp:posOffset>
            </wp:positionV>
            <wp:extent cx="5320665" cy="374205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20665" cy="3742055"/>
                    </a:xfrm>
                    <a:prstGeom prst="rect">
                      <a:avLst/>
                    </a:prstGeom>
                    <a:noFill/>
                    <a:ln>
                      <a:noFill/>
                    </a:ln>
                  </pic:spPr>
                </pic:pic>
              </a:graphicData>
            </a:graphic>
          </wp:anchor>
        </w:drawing>
      </w:r>
      <w:r>
        <w:rPr>
          <w:rFonts w:ascii="Times New Roman" w:hAnsi="Times New Roman" w:cs="Times New Roman"/>
          <w:sz w:val="28"/>
          <w:szCs w:val="28"/>
        </w:rPr>
        <w:t>Звонки становятся основным каналом только для вторичных коммуникаций.</w:t>
      </w:r>
    </w:p>
    <w:p w14:paraId="17A04322">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Основные типы коммуникаций при вторичном обращении [48]</w:t>
      </w:r>
    </w:p>
    <w:p w14:paraId="71CB9CC5">
      <w:pPr>
        <w:spacing w:before="0" w:after="0"/>
        <w:ind w:firstLine="709"/>
        <w:jc w:val="both"/>
        <w:rPr>
          <w:rFonts w:ascii="Times New Roman" w:hAnsi="Times New Roman" w:cs="Times New Roman"/>
          <w:sz w:val="28"/>
          <w:szCs w:val="28"/>
        </w:rPr>
      </w:pPr>
      <w:r>
        <w:drawing>
          <wp:anchor distT="0" distB="0" distL="114300" distR="114300" simplePos="0" relativeHeight="251663360" behindDoc="0" locked="0" layoutInCell="1" allowOverlap="1">
            <wp:simplePos x="0" y="0"/>
            <wp:positionH relativeFrom="margin">
              <wp:align>right</wp:align>
            </wp:positionH>
            <wp:positionV relativeFrom="paragraph">
              <wp:posOffset>327660</wp:posOffset>
            </wp:positionV>
            <wp:extent cx="6120130" cy="2967990"/>
            <wp:effectExtent l="0" t="0" r="0" b="4445"/>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20130" cy="2967924"/>
                    </a:xfrm>
                    <a:prstGeom prst="rect">
                      <a:avLst/>
                    </a:prstGeom>
                    <a:noFill/>
                    <a:ln>
                      <a:noFill/>
                    </a:ln>
                  </pic:spPr>
                </pic:pic>
              </a:graphicData>
            </a:graphic>
          </wp:anchor>
        </w:drawing>
      </w:r>
      <w:r>
        <w:rPr>
          <w:rFonts w:ascii="Times New Roman" w:hAnsi="Times New Roman" w:cs="Times New Roman"/>
          <w:sz w:val="28"/>
          <w:szCs w:val="28"/>
        </w:rPr>
        <w:t xml:space="preserve">При этом рост числа коммуникаций через чаты увеличивается. </w:t>
      </w:r>
    </w:p>
    <w:p w14:paraId="7CA22056">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Коммуникация пациентов через чаты [48]</w:t>
      </w:r>
    </w:p>
    <w:p w14:paraId="39646FAD">
      <w:pPr>
        <w:spacing w:before="0" w:after="0"/>
        <w:ind w:firstLine="709"/>
        <w:jc w:val="both"/>
        <w:rPr>
          <w:rFonts w:ascii="Times New Roman" w:hAnsi="Times New Roman" w:cs="Times New Roman"/>
          <w:sz w:val="28"/>
          <w:szCs w:val="28"/>
        </w:rPr>
      </w:pPr>
      <w:r>
        <w:drawing>
          <wp:anchor distT="0" distB="0" distL="114300" distR="114300" simplePos="0" relativeHeight="251664384" behindDoc="0" locked="0" layoutInCell="1" allowOverlap="1">
            <wp:simplePos x="0" y="0"/>
            <wp:positionH relativeFrom="margin">
              <wp:align>right</wp:align>
            </wp:positionH>
            <wp:positionV relativeFrom="paragraph">
              <wp:posOffset>328930</wp:posOffset>
            </wp:positionV>
            <wp:extent cx="6120130" cy="3056890"/>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120130" cy="3056890"/>
                    </a:xfrm>
                    <a:prstGeom prst="rect">
                      <a:avLst/>
                    </a:prstGeom>
                    <a:noFill/>
                    <a:ln>
                      <a:noFill/>
                    </a:ln>
                  </pic:spPr>
                </pic:pic>
              </a:graphicData>
            </a:graphic>
          </wp:anchor>
        </w:drawing>
      </w:r>
      <w:r>
        <w:rPr>
          <w:rFonts w:ascii="Times New Roman" w:hAnsi="Times New Roman" w:cs="Times New Roman"/>
          <w:sz w:val="28"/>
          <w:szCs w:val="28"/>
        </w:rPr>
        <w:t xml:space="preserve">Также растёт число коммуникаций посредством заявок. </w:t>
      </w:r>
    </w:p>
    <w:p w14:paraId="728CCE34">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6 — Коммуникация пациентов через заявки [48]</w:t>
      </w:r>
    </w:p>
    <w:p w14:paraId="054FE325">
      <w:pPr>
        <w:spacing w:before="0" w:after="0"/>
        <w:ind w:firstLine="709"/>
        <w:jc w:val="both"/>
      </w:pPr>
      <w:r>
        <w:rPr>
          <w:rFonts w:ascii="Times New Roman" w:hAnsi="Times New Roman"/>
          <w:b w:val="0"/>
          <w:sz w:val="28"/>
        </w:rPr>
        <w:t>График показывает динамику коммуникаций через веб-заявки на сайтах клиник. Канал заявок демонстрирует устойчивый прирост, дополняя чаты как альтернативу телефонному звонку. Рост доли заявок отражает готовность пациентов к асинхронному взаимодействию с клиникой и создаёт предпосылки для самозаписи через мобильное приложение.</w:t>
      </w:r>
    </w:p>
    <w:p w14:paraId="0AEFAB48">
      <w:pPr>
        <w:spacing w:before="0" w:after="0"/>
        <w:ind w:firstLine="709"/>
        <w:jc w:val="both"/>
        <w:rPr>
          <w:rFonts w:ascii="Times New Roman" w:hAnsi="Times New Roman" w:cs="Times New Roman"/>
          <w:sz w:val="28"/>
          <w:szCs w:val="28"/>
        </w:rPr>
      </w:pPr>
      <w:r>
        <w:drawing>
          <wp:anchor distT="0" distB="0" distL="114300" distR="114300" simplePos="0" relativeHeight="251665408" behindDoc="0" locked="0" layoutInCell="1" allowOverlap="1">
            <wp:simplePos x="0" y="0"/>
            <wp:positionH relativeFrom="margin">
              <wp:align>right</wp:align>
            </wp:positionH>
            <wp:positionV relativeFrom="paragraph">
              <wp:posOffset>607060</wp:posOffset>
            </wp:positionV>
            <wp:extent cx="6120130" cy="3175635"/>
            <wp:effectExtent l="0" t="0" r="0" b="635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20130" cy="3175592"/>
                    </a:xfrm>
                    <a:prstGeom prst="rect">
                      <a:avLst/>
                    </a:prstGeom>
                    <a:noFill/>
                    <a:ln>
                      <a:noFill/>
                    </a:ln>
                  </pic:spPr>
                </pic:pic>
              </a:graphicData>
            </a:graphic>
          </wp:anchor>
        </w:drawing>
      </w:r>
      <w:r>
        <w:rPr>
          <w:rFonts w:ascii="Times New Roman" w:hAnsi="Times New Roman" w:cs="Times New Roman"/>
          <w:sz w:val="28"/>
          <w:szCs w:val="28"/>
        </w:rPr>
        <w:t xml:space="preserve">Динамика рынка медицинских услуг по затратам на рекламу представлена на рисунке 7.  </w:t>
      </w:r>
    </w:p>
    <w:p w14:paraId="11A8AD37">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7 — Затраты на рекламу [48]</w:t>
      </w:r>
    </w:p>
    <w:p w14:paraId="73B7E3FC">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 xml:space="preserve">Анализ рыночной динамики фиксирует устойчивый рост рекламных инвестиций в секторе медицинского маркетинга – за год совокупные расходы увеличились на 23,6%. Одновременно наблюдается удорожание единицы коммуникации: средняя стоимость заявки и звонка повысилась на 25%, что отражает усиление аукционной конкуренции и рост ставок. При этом выделяется повторяющаяся сезонная аномалия в феврале, проявляющаяся в сокращении маркетинговых бюджетов. Январь и февраль для медицинских организаций являются периодом налоговых расчётов, закрытия годовых балансов и пересмотра стратегий, что приводит к временной консолидации бюджетов. Параллельно снижается пациентская активность: после декабрьского пика спрос занижен, формируются отложенные визиты.  В сегменте малых клиник эта пауза выражена ярче – в российской практике циклы деловой активности традиционно синхронизированы с календарным годом и сентябрьским подъёмом, отчего детальное планирование на будущий год часто смещается на январь-февраль, а маркетинговые затраты в начале года оказываются ниже. </w:t>
      </w:r>
    </w:p>
    <w:p w14:paraId="7EEC7BDC">
      <w:pPr>
        <w:spacing w:before="0" w:after="0"/>
        <w:ind w:firstLine="709"/>
        <w:jc w:val="both"/>
        <w:rPr>
          <w:rFonts w:ascii="Times New Roman" w:hAnsi="Times New Roman" w:cs="Times New Roman"/>
          <w:sz w:val="28"/>
          <w:szCs w:val="28"/>
        </w:rPr>
      </w:pPr>
      <w:r>
        <w:drawing>
          <wp:anchor distT="0" distB="0" distL="114300" distR="114300" simplePos="0" relativeHeight="251666432" behindDoc="0" locked="0" layoutInCell="1" allowOverlap="1">
            <wp:simplePos x="0" y="0"/>
            <wp:positionH relativeFrom="margin">
              <wp:posOffset>-25400</wp:posOffset>
            </wp:positionH>
            <wp:positionV relativeFrom="paragraph">
              <wp:posOffset>930910</wp:posOffset>
            </wp:positionV>
            <wp:extent cx="6120130" cy="324485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20130" cy="3245132"/>
                    </a:xfrm>
                    <a:prstGeom prst="rect">
                      <a:avLst/>
                    </a:prstGeom>
                    <a:noFill/>
                    <a:ln>
                      <a:noFill/>
                    </a:ln>
                  </pic:spPr>
                </pic:pic>
              </a:graphicData>
            </a:graphic>
          </wp:anchor>
        </w:drawing>
      </w:r>
      <w:r>
        <w:rPr>
          <w:rFonts w:ascii="Times New Roman" w:hAnsi="Times New Roman" w:cs="Times New Roman"/>
          <w:sz w:val="28"/>
          <w:szCs w:val="28"/>
        </w:rPr>
        <w:t xml:space="preserve">Основной поток первичных обращений поступает через социальные сети и мессенджеры, а медицинские классифайды начинают доминировать, когда речь заходит о повторных визитах пациентов. </w:t>
      </w:r>
    </w:p>
    <w:p w14:paraId="656421B6">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 — Процент первичных и вторичных обращений по способам коммуникации [48]</w:t>
      </w:r>
    </w:p>
    <w:p w14:paraId="7B03A3AA">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 xml:space="preserve">Агрегаторы и экосистемы отзывов выступают преимущественно точкой первого входа для потенциальных пациентов: возможность быстрого сравнения карточек организаций, оценки уникальных торговых предложений, стоимости, локации и репутационных характеристик формирует первичный интерес. Впоследствии, при повторных визитах, пациенты уже используют прямые маршруты – брендовый поиск или сайт клиники. Инструменты социальных сетей и мессенджеров демонстрируют наибольшую эффективность именно в привлечении новых обращений, однако их ценность не ограничивается первичным этапом: фиксируется и высокая доля повторных коммуникаций, поскольку текстовые каналы позволяют избегать телефонных звонков, уходящих на второй план. Важно отметить, что медицинские классифайды, влияя на принятие решений, часто направляют последующий запрос пациента в мессенджер, усиливая тем самым конверсионный путь. </w:t>
      </w:r>
    </w:p>
    <w:p w14:paraId="58BC969F">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 xml:space="preserve">Контекстная реклама, напротив, генерирует преимущественно повторные обращения, превышая по их числу первичные. Это обусловлено тем, что значительная часть трафика формируется брендовыми запросами: пациенты, уже знакомые с клиникой, вводят её название в поиске и переходят по рекламному объявлению. </w:t>
      </w:r>
    </w:p>
    <w:p w14:paraId="1C729B59">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структуру инвестиций в российское цифровое здравоохранение за период 2014–2026 гг. </w:t>
      </w:r>
    </w:p>
    <w:p w14:paraId="0871B64C">
      <w:pPr>
        <w:spacing w:before="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67456" behindDoc="0" locked="0" layoutInCell="1" allowOverlap="1">
            <wp:simplePos x="0" y="0"/>
            <wp:positionH relativeFrom="margin">
              <wp:align>right</wp:align>
            </wp:positionH>
            <wp:positionV relativeFrom="paragraph">
              <wp:posOffset>267335</wp:posOffset>
            </wp:positionV>
            <wp:extent cx="6120130" cy="3176905"/>
            <wp:effectExtent l="0" t="0" r="0" b="4445"/>
            <wp:wrapSquare wrapText="bothSides"/>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20130" cy="3176905"/>
                    </a:xfrm>
                    <a:prstGeom prst="rect">
                      <a:avLst/>
                    </a:prstGeom>
                    <a:noFill/>
                    <a:ln>
                      <a:noFill/>
                    </a:ln>
                  </pic:spPr>
                </pic:pic>
              </a:graphicData>
            </a:graphic>
          </wp:anchor>
        </w:drawing>
      </w:r>
    </w:p>
    <w:p w14:paraId="29C834B6">
      <w:pPr>
        <w:spacing w:before="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 — Суммы инвестиций в разрезе секторов рынка [49]</w:t>
      </w:r>
    </w:p>
    <w:p w14:paraId="3563FAA1">
      <w:pPr>
        <w:spacing w:before="0" w:after="0"/>
        <w:ind w:firstLine="709"/>
        <w:jc w:val="both"/>
        <w:rPr>
          <w:rFonts w:ascii="Times New Roman" w:hAnsi="Times New Roman" w:cs="Times New Roman"/>
          <w:sz w:val="28"/>
          <w:szCs w:val="28"/>
        </w:rPr>
      </w:pPr>
      <w:r>
        <w:rPr>
          <w:rFonts w:ascii="Times New Roman" w:hAnsi="Times New Roman" w:cs="Times New Roman"/>
          <w:sz w:val="28"/>
          <w:szCs w:val="28"/>
        </w:rPr>
        <w:t xml:space="preserve">Сектор «Сервисы для пациентов» концентрирует 42% всех инвестиций, что почти в три раза превышает долю ближайших конкурентов. Это свидетельствует о зрелом тренде перехода от автоматизации внутренних процессов медицинских организаций к созданию экосистем, ориентированных непосредственно на конечного потребителя. Инвесторы видят максимальную капитализацию в решениях, обеспечивающих удобную запись, доступ к медицинским данным, дистанционный мониторинг и персонализированные рекомендации. Фактически, можно сказать, что главным бенефициаром цифровизации на рынке должен стать пациент. </w:t>
      </w:r>
    </w:p>
    <w:p w14:paraId="5083C468">
      <w:pPr>
        <w:pStyle w:val="3"/>
        <w:spacing w:before="0" w:after="0"/>
        <w:ind w:firstLine="709"/>
        <w:jc w:val="both"/>
        <w:rPr>
          <w:rFonts w:ascii="Times New Roman" w:hAnsi="Times New Roman" w:cs="Times New Roman"/>
          <w:sz w:val="28"/>
          <w:szCs w:val="28"/>
        </w:rPr>
      </w:pPr>
      <w:bookmarkStart w:id="13" w:name="_Toc845856522"/>
      <w:r>
        <w:rPr>
          <w:rFonts w:ascii="Times New Roman" w:hAnsi="Times New Roman" w:cs="Times New Roman"/>
          <w:b/>
          <w:sz w:val="28"/>
          <w:szCs w:val="28"/>
        </w:rPr>
        <w:t>2.2 Описание деятельности организации</w:t>
      </w:r>
      <w:bookmarkEnd w:id="13"/>
    </w:p>
    <w:p w14:paraId="727161C4">
      <w:pPr>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Организационная структура компании представлена на рисунке 10.</w:t>
      </w:r>
    </w:p>
    <w:p w14:paraId="02C09D9C">
      <w:pPr>
        <w:spacing w:before="0" w:after="0" w:line="360" w:lineRule="auto"/>
        <w:rPr>
          <w:rFonts w:ascii="Times New Roman" w:hAnsi="Times New Roman" w:eastAsia="Times New Roman" w:cs="Times New Roman"/>
          <w:kern w:val="0"/>
          <w:sz w:val="28"/>
          <w:szCs w:val="28"/>
          <w:lang w:eastAsia="ru-RU"/>
          <w14:ligatures w14:val="none"/>
        </w:rPr>
        <w:sectPr>
          <w:footerReference r:id="rId6" w:type="first"/>
          <w:footerReference r:id="rId5" w:type="default"/>
          <w:pgSz w:w="11906" w:h="16838"/>
          <w:pgMar w:top="1134" w:right="567" w:bottom="1134" w:left="1701" w:header="0" w:footer="567" w:gutter="0"/>
          <w:cols w:space="720" w:num="1"/>
          <w:titlePg/>
          <w:docGrid w:linePitch="326" w:charSpace="0"/>
        </w:sectPr>
      </w:pPr>
    </w:p>
    <w:p w14:paraId="326B1176">
      <w:pPr>
        <w:spacing w:before="0" w:after="0" w:line="360" w:lineRule="auto"/>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drawing>
          <wp:anchor distT="0" distB="0" distL="114300" distR="114300" simplePos="0" relativeHeight="251659264" behindDoc="0" locked="0" layoutInCell="1" allowOverlap="1">
            <wp:simplePos x="0" y="0"/>
            <wp:positionH relativeFrom="column">
              <wp:posOffset>-15875</wp:posOffset>
            </wp:positionH>
            <wp:positionV relativeFrom="paragraph">
              <wp:posOffset>310515</wp:posOffset>
            </wp:positionV>
            <wp:extent cx="9305925" cy="4018915"/>
            <wp:effectExtent l="0" t="0" r="9525" b="635"/>
            <wp:wrapSquare wrapText="bothSides"/>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9305925" cy="4018915"/>
                    </a:xfrm>
                    <a:prstGeom prst="rect">
                      <a:avLst/>
                    </a:prstGeom>
                    <a:noFill/>
                  </pic:spPr>
                </pic:pic>
              </a:graphicData>
            </a:graphic>
          </wp:anchor>
        </w:drawing>
      </w:r>
      <w:r>
        <w:rPr>
          <w:rFonts w:ascii="Times New Roman" w:hAnsi="Times New Roman" w:eastAsia="Times New Roman" w:cs="Times New Roman"/>
          <w:kern w:val="0"/>
          <w:sz w:val="28"/>
          <w:szCs w:val="28"/>
          <w:lang w:eastAsia="ru-RU"/>
          <w14:ligatures w14:val="none"/>
        </w:rPr>
        <w:t xml:space="preserve"> </w:t>
      </w:r>
    </w:p>
    <w:p w14:paraId="4AE50DC5">
      <w:pPr>
        <w:spacing w:before="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10 — Организационная структура компании</w:t>
      </w:r>
    </w:p>
    <w:p w14:paraId="504E1602">
      <w:pPr>
        <w:spacing w:before="0" w:after="0" w:line="360" w:lineRule="auto"/>
        <w:rPr>
          <w:rFonts w:ascii="Times New Roman" w:hAnsi="Times New Roman" w:eastAsia="Times New Roman" w:cs="Times New Roman"/>
          <w:kern w:val="0"/>
          <w:sz w:val="28"/>
          <w:szCs w:val="28"/>
          <w:lang w:eastAsia="ru-RU"/>
          <w14:ligatures w14:val="none"/>
        </w:rPr>
        <w:sectPr>
          <w:footerReference r:id="rId7" w:type="default"/>
          <w:pgSz w:w="16838" w:h="11906" w:orient="landscape"/>
          <w:pgMar w:top="1701" w:right="1134" w:bottom="567" w:left="1134" w:header="0" w:footer="567" w:gutter="0"/>
          <w:cols w:space="720" w:num="1"/>
        </w:sectPr>
      </w:pPr>
    </w:p>
    <w:p w14:paraId="10E86993">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Компания столкнулась со следующей управленческой проблемой: несоответствие текущей цепочки касаний (от первого контакта до повторного визита) ожиданиям клиентов в отношении удобства, прозрачности и контроля.</w:t>
      </w:r>
    </w:p>
    <w:p w14:paraId="50DD3419">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Наблюдаются следующие проявления:</w:t>
      </w:r>
    </w:p>
    <w:p w14:paraId="51248610">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низкий процент конверсии;</w:t>
      </w:r>
    </w:p>
    <w:p w14:paraId="0137EBA2">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рост количества неявок клиентов на запись;</w:t>
      </w:r>
    </w:p>
    <w:p w14:paraId="595754D5">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рост отказов от лечения из-за неоперативности и трудоемкости процесса переноса записи, создающего барьер для удержания пациента;</w:t>
      </w:r>
    </w:p>
    <w:p w14:paraId="065E44F4">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отток пациентов на этапе пост-диагностики вследствие невозможности удаленного предоставления плана лечения и отсутствия цифрового канала для последующих коммуникаций;</w:t>
      </w:r>
    </w:p>
    <w:p w14:paraId="6987EDD9">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увеличение операционной нагрузки на регистратуру и снижение удовлетворенности пациентов из-за отсутствия инструментов доступа к истории обращений;</w:t>
      </w:r>
    </w:p>
    <w:p w14:paraId="1EBC9A4A">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снижение частоты профилактических визитов и потеря регулярного потока пациентов из-за отсутствия автоматизированных триггерных коммуникаций;</w:t>
      </w:r>
    </w:p>
    <w:p w14:paraId="4477D768">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невозможность реализации программ ретаргетинга и повторных маркетинговых коммуникаций с аудиторией сайта и существующей базой по причине отсутствия идентифицированных цифровых контактов;</w:t>
      </w:r>
    </w:p>
    <w:p w14:paraId="448F9868">
      <w:pPr>
        <w:numPr>
          <w:ilvl w:val="0"/>
          <w:numId w:val="22"/>
        </w:numPr>
        <w:tabs>
          <w:tab w:val="left" w:pos="993"/>
        </w:tabs>
        <w:spacing w:before="0" w:after="0"/>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критическая зависимость бизнеса от единственного канала коммуникации, приводящая к полной остановке записи при его сбоях и создающая высокие операционные риски.</w:t>
      </w:r>
    </w:p>
    <w:p w14:paraId="083834FB">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Указанные явления связаны с изменением модели потребительского поведения в сторону digital-сервиса, а также с усилением конкуренции за лояльность пациентов, при которой отсутствие цифровой инфраструктуры напрямую трансформируется в операционные риски, рост стоимости привлечения и недополучение пожизненной ценности клиента (LTV). Как следствие, компания недополучает прибыль, и половина медицинских кресел простаивает. </w:t>
      </w:r>
    </w:p>
    <w:p w14:paraId="37427705">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Для того, чтобы выявить основные барьеры, с которыми сталкиваются пациенты в процессе записи на прием: </w:t>
      </w:r>
    </w:p>
    <w:p w14:paraId="288F1DC2">
      <w:pPr>
        <w:pStyle w:val="151"/>
        <w:numPr>
          <w:ilvl w:val="0"/>
          <w:numId w:val="23"/>
        </w:numPr>
        <w:tabs>
          <w:tab w:val="left" w:pos="993"/>
        </w:tabs>
        <w:spacing w:before="0" w:after="0" w:line="36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были проведены полуструктурированные интервью с клиентами;</w:t>
      </w:r>
    </w:p>
    <w:p w14:paraId="11590E1B">
      <w:pPr>
        <w:pStyle w:val="151"/>
        <w:numPr>
          <w:ilvl w:val="0"/>
          <w:numId w:val="23"/>
        </w:numPr>
        <w:tabs>
          <w:tab w:val="left" w:pos="993"/>
        </w:tabs>
        <w:spacing w:before="0" w:after="0" w:line="36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методом контент-анализа проанализированы отзывы пациентов. </w:t>
      </w:r>
    </w:p>
    <w:p w14:paraId="3BE97F23">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Результаты проведённого исследования включают в себя выборку из 62 человек и представлены в таблице 12. </w:t>
      </w:r>
    </w:p>
    <w:p w14:paraId="49C42E8E">
      <w:pPr>
        <w:tabs>
          <w:tab w:val="left" w:pos="993"/>
        </w:tabs>
        <w:spacing w:before="0" w:after="0" w:line="360" w:lineRule="auto"/>
        <w:contextualSpacing/>
        <w:jc w:val="both"/>
        <w:rPr>
          <w:rFonts w:ascii="Times New Roman" w:hAnsi="Times New Roman" w:eastAsia="Times New Roman" w:cs="Times New Roman"/>
          <w:sz w:val="28"/>
          <w:szCs w:val="28"/>
          <w:lang w:eastAsia="ru-RU"/>
        </w:rPr>
        <w:sectPr>
          <w:footerReference r:id="rId8" w:type="default"/>
          <w:pgSz w:w="11906" w:h="16838"/>
          <w:pgMar w:top="1134" w:right="850" w:bottom="1134" w:left="1701" w:header="708" w:footer="708" w:gutter="0"/>
          <w:cols w:space="708" w:num="1"/>
          <w:docGrid w:linePitch="360" w:charSpace="0"/>
        </w:sectPr>
      </w:pPr>
    </w:p>
    <w:p w14:paraId="7A88BBA2">
      <w:pPr>
        <w:spacing w:before="0" w:after="0"/>
        <w:jc w:val="left"/>
      </w:pPr>
      <w:r>
        <w:rPr>
          <w:rFonts w:ascii="Times New Roman" w:hAnsi="Times New Roman"/>
          <w:sz w:val="28"/>
        </w:rPr>
        <w:t>Таблица 12 — Тематическая сводка барьеров пути пациента по результатам интервью с пациентами</w:t>
      </w:r>
    </w:p>
    <w:tbl>
      <w:tblPr>
        <w:tblStyle w:val="36"/>
        <w:tblpPr w:leftFromText="180" w:rightFromText="180" w:vertAnchor="text" w:tblpY="40"/>
        <w:tblW w:w="14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4395"/>
        <w:gridCol w:w="4252"/>
        <w:gridCol w:w="2835"/>
      </w:tblGrid>
      <w:tr w14:paraId="22C74D9D">
        <w:tc>
          <w:tcPr>
            <w:tcW w:w="3397" w:type="dxa"/>
          </w:tcPr>
          <w:p w14:paraId="5A5E4A85">
            <w:pPr>
              <w:tabs>
                <w:tab w:val="left" w:pos="993"/>
              </w:tabs>
              <w:spacing w:before="0" w:after="0" w:line="240" w:lineRule="auto"/>
              <w:ind w:firstLine="0"/>
              <w:contextualSpacing/>
              <w:jc w:val="both"/>
              <w:rPr>
                <w:rFonts w:ascii="Times New Roman" w:hAnsi="Times New Roman" w:eastAsia="Times New Roman" w:cs="Times New Roman"/>
                <w:b/>
                <w:bCs/>
                <w:kern w:val="0"/>
                <w:lang w:eastAsia="ru-RU"/>
                <w14:ligatures w14:val="none"/>
              </w:rPr>
            </w:pPr>
            <w:r>
              <w:rPr>
                <w:rFonts w:ascii="Times New Roman" w:hAnsi="Times New Roman" w:eastAsia="Times New Roman" w:cs="Times New Roman"/>
                <w:b/>
                <w:bCs/>
                <w:kern w:val="0"/>
                <w:sz w:val="24"/>
                <w:lang w:eastAsia="ru-RU"/>
                <w14:ligatures w14:val="none"/>
              </w:rPr>
              <w:t>Категория</w:t>
            </w:r>
          </w:p>
        </w:tc>
        <w:tc>
          <w:tcPr>
            <w:tcW w:w="4395" w:type="dxa"/>
          </w:tcPr>
          <w:p w14:paraId="6E5DB04C">
            <w:pPr>
              <w:tabs>
                <w:tab w:val="left" w:pos="993"/>
              </w:tabs>
              <w:spacing w:before="0" w:after="0" w:line="240" w:lineRule="auto"/>
              <w:ind w:firstLine="0"/>
              <w:contextualSpacing/>
              <w:jc w:val="both"/>
              <w:rPr>
                <w:rFonts w:ascii="Times New Roman" w:hAnsi="Times New Roman" w:eastAsia="Times New Roman" w:cs="Times New Roman"/>
                <w:b/>
                <w:bCs/>
                <w:kern w:val="0"/>
                <w:lang w:eastAsia="ru-RU"/>
                <w14:ligatures w14:val="none"/>
              </w:rPr>
            </w:pPr>
            <w:r>
              <w:rPr>
                <w:rFonts w:ascii="Times New Roman" w:hAnsi="Times New Roman" w:eastAsia="Times New Roman" w:cs="Times New Roman"/>
                <w:b/>
                <w:bCs/>
                <w:kern w:val="0"/>
                <w:sz w:val="24"/>
                <w:lang w:eastAsia="ru-RU"/>
                <w14:ligatures w14:val="none"/>
              </w:rPr>
              <w:t>Паттерны</w:t>
            </w:r>
          </w:p>
        </w:tc>
        <w:tc>
          <w:tcPr>
            <w:tcW w:w="4252" w:type="dxa"/>
          </w:tcPr>
          <w:p w14:paraId="1B41479A">
            <w:pPr>
              <w:tabs>
                <w:tab w:val="left" w:pos="993"/>
              </w:tabs>
              <w:spacing w:before="0" w:after="0" w:line="240" w:lineRule="auto"/>
              <w:ind w:firstLine="0"/>
              <w:contextualSpacing/>
              <w:jc w:val="both"/>
              <w:rPr>
                <w:rFonts w:ascii="Times New Roman" w:hAnsi="Times New Roman" w:eastAsia="Times New Roman" w:cs="Times New Roman"/>
                <w:b/>
                <w:bCs/>
                <w:kern w:val="0"/>
                <w:lang w:eastAsia="ru-RU"/>
                <w14:ligatures w14:val="none"/>
              </w:rPr>
            </w:pPr>
            <w:r>
              <w:rPr>
                <w:rFonts w:ascii="Times New Roman" w:hAnsi="Times New Roman" w:eastAsia="Times New Roman" w:cs="Times New Roman"/>
                <w:b/>
                <w:bCs/>
                <w:kern w:val="0"/>
                <w:sz w:val="24"/>
                <w:lang w:eastAsia="ru-RU"/>
                <w14:ligatures w14:val="none"/>
              </w:rPr>
              <w:t>Барьеры</w:t>
            </w:r>
          </w:p>
        </w:tc>
        <w:tc>
          <w:tcPr>
            <w:tcW w:w="2835" w:type="dxa"/>
          </w:tcPr>
          <w:p w14:paraId="32649951">
            <w:pPr>
              <w:tabs>
                <w:tab w:val="left" w:pos="993"/>
              </w:tabs>
              <w:spacing w:before="0" w:after="0" w:line="240" w:lineRule="auto"/>
              <w:ind w:firstLine="0"/>
              <w:contextualSpacing/>
              <w:jc w:val="both"/>
              <w:rPr>
                <w:rFonts w:ascii="Times New Roman" w:hAnsi="Times New Roman" w:eastAsia="Times New Roman" w:cs="Times New Roman"/>
                <w:b/>
                <w:bCs/>
                <w:kern w:val="0"/>
                <w:lang w:eastAsia="ru-RU"/>
                <w14:ligatures w14:val="none"/>
              </w:rPr>
            </w:pPr>
            <w:r>
              <w:rPr>
                <w:rFonts w:ascii="Times New Roman" w:hAnsi="Times New Roman" w:eastAsia="Times New Roman" w:cs="Times New Roman"/>
                <w:b/>
                <w:bCs/>
                <w:kern w:val="0"/>
                <w:sz w:val="24"/>
                <w:lang w:eastAsia="ru-RU"/>
                <w14:ligatures w14:val="none"/>
              </w:rPr>
              <w:t>Этап цепочки касаний</w:t>
            </w:r>
          </w:p>
        </w:tc>
      </w:tr>
      <w:tr w14:paraId="3973E52A">
        <w:tc>
          <w:tcPr>
            <w:tcW w:w="3397" w:type="dxa"/>
          </w:tcPr>
          <w:p w14:paraId="37C66F5D">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Ценовая политика и финансовое взаимодействие </w:t>
            </w:r>
          </w:p>
          <w:p w14:paraId="52F94A5D">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tc>
        <w:tc>
          <w:tcPr>
            <w:tcW w:w="4395" w:type="dxa"/>
          </w:tcPr>
          <w:p w14:paraId="4A228CC3">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1) увеличение стоимости лечения в процессе процедуры;</w:t>
            </w:r>
          </w:p>
          <w:p w14:paraId="24BC605A">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2) несогласование со страховой компанией с последующим отказом в лечении по ДМС;</w:t>
            </w:r>
          </w:p>
          <w:p w14:paraId="74608116">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3) </w:t>
            </w:r>
            <w:r>
              <w:rPr>
                <w:kern w:val="0"/>
                <w:sz w:val="24"/>
                <w14:ligatures w14:val="none"/>
              </w:rPr>
              <w:t xml:space="preserve"> </w:t>
            </w:r>
            <w:r>
              <w:rPr>
                <w:rFonts w:ascii="Times New Roman" w:hAnsi="Times New Roman" w:cs="Times New Roman"/>
                <w:kern w:val="0"/>
                <w:sz w:val="24"/>
                <w14:ligatures w14:val="none"/>
              </w:rPr>
              <w:t>н</w:t>
            </w:r>
            <w:r>
              <w:rPr>
                <w:rFonts w:ascii="Times New Roman" w:hAnsi="Times New Roman" w:eastAsia="Times New Roman" w:cs="Times New Roman"/>
                <w:kern w:val="0"/>
                <w:sz w:val="24"/>
                <w:lang w:eastAsia="ru-RU"/>
                <w14:ligatures w14:val="none"/>
              </w:rPr>
              <w:t>еполное информирование о дополнительных платных опциях (зашивание лунки, платный снимок) при телефонной консультации.</w:t>
            </w:r>
          </w:p>
          <w:p w14:paraId="2C2E2301">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tc>
        <w:tc>
          <w:tcPr>
            <w:tcW w:w="4252" w:type="dxa"/>
          </w:tcPr>
          <w:p w14:paraId="04BF9A2A">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1) изменение финансовых условий без предварительного информирования;</w:t>
            </w:r>
          </w:p>
          <w:p w14:paraId="4FD2A9A9">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2) отсутствие предварительного расчета стоимости.</w:t>
            </w:r>
          </w:p>
          <w:p w14:paraId="0101A932">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tc>
        <w:tc>
          <w:tcPr>
            <w:tcW w:w="2835" w:type="dxa"/>
          </w:tcPr>
          <w:p w14:paraId="37C48FBF">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Предварительный контакт</w:t>
            </w:r>
          </w:p>
        </w:tc>
      </w:tr>
      <w:tr w14:paraId="68D023CB">
        <w:tc>
          <w:tcPr>
            <w:tcW w:w="3397" w:type="dxa"/>
          </w:tcPr>
          <w:p w14:paraId="6FB8DB39">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Организационно-коммуникационные барьеры</w:t>
            </w:r>
          </w:p>
          <w:p w14:paraId="2E2B465D">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tc>
        <w:tc>
          <w:tcPr>
            <w:tcW w:w="4395" w:type="dxa"/>
          </w:tcPr>
          <w:p w14:paraId="524418F0">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1) невозможность дозвониться в рабочие часы/отсутствие ответного звонка на онлайн-заявку; </w:t>
            </w:r>
          </w:p>
          <w:p w14:paraId="696E848B">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2) спам-звонки после оставления номера телефона в заявке;</w:t>
            </w:r>
          </w:p>
          <w:p w14:paraId="1BBF6B47">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3) необходимость для пациента самостоятельно инициировать подтверждение приема и согласование лечения по ДМС; </w:t>
            </w:r>
          </w:p>
          <w:p w14:paraId="069EA416">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4) несоответствие заявленного врача фактическому на приеме;</w:t>
            </w:r>
          </w:p>
          <w:p w14:paraId="5AC2997F">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5) задержка времени начала приема относительно назначенного;</w:t>
            </w:r>
          </w:p>
          <w:p w14:paraId="4FEB37DD">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6) невозможность получить своевременную запись (ожидание до 2 недель);</w:t>
            </w:r>
          </w:p>
          <w:p w14:paraId="4D3729E9">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7) отмена приема клиникой без альтернативы в ближайшие дни.</w:t>
            </w:r>
          </w:p>
        </w:tc>
        <w:tc>
          <w:tcPr>
            <w:tcW w:w="4252" w:type="dxa"/>
          </w:tcPr>
          <w:p w14:paraId="073EE31B">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1) трудность дозвона и отсутствие обратной связи;</w:t>
            </w:r>
          </w:p>
          <w:p w14:paraId="2A2C0C91">
            <w:pPr>
              <w:tabs>
                <w:tab w:val="left" w:pos="993"/>
              </w:tabs>
              <w:spacing w:before="0" w:after="0" w:line="240" w:lineRule="auto"/>
              <w:ind w:firstLine="0"/>
              <w:contextualSpacing/>
              <w:jc w:val="both"/>
              <w:rPr>
                <w:rFonts w:ascii="Times New Roman" w:hAnsi="Times New Roman" w:eastAsia="Times New Roman" w:cs="Times New Roman"/>
                <w:b/>
                <w:bCs/>
                <w:kern w:val="0"/>
                <w:lang w:eastAsia="ru-RU"/>
                <w14:ligatures w14:val="none"/>
              </w:rPr>
            </w:pPr>
            <w:r>
              <w:rPr>
                <w:rFonts w:ascii="Times New Roman" w:hAnsi="Times New Roman" w:eastAsia="Times New Roman" w:cs="Times New Roman"/>
                <w:kern w:val="0"/>
                <w:sz w:val="24"/>
                <w:lang w:eastAsia="ru-RU"/>
                <w14:ligatures w14:val="none"/>
              </w:rPr>
              <w:t>2) отсутствие проактивного клиентского сервиса (пациент вынужден брать на себя функции администратора, чтобы получить услугу);</w:t>
            </w:r>
            <w:r>
              <w:rPr>
                <w:rFonts w:ascii="Times New Roman" w:hAnsi="Times New Roman" w:eastAsia="Times New Roman" w:cs="Times New Roman"/>
                <w:b/>
                <w:bCs/>
                <w:kern w:val="0"/>
                <w:sz w:val="24"/>
                <w:lang w:eastAsia="ru-RU"/>
                <w14:ligatures w14:val="none"/>
              </w:rPr>
              <w:t xml:space="preserve"> </w:t>
            </w:r>
          </w:p>
          <w:p w14:paraId="6AA358B6">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3) смена врача без уведомления и неподтвержденный статус записи;</w:t>
            </w:r>
          </w:p>
          <w:p w14:paraId="584FBE76">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4) отсутствие цифровых каналов связи для сформированной базы клиентов.</w:t>
            </w:r>
          </w:p>
        </w:tc>
        <w:tc>
          <w:tcPr>
            <w:tcW w:w="2835" w:type="dxa"/>
          </w:tcPr>
          <w:p w14:paraId="064AA783">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Этап записи и ожидания приёма </w:t>
            </w:r>
          </w:p>
        </w:tc>
      </w:tr>
      <w:tr w14:paraId="41A7D0B1">
        <w:tc>
          <w:tcPr>
            <w:tcW w:w="3397" w:type="dxa"/>
          </w:tcPr>
          <w:p w14:paraId="630FED36">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Пост-клиническое сопровождение </w:t>
            </w:r>
          </w:p>
          <w:p w14:paraId="13FA2041">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tc>
        <w:tc>
          <w:tcPr>
            <w:tcW w:w="4395" w:type="dxa"/>
          </w:tcPr>
          <w:p w14:paraId="7A864AED">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1) отсутствие приглашения на повторный профилактический осмотр после сложной процедуры;</w:t>
            </w:r>
          </w:p>
          <w:p w14:paraId="0271ECA2">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2) непредоставление персонализированных рекомендаций по приему лекарств и уходу после оказанной услуги; </w:t>
            </w:r>
          </w:p>
          <w:p w14:paraId="1516FD9E">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3) Игнорирование обращений пациентов;</w:t>
            </w:r>
          </w:p>
          <w:p w14:paraId="7DB41A9A">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4)  разрыв отношений из-за увольнения лечащего врача без уведомления и передачи новому специалисту.</w:t>
            </w:r>
          </w:p>
        </w:tc>
        <w:tc>
          <w:tcPr>
            <w:tcW w:w="4252" w:type="dxa"/>
          </w:tcPr>
          <w:p w14:paraId="0E79F176">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1) отсутствие структурированной системы пост-визитного ведения пациента;</w:t>
            </w:r>
          </w:p>
          <w:p w14:paraId="28297179">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 xml:space="preserve">2) отсутствие работающего канала обратной связи; </w:t>
            </w:r>
          </w:p>
          <w:p w14:paraId="7EDCEBCE">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3) неспособность обеспечения непрерывности лечения при кадровых изменениях.</w:t>
            </w:r>
          </w:p>
          <w:p w14:paraId="6C6D315A">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p w14:paraId="016D809B">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p>
        </w:tc>
        <w:tc>
          <w:tcPr>
            <w:tcW w:w="2835" w:type="dxa"/>
          </w:tcPr>
          <w:p w14:paraId="60EB7B1F">
            <w:pPr>
              <w:tabs>
                <w:tab w:val="left" w:pos="993"/>
              </w:tabs>
              <w:spacing w:before="0" w:after="0" w:line="240" w:lineRule="auto"/>
              <w:ind w:firstLine="0"/>
              <w:contextualSpacing/>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sz w:val="24"/>
                <w:lang w:eastAsia="ru-RU"/>
                <w14:ligatures w14:val="none"/>
              </w:rPr>
              <w:t>Пост-клинический этап</w:t>
            </w:r>
          </w:p>
        </w:tc>
      </w:tr>
    </w:tbl>
    <w:p w14:paraId="24FC6F79">
      <w:pPr>
        <w:tabs>
          <w:tab w:val="left" w:pos="993"/>
        </w:tabs>
        <w:spacing w:before="0" w:after="0" w:line="36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Источник: составлено автором </w:t>
      </w:r>
    </w:p>
    <w:p w14:paraId="063AD7E1">
      <w:pPr>
        <w:tabs>
          <w:tab w:val="left" w:pos="993"/>
        </w:tabs>
        <w:spacing w:before="0" w:after="0" w:line="360" w:lineRule="auto"/>
        <w:contextualSpacing/>
        <w:jc w:val="both"/>
        <w:rPr>
          <w:rFonts w:ascii="Times New Roman" w:hAnsi="Times New Roman" w:eastAsia="Times New Roman" w:cs="Times New Roman"/>
          <w:sz w:val="28"/>
          <w:szCs w:val="28"/>
          <w:lang w:eastAsia="ru-RU"/>
        </w:rPr>
        <w:sectPr>
          <w:footerReference r:id="rId9" w:type="default"/>
          <w:pgSz w:w="16838" w:h="11906" w:orient="landscape"/>
          <w:pgMar w:top="1701" w:right="1134" w:bottom="851" w:left="1134" w:header="709" w:footer="709" w:gutter="0"/>
          <w:cols w:space="708" w:num="1"/>
          <w:docGrid w:linePitch="360" w:charSpace="0"/>
        </w:sectPr>
      </w:pPr>
    </w:p>
    <w:p w14:paraId="74FA9ABD">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Визуализируем полученные данные. </w:t>
      </w:r>
    </w:p>
    <w:p w14:paraId="1CE9C598">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Статистика по организационно-коммуникационным барьерам представлена на рисунке 11. </w:t>
      </w:r>
    </w:p>
    <w:p w14:paraId="5FEF92B2">
      <w:pPr>
        <w:tabs>
          <w:tab w:val="left" w:pos="993"/>
        </w:tabs>
        <w:spacing w:before="0" w:after="0" w:line="36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5939790" cy="4681220"/>
            <wp:effectExtent l="0" t="0" r="381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a:picLocks noChangeAspect="1"/>
                    </pic:cNvPicPr>
                  </pic:nvPicPr>
                  <pic:blipFill>
                    <a:blip r:embed="rId26"/>
                    <a:stretch>
                      <a:fillRect/>
                    </a:stretch>
                  </pic:blipFill>
                  <pic:spPr>
                    <a:xfrm>
                      <a:off x="0" y="0"/>
                      <a:ext cx="5939790" cy="4681220"/>
                    </a:xfrm>
                    <a:prstGeom prst="rect">
                      <a:avLst/>
                    </a:prstGeom>
                  </pic:spPr>
                </pic:pic>
              </a:graphicData>
            </a:graphic>
          </wp:inline>
        </w:drawing>
      </w:r>
    </w:p>
    <w:p w14:paraId="263E25E8">
      <w:pPr>
        <w:tabs>
          <w:tab w:val="left" w:pos="993"/>
        </w:tabs>
        <w:spacing w:before="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11 — Организационно-коммуникационные барьеры</w:t>
      </w:r>
    </w:p>
    <w:p w14:paraId="1D6838CA">
      <w:pPr>
        <w:spacing w:before="0" w:after="0"/>
        <w:ind w:firstLine="709"/>
        <w:jc w:val="both"/>
      </w:pPr>
      <w:r>
        <w:rPr>
          <w:rFonts w:ascii="Times New Roman" w:hAnsi="Times New Roman"/>
          <w:b w:val="0"/>
          <w:sz w:val="28"/>
        </w:rPr>
        <w:t>Круговая диаграмма отражает структуру выявленных организационно-коммуникационных барьеров по числу зафиксированных обращений. Доминирующей проблемой выступает невозможность дозвониться в рабочие часы и отсутствие ответного звонка на онлайн-заявку — на неё приходится 13 из 22 случаев (59,1%). Второй по значимости барьер — самостоятельная инициация пациентом подтверждения приёма и согласования лечения по ДМС (18,2%). Оставшиеся позиции — невозможность получить своевременную запись, несоответствие заявленного врача фактическому и задержки начала приёма — занимают по 4,5% каждая. Концентрация большей части жалоб на проблемах доступности телефонного канала указывает на канал записи как на ключевую точку сбоя в коммуникации клиники с пациентом.</w:t>
      </w:r>
    </w:p>
    <w:p w14:paraId="0E8F39B7">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Распределение выглядит следующим образом: </w:t>
      </w:r>
    </w:p>
    <w:p w14:paraId="26D0E32F">
      <w:pPr>
        <w:pStyle w:val="151"/>
        <w:numPr>
          <w:ilvl w:val="0"/>
          <w:numId w:val="24"/>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невозможность дозвониться в рабочие часы и отсутствие ответного звонка на онлайн-заявку – 59,1%;</w:t>
      </w:r>
    </w:p>
    <w:p w14:paraId="202A2A43">
      <w:pPr>
        <w:pStyle w:val="151"/>
        <w:numPr>
          <w:ilvl w:val="0"/>
          <w:numId w:val="24"/>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необходимость для пациента самостоятельно инициировать подтверждение приема и согласование лечения по ДМС – 18,2%; </w:t>
      </w:r>
    </w:p>
    <w:p w14:paraId="65A3D293">
      <w:pPr>
        <w:pStyle w:val="151"/>
        <w:numPr>
          <w:ilvl w:val="0"/>
          <w:numId w:val="24"/>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невозможность получить своевременную запись – 9,1%</w:t>
      </w:r>
    </w:p>
    <w:p w14:paraId="3B184167">
      <w:pPr>
        <w:pStyle w:val="151"/>
        <w:numPr>
          <w:ilvl w:val="0"/>
          <w:numId w:val="24"/>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несоответствие заявленного врача фактическому на приеме – 4,5%; </w:t>
      </w:r>
    </w:p>
    <w:p w14:paraId="27A34FB1">
      <w:pPr>
        <w:pStyle w:val="151"/>
        <w:numPr>
          <w:ilvl w:val="0"/>
          <w:numId w:val="24"/>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задержка времени начала приема относительно назначенного – 4,5%; </w:t>
      </w:r>
    </w:p>
    <w:p w14:paraId="5E8EDFD1">
      <w:pPr>
        <w:pStyle w:val="151"/>
        <w:numPr>
          <w:ilvl w:val="0"/>
          <w:numId w:val="24"/>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отмена приема клиникой без альтернативы в ближайшие дни – 4,5%.</w:t>
      </w:r>
    </w:p>
    <w:p w14:paraId="1D64FEEB">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Статистика по ценовой политике и финансовому взаимодействию представлена на рисунке 12. </w:t>
      </w:r>
    </w:p>
    <w:p w14:paraId="1BF7B172">
      <w:pPr>
        <w:tabs>
          <w:tab w:val="left" w:pos="993"/>
        </w:tabs>
        <w:spacing w:before="0" w:after="0" w:line="36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5939790" cy="4511040"/>
            <wp:effectExtent l="0" t="0" r="3810"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27"/>
                    <a:stretch>
                      <a:fillRect/>
                    </a:stretch>
                  </pic:blipFill>
                  <pic:spPr>
                    <a:xfrm>
                      <a:off x="0" y="0"/>
                      <a:ext cx="5939790" cy="4511040"/>
                    </a:xfrm>
                    <a:prstGeom prst="rect">
                      <a:avLst/>
                    </a:prstGeom>
                  </pic:spPr>
                </pic:pic>
              </a:graphicData>
            </a:graphic>
          </wp:inline>
        </w:drawing>
      </w:r>
    </w:p>
    <w:p w14:paraId="4FA5566C">
      <w:pPr>
        <w:tabs>
          <w:tab w:val="left" w:pos="993"/>
        </w:tabs>
        <w:spacing w:before="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12 — Ценовая политика и финансовое взаимодействие</w:t>
      </w:r>
    </w:p>
    <w:p w14:paraId="7FD95BC8">
      <w:pPr>
        <w:spacing w:before="0" w:after="0"/>
        <w:ind w:firstLine="709"/>
        <w:jc w:val="both"/>
      </w:pPr>
      <w:r>
        <w:rPr>
          <w:rFonts w:ascii="Times New Roman" w:hAnsi="Times New Roman"/>
          <w:b w:val="0"/>
          <w:sz w:val="28"/>
        </w:rPr>
        <w:t>Диаграмма показывает распределение жалоб, связанных с ценовой политикой и финансовым взаимодействием клиники. Подавляющее большинство случаев — 25 из 31 (80,6%) — составляет увеличение стоимости лечения непосредственно в ходе процедуры, что свидетельствует об отсутствии заблаговременного согласования итоговой суммы с пациентом. Несогласование со страховой компанией, повлёкшее отказ в лечении по ДМС, зафиксировано в 12,9% случаев; неполное информирование о дополнительных платных опциях при телефонной консультации — в 6,5%. Данные подтверждают: ценовая непрозрачность на этапе до и во время оказания услуги — основной источник неудовлетворённости пациентов.</w:t>
      </w:r>
    </w:p>
    <w:p w14:paraId="528B2FBF">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Распределение: </w:t>
      </w:r>
    </w:p>
    <w:p w14:paraId="6CDB1B8E">
      <w:pPr>
        <w:pStyle w:val="151"/>
        <w:numPr>
          <w:ilvl w:val="0"/>
          <w:numId w:val="25"/>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увеличение стоимости лечения в процессе процедуры – 80,6%; </w:t>
      </w:r>
    </w:p>
    <w:p w14:paraId="4D46B7BB">
      <w:pPr>
        <w:pStyle w:val="151"/>
        <w:numPr>
          <w:ilvl w:val="0"/>
          <w:numId w:val="25"/>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несогласование со страховой компанией с последующим отказом в лечении по ДМС – 12,9%; </w:t>
      </w:r>
    </w:p>
    <w:p w14:paraId="1CB5FF44">
      <w:pPr>
        <w:pStyle w:val="151"/>
        <w:numPr>
          <w:ilvl w:val="0"/>
          <w:numId w:val="25"/>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неполное информирование о дополнительных платных опциях при телефонной консультации – 6,5%. </w:t>
      </w:r>
    </w:p>
    <w:p w14:paraId="17B324A3">
      <w:pPr>
        <w:pStyle w:val="151"/>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Статистика по пост-клиническому сопровождению представлена на рисунке 13.</w:t>
      </w:r>
    </w:p>
    <w:p w14:paraId="0491DD15">
      <w:pPr>
        <w:spacing w:before="0" w:after="0"/>
        <w:ind w:firstLine="709"/>
        <w:jc w:val="both"/>
      </w:pPr>
      <w:r>
        <w:rPr>
          <w:rFonts w:ascii="Times New Roman" w:hAnsi="Times New Roman"/>
          <w:b w:val="0"/>
          <w:sz w:val="28"/>
        </w:rPr>
        <w:t>На диаграмме представлена структура барьеров, возникающих после завершения визита пациента. Наиболее распространённой проблемой является игнорирование обращений пациентов — 8 из 14 случаев (57,1%), что фактически означает разрыв коммуникации сразу после оказания услуги. Непредоставление персонализированных рекомендаций по уходу и приёму лекарств занимает 28,6%. По 7,1% приходится на разрыв отношений при смене лечащего врача без передачи пациента новому специалисту и на отсутствие приглашения на профилактический осмотр. Данные подтверждают, что клиника систематически упускает этап постпродажного сопровождения, который напрямую влияет на повторные обращения и лояльность.</w:t>
      </w:r>
    </w:p>
    <w:p w14:paraId="3F0E02F2">
      <w:pPr>
        <w:pStyle w:val="151"/>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Распределение: </w:t>
      </w:r>
    </w:p>
    <w:p w14:paraId="49DD61FD">
      <w:pPr>
        <w:pStyle w:val="151"/>
        <w:numPr>
          <w:ilvl w:val="0"/>
          <w:numId w:val="26"/>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игнорирование обращений пациентов – 57,1%;</w:t>
      </w:r>
    </w:p>
    <w:p w14:paraId="5B1679F0">
      <w:pPr>
        <w:pStyle w:val="151"/>
        <w:numPr>
          <w:ilvl w:val="0"/>
          <w:numId w:val="26"/>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непредоставление персонализированных рекомендаций по приему лекарств и уходу после оказанной услуги – 28,6%;</w:t>
      </w:r>
    </w:p>
    <w:p w14:paraId="566BF94C">
      <w:pPr>
        <w:pStyle w:val="151"/>
        <w:numPr>
          <w:ilvl w:val="0"/>
          <w:numId w:val="26"/>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разрыв отношений из-за увольнения лечащего врача без уведомления и передачи новому специалисту – 7,1%;</w:t>
      </w:r>
    </w:p>
    <w:p w14:paraId="0079BC57">
      <w:pPr>
        <w:pStyle w:val="151"/>
        <w:numPr>
          <w:ilvl w:val="0"/>
          <w:numId w:val="26"/>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отсутствие приглашения на повторный профилактический осмотр после сложной процедуры – 7,1%. </w:t>
      </w:r>
    </w:p>
    <w:p w14:paraId="2DA500A4">
      <w:pPr>
        <w:pStyle w:val="151"/>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Таким образом, можно сделать вывод о том, что наиболее частыми барьерами, с которыми сталкиваются клиенты – это несовершенный канал записи, неопределенность с итоговой стоимостью лечения и отсутствие обратной связи по обращениям. </w:t>
      </w:r>
    </w:p>
    <w:p w14:paraId="237A2B0E">
      <w:pPr>
        <w:pStyle w:val="151"/>
        <w:tabs>
          <w:tab w:val="left" w:pos="993"/>
        </w:tabs>
        <w:spacing w:before="0" w:after="0" w:line="360" w:lineRule="auto"/>
        <w:ind w:left="709"/>
        <w:jc w:val="both"/>
        <w:rPr>
          <w:rFonts w:ascii="Times New Roman" w:hAnsi="Times New Roman" w:eastAsia="Times New Roman" w:cs="Times New Roman"/>
          <w:sz w:val="28"/>
          <w:szCs w:val="28"/>
          <w:lang w:eastAsia="ru-RU"/>
        </w:rPr>
        <w:sectPr>
          <w:footerReference r:id="rId10" w:type="default"/>
          <w:pgSz w:w="11906" w:h="16838"/>
          <w:pgMar w:top="1134" w:right="851" w:bottom="1134" w:left="1701" w:header="709" w:footer="709" w:gutter="0"/>
          <w:cols w:space="708" w:num="1"/>
          <w:docGrid w:linePitch="360" w:charSpace="0"/>
        </w:sectPr>
      </w:pPr>
    </w:p>
    <w:p w14:paraId="3472642F">
      <w:pPr>
        <w:pStyle w:val="151"/>
        <w:tabs>
          <w:tab w:val="left" w:pos="993"/>
        </w:tabs>
        <w:spacing w:before="0" w:after="0" w:line="360" w:lineRule="auto"/>
        <w:ind w:left="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Рассмотрим </w:t>
      </w:r>
    </w:p>
    <w:p w14:paraId="7D0BBD59">
      <w:pPr>
        <w:pStyle w:val="151"/>
        <w:tabs>
          <w:tab w:val="left" w:pos="993"/>
        </w:tabs>
        <w:spacing w:before="0" w:after="0" w:line="360" w:lineRule="auto"/>
        <w:ind w:left="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9251950" cy="3357245"/>
            <wp:effectExtent l="0" t="0" r="635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9251950" cy="3357245"/>
                    </a:xfrm>
                    <a:prstGeom prst="rect">
                      <a:avLst/>
                    </a:prstGeom>
                    <a:noFill/>
                    <a:ln>
                      <a:noFill/>
                    </a:ln>
                  </pic:spPr>
                </pic:pic>
              </a:graphicData>
            </a:graphic>
          </wp:inline>
        </w:drawing>
      </w:r>
    </w:p>
    <w:p w14:paraId="04E7B6E5">
      <w:pPr>
        <w:tabs>
          <w:tab w:val="left" w:pos="993"/>
        </w:tabs>
        <w:spacing w:before="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13 — Пост-клиническое сопровождение</w:t>
      </w:r>
    </w:p>
    <w:p w14:paraId="6E9B98F2">
      <w:pPr>
        <w:spacing w:before="0" w:after="0"/>
        <w:ind w:firstLine="709"/>
        <w:jc w:val="both"/>
      </w:pPr>
      <w:r>
        <w:rPr>
          <w:rFonts w:ascii="Times New Roman" w:hAnsi="Times New Roman"/>
          <w:b w:val="0"/>
          <w:sz w:val="28"/>
        </w:rPr>
        <w:t>Диаграмма отображает распределение барьеров, возникающих после завершения визита пациента. Преобладающей проблемой является игнорирование обращений пациентов — 8 из 14 случаев (57,1%), что фиксирует разрыв коммуникации сразу после оказания услуги. Непредоставление персонализированных рекомендаций по уходу составляет 28,6%; по 7,1% приходится на разрыв отношений при смене врача и отсутствие приглашения на профилактический осмотр. Данные подтверждают, что клиника систематически упускает этап постпродажного сопровождения, напрямую влияющий на повторные обращения.</w:t>
      </w:r>
    </w:p>
    <w:p w14:paraId="7346758A">
      <w:pPr>
        <w:pStyle w:val="151"/>
        <w:tabs>
          <w:tab w:val="left" w:pos="993"/>
        </w:tabs>
        <w:spacing w:before="0" w:after="0" w:line="360" w:lineRule="auto"/>
        <w:ind w:left="709"/>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14 — AS IS</w:t>
      </w:r>
    </w:p>
    <w:p w14:paraId="18089D9D">
      <w:pPr>
        <w:spacing w:before="0" w:after="0"/>
        <w:ind w:firstLine="709"/>
        <w:jc w:val="both"/>
      </w:pPr>
      <w:r>
        <w:rPr>
          <w:rFonts w:ascii="Times New Roman" w:hAnsi="Times New Roman"/>
          <w:b w:val="0"/>
          <w:sz w:val="28"/>
        </w:rPr>
        <w:t>Схема фиксирует текущий бизнес-процесс записи клиента на приём в нотации AS-IS и разделена на три горизонтальные дорожки: «Пациент», «Запись на приём» и «Администратор». На стороне пациента процесс начинается с осознания потребности, проверки лицензии клиники, изучения портфолио врачей, отзывов и цен; при неудовлетворительном результате пациент уходит к другой клинике. Если пациент принимает решение записаться, он звонит администратору. Администратор уточняет локализацию потребности и предлагает ближайший свободный слот; при отсутствии подходящего времени предлагает альтернативу или прощается с клиентом. Схема обнажает критический барьер: весь процесс согласования завязан на телефонный звонок, что при недоступности линии приводит к уходу пациента ещё до попытки записи.</w:t>
      </w:r>
    </w:p>
    <w:p w14:paraId="1C43F6B9">
      <w:pPr>
        <w:tabs>
          <w:tab w:val="left" w:pos="993"/>
        </w:tabs>
        <w:spacing w:before="0" w:after="0" w:line="360" w:lineRule="auto"/>
        <w:contextualSpacing/>
        <w:jc w:val="both"/>
        <w:rPr>
          <w:rFonts w:ascii="Times New Roman" w:hAnsi="Times New Roman" w:eastAsia="Times New Roman" w:cs="Times New Roman"/>
          <w:sz w:val="28"/>
          <w:szCs w:val="28"/>
          <w:lang w:eastAsia="ru-RU"/>
        </w:rPr>
        <w:sectPr>
          <w:footerReference r:id="rId11" w:type="default"/>
          <w:pgSz w:w="16838" w:h="11906" w:orient="landscape"/>
          <w:pgMar w:top="1701" w:right="1134" w:bottom="851" w:left="1134" w:header="709" w:footer="709" w:gutter="0"/>
          <w:cols w:space="708" w:num="1"/>
          <w:docGrid w:linePitch="360" w:charSpace="0"/>
        </w:sectPr>
      </w:pPr>
    </w:p>
    <w:p w14:paraId="2621C5EC">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Показатель</w:t>
      </w:r>
    </w:p>
    <w:p w14:paraId="78B2A461">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Текущий коэффициент конверсии из посещения в заявку составляет в среднем около 3% в течение года</w:t>
      </w:r>
    </w:p>
    <w:p w14:paraId="78591F89">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Цель</w:t>
      </w:r>
    </w:p>
    <w:p w14:paraId="0E1BC62E">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Увеличить CR на 1,5%</w:t>
      </w:r>
    </w:p>
    <w:p w14:paraId="5A8E8C7B">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Гипотеза</w:t>
      </w:r>
    </w:p>
    <w:p w14:paraId="29B0263F">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версия кнопки "Онлайн-запись" повысит коэффициент конверсии до 4,5%, вариант будет запущен</w:t>
      </w:r>
    </w:p>
    <w:p w14:paraId="65B81760">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Размер выборки</w:t>
      </w:r>
    </w:p>
    <w:p w14:paraId="6265AB91">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600 пользователей, разделённых на контрольную и тестовую группы</w:t>
      </w:r>
    </w:p>
    <w:p w14:paraId="7173D6E1">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Метрики</w:t>
      </w:r>
    </w:p>
    <w:p w14:paraId="04076396">
      <w:pPr>
        <w:numPr>
          <w:ilvl w:val="0"/>
          <w:numId w:val="27"/>
        </w:num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количество просмотров;</w:t>
      </w:r>
    </w:p>
    <w:p w14:paraId="2A84300F">
      <w:pPr>
        <w:numPr>
          <w:ilvl w:val="0"/>
          <w:numId w:val="27"/>
        </w:num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клики;</w:t>
      </w:r>
    </w:p>
    <w:p w14:paraId="6F204965">
      <w:pPr>
        <w:numPr>
          <w:ilvl w:val="0"/>
          <w:numId w:val="27"/>
        </w:num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конверсия</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b/>
          <w:bCs/>
          <w:sz w:val="28"/>
          <w:szCs w:val="28"/>
          <w:lang w:eastAsia="ru-RU"/>
        </w:rPr>
        <w:t>целевая метрика</w:t>
      </w:r>
      <w:r>
        <w:rPr>
          <w:rFonts w:ascii="Times New Roman" w:hAnsi="Times New Roman" w:eastAsia="Times New Roman" w:cs="Times New Roman"/>
          <w:sz w:val="28"/>
          <w:szCs w:val="28"/>
          <w:lang w:eastAsia="ru-RU"/>
        </w:rPr>
        <w:t>). </w:t>
      </w:r>
    </w:p>
    <w:p w14:paraId="78FA7223">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Нулевая гипотеза (H0) – вариант и конверсия независимы (разницы нет) </w:t>
      </w:r>
    </w:p>
    <w:p w14:paraId="3AF99E34">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 = p0; </w:t>
      </w:r>
    </w:p>
    <w:p w14:paraId="1537038A">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Альтернатива (H1) – существует связь между вариантом записи и конверсией (CR будут различаться) </w:t>
      </w:r>
    </w:p>
    <w:p w14:paraId="7A8F8604">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 ≠ p0, где p и p0 CR новой и старой версии, соответственно</w:t>
      </w:r>
    </w:p>
    <w:p w14:paraId="6F155331">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Возьмём p-value = 95%, следовательно α = 0.05</w:t>
      </w:r>
    </w:p>
    <w:p w14:paraId="202575DD">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Группы:</w:t>
      </w:r>
    </w:p>
    <w:p w14:paraId="58276AE3">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 Контрольная группа (control group) – тестируют вариант с заявкой на сайте; </w:t>
      </w:r>
    </w:p>
    <w:p w14:paraId="7B3C6ADE">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 Тестовая группа (test group) – тестируют вариант с онлайн-записью.</w:t>
      </w:r>
    </w:p>
    <w:p w14:paraId="57DCAFC6">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Конверсия (зависимая переменная): </w:t>
      </w:r>
    </w:p>
    <w:p w14:paraId="485012C6">
      <w:pPr>
        <w:numPr>
          <w:ilvl w:val="0"/>
          <w:numId w:val="28"/>
        </w:num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0 - Пользователь не записался во время пользовательской сессии; </w:t>
      </w:r>
    </w:p>
    <w:p w14:paraId="42ED1996">
      <w:pPr>
        <w:numPr>
          <w:ilvl w:val="0"/>
          <w:numId w:val="28"/>
        </w:num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1 - Пользователь записался во время пользовательской сессии.</w:t>
      </w:r>
    </w:p>
    <w:p w14:paraId="14B41D6F">
      <w:pPr>
        <w:spacing w:before="0" w:after="0" w:line="360" w:lineRule="auto"/>
        <w:jc w:val="both"/>
        <w:rPr>
          <w:rFonts w:ascii="Times New Roman" w:hAnsi="Times New Roman" w:eastAsia="Times New Roman" w:cs="Times New Roman"/>
          <w:b/>
          <w:color w:val="000000"/>
          <w:kern w:val="0"/>
          <w:sz w:val="28"/>
          <w:szCs w:val="22"/>
          <w14:ligatures w14:val="none"/>
        </w:rPr>
      </w:pPr>
      <w:r>
        <w:drawing>
          <wp:inline distT="0" distB="0" distL="0" distR="0">
            <wp:extent cx="5939790" cy="4848860"/>
            <wp:effectExtent l="0" t="0" r="381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39790" cy="4849418"/>
                    </a:xfrm>
                    <a:prstGeom prst="rect">
                      <a:avLst/>
                    </a:prstGeom>
                    <a:noFill/>
                    <a:ln>
                      <a:noFill/>
                    </a:ln>
                  </pic:spPr>
                </pic:pic>
              </a:graphicData>
            </a:graphic>
          </wp:inline>
        </w:drawing>
      </w:r>
    </w:p>
    <w:p w14:paraId="68E3FAF0">
      <w:pPr>
        <w:spacing w:before="0" w:after="0" w:line="360" w:lineRule="auto"/>
        <w:jc w:val="center"/>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Рисунок 15 — Конверсия в двух группах</w:t>
      </w:r>
    </w:p>
    <w:p w14:paraId="1723B867">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Результаты в тестовой группе лучше, а доверительные интервалы для контрольной и тестовой не совпадают. Это указывает на то, что наблюдаемая разница является статистически значимой, то есть результаты не являются случайными. </w:t>
      </w:r>
    </w:p>
    <w:p w14:paraId="71286316">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
          <w:bCs/>
          <w:color w:val="000000"/>
          <w:kern w:val="0"/>
          <w:sz w:val="28"/>
          <w:szCs w:val="22"/>
          <w14:ligatures w14:val="none"/>
        </w:rPr>
        <w:t>Контрольная группа</w:t>
      </w:r>
      <w:r>
        <w:rPr>
          <w:rFonts w:ascii="Times New Roman" w:hAnsi="Times New Roman" w:eastAsia="Times New Roman" w:cs="Times New Roman"/>
          <w:bCs/>
          <w:color w:val="000000"/>
          <w:kern w:val="0"/>
          <w:sz w:val="28"/>
          <w:szCs w:val="22"/>
          <w14:ligatures w14:val="none"/>
        </w:rPr>
        <w:t>: </w:t>
      </w:r>
    </w:p>
    <w:p w14:paraId="356E2839">
      <w:pPr>
        <w:numPr>
          <w:ilvl w:val="0"/>
          <w:numId w:val="29"/>
        </w:num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CR немного ниже 0,03 (базового уровня);</w:t>
      </w:r>
    </w:p>
    <w:p w14:paraId="5E09D577">
      <w:pPr>
        <w:numPr>
          <w:ilvl w:val="0"/>
          <w:numId w:val="29"/>
        </w:num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коэффициент конверсии не соответствует целевому показателю (dmax), но перекрывает базовый уровень (dmin).</w:t>
      </w:r>
    </w:p>
    <w:p w14:paraId="3A4F305D">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
          <w:bCs/>
          <w:color w:val="000000"/>
          <w:kern w:val="0"/>
          <w:sz w:val="28"/>
          <w:szCs w:val="22"/>
          <w14:ligatures w14:val="none"/>
        </w:rPr>
        <w:t>Тестовая группа</w:t>
      </w:r>
      <w:r>
        <w:rPr>
          <w:rFonts w:ascii="Times New Roman" w:hAnsi="Times New Roman" w:eastAsia="Times New Roman" w:cs="Times New Roman"/>
          <w:bCs/>
          <w:color w:val="000000"/>
          <w:kern w:val="0"/>
          <w:sz w:val="28"/>
          <w:szCs w:val="22"/>
          <w14:ligatures w14:val="none"/>
        </w:rPr>
        <w:t>:</w:t>
      </w:r>
    </w:p>
    <w:p w14:paraId="0AFF3C7A">
      <w:pPr>
        <w:numPr>
          <w:ilvl w:val="0"/>
          <w:numId w:val="30"/>
        </w:num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CR выше (чуть больше 0,03) и близок к целевому показателю (dmax);</w:t>
      </w:r>
    </w:p>
    <w:p w14:paraId="7CBFBBE1">
      <w:pPr>
        <w:numPr>
          <w:ilvl w:val="0"/>
          <w:numId w:val="30"/>
        </w:num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доверительный интервал составляет примерно от 0,035 до 0,045 </w:t>
      </w:r>
    </w:p>
    <w:p w14:paraId="6297A358">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Это говорит об улучшении показателей по сравнению с контрольной группой и более значительном соответствии цели по достижению уровня конверсии (dmax).</w:t>
      </w:r>
    </w:p>
    <w:p w14:paraId="6E624381">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Таким образом, тестовая группа демонстрирует более высокую эффективность в увеличении CR, чем контрольная группа. Отсутствие совпадения доверительных интервалов означает, что статистическая значимость не нуждается в дальнейшей оценке.</w:t>
      </w:r>
    </w:p>
    <w:p w14:paraId="19FCDEE6">
      <w:pPr>
        <w:spacing w:before="0" w:after="0" w:line="360" w:lineRule="auto"/>
        <w:jc w:val="both"/>
        <w:rPr>
          <w:rFonts w:ascii="Times New Roman" w:hAnsi="Times New Roman" w:eastAsia="Times New Roman" w:cs="Times New Roman"/>
          <w:b/>
          <w:color w:val="000000"/>
          <w:kern w:val="0"/>
          <w:sz w:val="28"/>
          <w:szCs w:val="22"/>
          <w14:ligatures w14:val="none"/>
        </w:rPr>
      </w:pPr>
      <w:r>
        <w:drawing>
          <wp:inline distT="0" distB="0" distL="0" distR="0">
            <wp:extent cx="5939790" cy="3632835"/>
            <wp:effectExtent l="0" t="0" r="381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39790" cy="3633316"/>
                    </a:xfrm>
                    <a:prstGeom prst="rect">
                      <a:avLst/>
                    </a:prstGeom>
                    <a:noFill/>
                    <a:ln>
                      <a:noFill/>
                    </a:ln>
                  </pic:spPr>
                </pic:pic>
              </a:graphicData>
            </a:graphic>
          </wp:inline>
        </w:drawing>
      </w:r>
    </w:p>
    <w:p w14:paraId="059D3E96">
      <w:pPr>
        <w:spacing w:before="0" w:after="0" w:line="360" w:lineRule="auto"/>
        <w:jc w:val="center"/>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Рисунок 16 — Доверительные интервалы</w:t>
      </w:r>
      <w:bookmarkStart w:id="14" w:name="_Hlk228823786"/>
      <w:bookmarkEnd w:id="14"/>
    </w:p>
    <w:p w14:paraId="5F2E67B7">
      <w:pPr>
        <w:spacing w:before="0" w:after="0"/>
        <w:ind w:firstLine="709"/>
        <w:jc w:val="both"/>
      </w:pPr>
      <w:r>
        <w:rPr>
          <w:rFonts w:ascii="Times New Roman" w:hAnsi="Times New Roman"/>
          <w:b w:val="0"/>
          <w:sz w:val="28"/>
        </w:rPr>
        <w:t>На графике представлены доверительные интервалы конверсии для тестовой и контрольной групп. Интервалы не перекрываются, что статистически подтверждает значимость различий между группами. Визуальное разделение интервалов поддерживает вывод о более высокой конверсии тестовой группы с достаточной степенью уверенности.</w:t>
      </w:r>
    </w:p>
    <w:p w14:paraId="39A20E2E">
      <w:pPr>
        <w:spacing w:before="0" w:after="0" w:line="360" w:lineRule="auto"/>
        <w:jc w:val="center"/>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Рисунок 17 — Доверительные интервалы</w:t>
      </w:r>
    </w:p>
    <w:p w14:paraId="7793B3F1">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CR в тестовой группе на 1,5 процентных пункта выше, чем в контрольной группе. Распределение является относительно плотным и одномодальным, что говорит о стабильных результатах. </w:t>
      </w:r>
    </w:p>
    <w:p w14:paraId="2B1411B3">
      <w:pPr>
        <w:spacing w:before="0" w:after="0" w:line="360" w:lineRule="auto"/>
        <w:jc w:val="center"/>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Рисунок 18 — Распределение конверсии бутстреп методом</w:t>
      </w:r>
    </w:p>
    <w:p w14:paraId="73C157C1">
      <w:pPr>
        <w:spacing w:before="0" w:after="0"/>
        <w:ind w:firstLine="709"/>
        <w:jc w:val="both"/>
      </w:pPr>
      <w:r>
        <w:rPr>
          <w:rFonts w:ascii="Times New Roman" w:hAnsi="Times New Roman"/>
          <w:b w:val="0"/>
          <w:sz w:val="28"/>
        </w:rPr>
        <w:t>Гистограмма показывает эмпирическое распределение разности конверсий тестовой и контрольной групп, полученное методом бутстреп-репликаций. Распределение смещено вправо от нуля, что подтверждает положительный эффект тестового вмешательства. Бутстреп-метод применён как независимый способ проверки результатов параметрического критерия, демонстрирующий устойчивость выводов при отступлении от нормальности.</w:t>
      </w:r>
    </w:p>
    <w:p w14:paraId="622A5260">
      <w:pPr>
        <w:pStyle w:val="3"/>
        <w:spacing w:before="0" w:after="0" w:line="360" w:lineRule="auto"/>
        <w:ind w:firstLine="709"/>
        <w:jc w:val="both"/>
        <w:rPr>
          <w:rFonts w:ascii="Times New Roman" w:hAnsi="Times New Roman" w:eastAsia="Times New Roman" w:cs="Times New Roman"/>
          <w:b/>
          <w:color w:val="000000"/>
          <w:kern w:val="0"/>
          <w:sz w:val="28"/>
          <w:szCs w:val="22"/>
          <w14:ligatures w14:val="none"/>
        </w:rPr>
      </w:pPr>
      <w:bookmarkStart w:id="15" w:name="_Toc2116305761"/>
      <w:r>
        <w:rPr>
          <w:rFonts w:ascii="Times New Roman" w:hAnsi="Times New Roman" w:eastAsia="Times New Roman" w:cs="Times New Roman"/>
          <w:b/>
          <w:color w:val="000000"/>
          <w:kern w:val="0"/>
          <w:sz w:val="28"/>
          <w:szCs w:val="22"/>
          <w14:ligatures w14:val="none"/>
        </w:rPr>
        <w:t>2.3 Обоснование выбора цифровых инструментов для стоматологической клиники</w:t>
      </w:r>
      <w:bookmarkEnd w:id="15"/>
    </w:p>
    <w:p w14:paraId="33A9A390">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В научной литературе барьеры доступа к стоматологической помощи традиционно описываются на двух уровнях. Первый уровень включает структурные ограничения – стоимость услуг, наличие страхового покрытия, географическую удалённость, дефицит кадров. По данным </w:t>
      </w:r>
      <w:r>
        <w:rPr>
          <w:rFonts w:ascii="Times New Roman" w:hAnsi="Times New Roman" w:eastAsia="Times New Roman" w:cs="Times New Roman"/>
          <w:bCs/>
          <w:color w:val="000000"/>
          <w:kern w:val="0"/>
          <w:sz w:val="28"/>
          <w:szCs w:val="22"/>
          <w:lang w:val="en-US"/>
          <w14:ligatures w14:val="none"/>
        </w:rPr>
        <w:t>Health</w:t>
      </w:r>
      <w:r>
        <w:rPr>
          <w:rFonts w:ascii="Times New Roman" w:hAnsi="Times New Roman" w:eastAsia="Times New Roman" w:cs="Times New Roman"/>
          <w:bCs/>
          <w:color w:val="000000"/>
          <w:kern w:val="0"/>
          <w:sz w:val="28"/>
          <w:szCs w:val="22"/>
          <w14:ligatures w14:val="none"/>
        </w:rPr>
        <w:t xml:space="preserve"> </w:t>
      </w:r>
      <w:r>
        <w:rPr>
          <w:rFonts w:ascii="Times New Roman" w:hAnsi="Times New Roman" w:eastAsia="Times New Roman" w:cs="Times New Roman"/>
          <w:bCs/>
          <w:color w:val="000000"/>
          <w:kern w:val="0"/>
          <w:sz w:val="28"/>
          <w:szCs w:val="22"/>
          <w:lang w:val="en-US"/>
          <w14:ligatures w14:val="none"/>
        </w:rPr>
        <w:t>Policy</w:t>
      </w:r>
      <w:r>
        <w:rPr>
          <w:rFonts w:ascii="Times New Roman" w:hAnsi="Times New Roman" w:eastAsia="Times New Roman" w:cs="Times New Roman"/>
          <w:bCs/>
          <w:color w:val="000000"/>
          <w:kern w:val="0"/>
          <w:sz w:val="28"/>
          <w:szCs w:val="22"/>
          <w14:ligatures w14:val="none"/>
        </w:rPr>
        <w:t xml:space="preserve"> </w:t>
      </w:r>
      <w:r>
        <w:rPr>
          <w:rFonts w:ascii="Times New Roman" w:hAnsi="Times New Roman" w:eastAsia="Times New Roman" w:cs="Times New Roman"/>
          <w:bCs/>
          <w:color w:val="000000"/>
          <w:kern w:val="0"/>
          <w:sz w:val="28"/>
          <w:szCs w:val="22"/>
          <w:lang w:val="en-US"/>
          <w14:ligatures w14:val="none"/>
        </w:rPr>
        <w:t>Institute</w:t>
      </w:r>
      <w:r>
        <w:rPr>
          <w:rFonts w:ascii="Times New Roman" w:hAnsi="Times New Roman" w:eastAsia="Times New Roman" w:cs="Times New Roman"/>
          <w:bCs/>
          <w:color w:val="000000"/>
          <w:kern w:val="0"/>
          <w:sz w:val="28"/>
          <w:szCs w:val="22"/>
          <w14:ligatures w14:val="none"/>
        </w:rPr>
        <w:t xml:space="preserve"> Американской стоматологической ассоциации около 13% населения США называют финансовые причины основным барьером к получению стоматологической помощи. Среди трудоустроенного населения 19-64 лет показатель достигает 17,4% [51]. Второй уровень относится к поведенческим и сервисным барьерам – страху лечения, недостатку времени, негативному опыту, трудностям записи, отсутствию информации. </w:t>
      </w:r>
    </w:p>
    <w:p w14:paraId="0DF4883C">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В маркетинговых исследованиях параллельно используется понятие точек трения – конкретных шагов в пути пациента, которые увеличивают усилие пациента и снижают вероятность продолжения сценария. Отраслевой обзор </w:t>
      </w:r>
      <w:r>
        <w:rPr>
          <w:rFonts w:ascii="Times New Roman" w:hAnsi="Times New Roman" w:eastAsia="Times New Roman" w:cs="Times New Roman"/>
          <w:bCs/>
          <w:color w:val="000000"/>
          <w:kern w:val="0"/>
          <w:sz w:val="28"/>
          <w:szCs w:val="22"/>
          <w:lang w:val="en-US"/>
          <w14:ligatures w14:val="none"/>
        </w:rPr>
        <w:t>Vada</w:t>
      </w:r>
      <w:r>
        <w:rPr>
          <w:rFonts w:ascii="Times New Roman" w:hAnsi="Times New Roman" w:eastAsia="Times New Roman" w:cs="Times New Roman"/>
          <w:bCs/>
          <w:color w:val="000000"/>
          <w:kern w:val="0"/>
          <w:sz w:val="28"/>
          <w:szCs w:val="22"/>
          <w14:ligatures w14:val="none"/>
        </w:rPr>
        <w:t xml:space="preserve"> [52] о практике управления стоматологической клиникой фиксирует, что значительная доля новых пациентов не возвращается после первого визита, а часть пациентов откладывает или отказывается от лечения; основные причины – слабая коммуникация, отсутствие прозрачного ценообразования и несвязанные между собой каналы записи и пост-визитного контакта. По данным Dental Economics, практики, интегрирующие инструменты ИИ, сократили административные сроки на 30% и повысили гибкость расписания пациентов, что напрямую повлияло на удовлетворённость пациентов [52]. А отчёты Dental Trade Alliance показывают, что 70% пациентов в 2023 году выбрали стоматологические практики на основе таких факторов, как простота записи, ясность планов лечения и последующее наблюдение [52]. </w:t>
      </w:r>
    </w:p>
    <w:p w14:paraId="791B0CC2">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Управленческая проблема, рассматриваемая в данной работе, соединяет оба уровня: структурные барьеры остаются фоном, а решающее значение приобретают точки трения в цифровой части пути. Для систематизации проявлений, описанных в постановке исследовательского вопроса, в таблице 13 приведена классификация проявлений управленческой проблемы по типу барьера и стадии пути пациента.</w:t>
      </w:r>
    </w:p>
    <w:p w14:paraId="1DC559B4">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13 — Классификация проявлений управленческой проблемы по типу барьера и стадии пути пациента</w:t>
      </w:r>
      <w:bookmarkStart w:id="16" w:name="_Hlk228986854"/>
      <w:bookmarkEnd w:id="1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2835"/>
        <w:gridCol w:w="2268"/>
      </w:tblGrid>
      <w:tr w14:paraId="1E2C6DA4">
        <w:tc>
          <w:tcPr>
            <w:tcW w:w="4535" w:type="dxa"/>
            <w:tcBorders>
              <w:top w:val="single" w:color="auto" w:sz="4" w:space="0"/>
              <w:left w:val="single" w:color="auto" w:sz="4" w:space="0"/>
              <w:bottom w:val="single" w:color="auto" w:sz="4" w:space="0"/>
              <w:right w:val="single" w:color="auto" w:sz="4" w:space="0"/>
            </w:tcBorders>
            <w:vAlign w:val="center"/>
          </w:tcPr>
          <w:p w14:paraId="370EFF2B">
            <w:pPr>
              <w:spacing w:before="0" w:after="0" w:line="240" w:lineRule="auto"/>
              <w:ind w:firstLine="0"/>
              <w:jc w:val="both"/>
              <w:rPr>
                <w:rFonts w:ascii="Times New Roman" w:hAnsi="Times New Roman" w:eastAsia="Times New Roman" w:cs="Times New Roman"/>
                <w:b/>
                <w:color w:val="000000"/>
                <w:kern w:val="0"/>
                <w:lang w:val="en-US"/>
                <w14:ligatures w14:val="none"/>
              </w:rPr>
            </w:pPr>
            <w:r>
              <w:rPr>
                <w:rFonts w:ascii="Times New Roman" w:hAnsi="Times New Roman" w:eastAsia="Times New Roman" w:cs="Times New Roman"/>
                <w:b/>
                <w:color w:val="000000"/>
                <w:kern w:val="0"/>
                <w:sz w:val="24"/>
                <w:lang w:val="en-US"/>
                <w14:ligatures w14:val="none"/>
              </w:rPr>
              <w:t>Проявление в клинике</w:t>
            </w:r>
          </w:p>
        </w:tc>
        <w:tc>
          <w:tcPr>
            <w:tcW w:w="2835" w:type="dxa"/>
            <w:tcBorders>
              <w:top w:val="single" w:color="auto" w:sz="4" w:space="0"/>
              <w:left w:val="single" w:color="auto" w:sz="4" w:space="0"/>
              <w:bottom w:val="single" w:color="auto" w:sz="4" w:space="0"/>
              <w:right w:val="single" w:color="auto" w:sz="4" w:space="0"/>
            </w:tcBorders>
            <w:vAlign w:val="center"/>
          </w:tcPr>
          <w:p w14:paraId="555FF7FA">
            <w:pPr>
              <w:spacing w:before="0" w:after="0" w:line="240" w:lineRule="auto"/>
              <w:ind w:firstLine="0"/>
              <w:jc w:val="both"/>
              <w:rPr>
                <w:rFonts w:ascii="Times New Roman" w:hAnsi="Times New Roman" w:eastAsia="Times New Roman" w:cs="Times New Roman"/>
                <w:b/>
                <w:color w:val="000000"/>
                <w:kern w:val="0"/>
                <w:lang w:val="en-US"/>
                <w14:ligatures w14:val="none"/>
              </w:rPr>
            </w:pPr>
            <w:r>
              <w:rPr>
                <w:rFonts w:ascii="Times New Roman" w:hAnsi="Times New Roman" w:eastAsia="Times New Roman" w:cs="Times New Roman"/>
                <w:b/>
                <w:color w:val="000000"/>
                <w:kern w:val="0"/>
                <w:sz w:val="24"/>
                <w:lang w:val="en-US"/>
                <w14:ligatures w14:val="none"/>
              </w:rPr>
              <w:t>Тип барьера</w:t>
            </w:r>
          </w:p>
        </w:tc>
        <w:tc>
          <w:tcPr>
            <w:tcW w:w="2268" w:type="dxa"/>
            <w:tcBorders>
              <w:top w:val="single" w:color="auto" w:sz="4" w:space="0"/>
              <w:left w:val="single" w:color="auto" w:sz="4" w:space="0"/>
              <w:bottom w:val="single" w:color="auto" w:sz="4" w:space="0"/>
              <w:right w:val="single" w:color="auto" w:sz="4" w:space="0"/>
            </w:tcBorders>
            <w:vAlign w:val="center"/>
          </w:tcPr>
          <w:p w14:paraId="5DB9061D">
            <w:pPr>
              <w:spacing w:before="0" w:after="0" w:line="240" w:lineRule="auto"/>
              <w:ind w:firstLine="0"/>
              <w:jc w:val="both"/>
              <w:rPr>
                <w:rFonts w:ascii="Times New Roman" w:hAnsi="Times New Roman" w:eastAsia="Times New Roman" w:cs="Times New Roman"/>
                <w:b/>
                <w:color w:val="000000"/>
                <w:kern w:val="0"/>
                <w:lang w:val="en-US"/>
                <w14:ligatures w14:val="none"/>
              </w:rPr>
            </w:pPr>
            <w:r>
              <w:rPr>
                <w:rFonts w:ascii="Times New Roman" w:hAnsi="Times New Roman" w:eastAsia="Times New Roman" w:cs="Times New Roman"/>
                <w:b/>
                <w:color w:val="000000"/>
                <w:kern w:val="0"/>
                <w:sz w:val="24"/>
                <w:lang w:val="en-US"/>
                <w14:ligatures w14:val="none"/>
              </w:rPr>
              <w:t>Стадия пути</w:t>
            </w:r>
          </w:p>
        </w:tc>
      </w:tr>
      <w:tr w14:paraId="6E8A8562">
        <w:tc>
          <w:tcPr>
            <w:tcW w:w="4535" w:type="dxa"/>
            <w:tcBorders>
              <w:top w:val="single" w:color="auto" w:sz="4" w:space="0"/>
              <w:left w:val="single" w:color="auto" w:sz="4" w:space="0"/>
              <w:bottom w:val="single" w:color="auto" w:sz="4" w:space="0"/>
              <w:right w:val="single" w:color="auto" w:sz="4" w:space="0"/>
            </w:tcBorders>
          </w:tcPr>
          <w:p w14:paraId="2976DDA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Низкая конверсия первичного трафика сайта в записи</w:t>
            </w:r>
          </w:p>
        </w:tc>
        <w:tc>
          <w:tcPr>
            <w:tcW w:w="2835" w:type="dxa"/>
            <w:tcBorders>
              <w:top w:val="single" w:color="auto" w:sz="4" w:space="0"/>
              <w:left w:val="single" w:color="auto" w:sz="4" w:space="0"/>
              <w:bottom w:val="single" w:color="auto" w:sz="4" w:space="0"/>
              <w:right w:val="single" w:color="auto" w:sz="4" w:space="0"/>
            </w:tcBorders>
          </w:tcPr>
          <w:p w14:paraId="50224EE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Сервисный (трудоёмкость записи)</w:t>
            </w:r>
          </w:p>
        </w:tc>
        <w:tc>
          <w:tcPr>
            <w:tcW w:w="2268" w:type="dxa"/>
            <w:tcBorders>
              <w:top w:val="single" w:color="auto" w:sz="4" w:space="0"/>
              <w:left w:val="single" w:color="auto" w:sz="4" w:space="0"/>
              <w:bottom w:val="single" w:color="auto" w:sz="4" w:space="0"/>
              <w:right w:val="single" w:color="auto" w:sz="4" w:space="0"/>
            </w:tcBorders>
          </w:tcPr>
          <w:p w14:paraId="4F39915D">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Привлечение</w:t>
            </w:r>
          </w:p>
        </w:tc>
      </w:tr>
      <w:tr w14:paraId="4125ACE8">
        <w:tc>
          <w:tcPr>
            <w:tcW w:w="4535" w:type="dxa"/>
            <w:tcBorders>
              <w:top w:val="single" w:color="auto" w:sz="4" w:space="0"/>
              <w:left w:val="single" w:color="auto" w:sz="4" w:space="0"/>
              <w:bottom w:val="single" w:color="auto" w:sz="4" w:space="0"/>
              <w:right w:val="single" w:color="auto" w:sz="4" w:space="0"/>
            </w:tcBorders>
          </w:tcPr>
          <w:p w14:paraId="532BF052">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Рост числа неявок на записанные приёмы</w:t>
            </w:r>
          </w:p>
        </w:tc>
        <w:tc>
          <w:tcPr>
            <w:tcW w:w="2835" w:type="dxa"/>
            <w:tcBorders>
              <w:top w:val="single" w:color="auto" w:sz="4" w:space="0"/>
              <w:left w:val="single" w:color="auto" w:sz="4" w:space="0"/>
              <w:bottom w:val="single" w:color="auto" w:sz="4" w:space="0"/>
              <w:right w:val="single" w:color="auto" w:sz="4" w:space="0"/>
            </w:tcBorders>
          </w:tcPr>
          <w:p w14:paraId="57AF4D0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Поведенческий (забывание, низкая мотивация)</w:t>
            </w:r>
          </w:p>
        </w:tc>
        <w:tc>
          <w:tcPr>
            <w:tcW w:w="2268" w:type="dxa"/>
            <w:tcBorders>
              <w:top w:val="single" w:color="auto" w:sz="4" w:space="0"/>
              <w:left w:val="single" w:color="auto" w:sz="4" w:space="0"/>
              <w:bottom w:val="single" w:color="auto" w:sz="4" w:space="0"/>
              <w:right w:val="single" w:color="auto" w:sz="4" w:space="0"/>
            </w:tcBorders>
          </w:tcPr>
          <w:p w14:paraId="7B2B248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Подтверждение</w:t>
            </w:r>
          </w:p>
        </w:tc>
      </w:tr>
      <w:tr w14:paraId="22B44595">
        <w:tc>
          <w:tcPr>
            <w:tcW w:w="4535" w:type="dxa"/>
            <w:tcBorders>
              <w:top w:val="single" w:color="auto" w:sz="4" w:space="0"/>
              <w:left w:val="single" w:color="auto" w:sz="4" w:space="0"/>
              <w:bottom w:val="single" w:color="auto" w:sz="4" w:space="0"/>
              <w:right w:val="single" w:color="auto" w:sz="4" w:space="0"/>
            </w:tcBorders>
          </w:tcPr>
          <w:p w14:paraId="5D6713F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Отказы из-за трудоёмкости переноса записи</w:t>
            </w:r>
          </w:p>
        </w:tc>
        <w:tc>
          <w:tcPr>
            <w:tcW w:w="2835" w:type="dxa"/>
            <w:tcBorders>
              <w:top w:val="single" w:color="auto" w:sz="4" w:space="0"/>
              <w:left w:val="single" w:color="auto" w:sz="4" w:space="0"/>
              <w:bottom w:val="single" w:color="auto" w:sz="4" w:space="0"/>
              <w:right w:val="single" w:color="auto" w:sz="4" w:space="0"/>
            </w:tcBorders>
          </w:tcPr>
          <w:p w14:paraId="5676338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Сервисный (отсутствие само</w:t>
            </w:r>
            <w:r>
              <w:rPr>
                <w:rFonts w:ascii="Times New Roman" w:hAnsi="Times New Roman" w:eastAsia="Times New Roman" w:cs="Times New Roman"/>
                <w:bCs/>
                <w:color w:val="000000"/>
                <w:kern w:val="0"/>
                <w:sz w:val="24"/>
                <w14:ligatures w14:val="none"/>
              </w:rPr>
              <w:t>записи</w:t>
            </w:r>
            <w:r>
              <w:rPr>
                <w:rFonts w:ascii="Times New Roman" w:hAnsi="Times New Roman" w:eastAsia="Times New Roman" w:cs="Times New Roman"/>
                <w:bCs/>
                <w:color w:val="000000"/>
                <w:kern w:val="0"/>
                <w:sz w:val="24"/>
                <w:lang w:val="en-US"/>
                <w14:ligatures w14:val="none"/>
              </w:rPr>
              <w:t>)</w:t>
            </w:r>
          </w:p>
        </w:tc>
        <w:tc>
          <w:tcPr>
            <w:tcW w:w="2268" w:type="dxa"/>
            <w:tcBorders>
              <w:top w:val="single" w:color="auto" w:sz="4" w:space="0"/>
              <w:left w:val="single" w:color="auto" w:sz="4" w:space="0"/>
              <w:bottom w:val="single" w:color="auto" w:sz="4" w:space="0"/>
              <w:right w:val="single" w:color="auto" w:sz="4" w:space="0"/>
            </w:tcBorders>
          </w:tcPr>
          <w:p w14:paraId="0FA4072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Подтверждение</w:t>
            </w:r>
          </w:p>
        </w:tc>
      </w:tr>
      <w:tr w14:paraId="4FEF7F54">
        <w:tc>
          <w:tcPr>
            <w:tcW w:w="4535" w:type="dxa"/>
            <w:tcBorders>
              <w:top w:val="single" w:color="auto" w:sz="4" w:space="0"/>
              <w:left w:val="single" w:color="auto" w:sz="4" w:space="0"/>
              <w:bottom w:val="single" w:color="auto" w:sz="4" w:space="0"/>
              <w:right w:val="single" w:color="auto" w:sz="4" w:space="0"/>
            </w:tcBorders>
          </w:tcPr>
          <w:p w14:paraId="78DE1EB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Отток на этапе пост-диагностики</w:t>
            </w:r>
          </w:p>
        </w:tc>
        <w:tc>
          <w:tcPr>
            <w:tcW w:w="2835" w:type="dxa"/>
            <w:tcBorders>
              <w:top w:val="single" w:color="auto" w:sz="4" w:space="0"/>
              <w:left w:val="single" w:color="auto" w:sz="4" w:space="0"/>
              <w:bottom w:val="single" w:color="auto" w:sz="4" w:space="0"/>
              <w:right w:val="single" w:color="auto" w:sz="4" w:space="0"/>
            </w:tcBorders>
          </w:tcPr>
          <w:p w14:paraId="7C4E795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Информационный (нет цифрового канала плана лечения)</w:t>
            </w:r>
          </w:p>
        </w:tc>
        <w:tc>
          <w:tcPr>
            <w:tcW w:w="2268" w:type="dxa"/>
            <w:tcBorders>
              <w:top w:val="single" w:color="auto" w:sz="4" w:space="0"/>
              <w:left w:val="single" w:color="auto" w:sz="4" w:space="0"/>
              <w:bottom w:val="single" w:color="auto" w:sz="4" w:space="0"/>
              <w:right w:val="single" w:color="auto" w:sz="4" w:space="0"/>
            </w:tcBorders>
          </w:tcPr>
          <w:p w14:paraId="6993389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Пост-визит</w:t>
            </w:r>
          </w:p>
        </w:tc>
      </w:tr>
      <w:tr w14:paraId="7FE6422E">
        <w:tc>
          <w:tcPr>
            <w:tcW w:w="4535" w:type="dxa"/>
            <w:tcBorders>
              <w:top w:val="single" w:color="auto" w:sz="4" w:space="0"/>
              <w:left w:val="single" w:color="auto" w:sz="4" w:space="0"/>
              <w:bottom w:val="single" w:color="auto" w:sz="4" w:space="0"/>
              <w:right w:val="single" w:color="auto" w:sz="4" w:space="0"/>
            </w:tcBorders>
          </w:tcPr>
          <w:p w14:paraId="31F49E5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Нагрузка регистратуры по запросам истории</w:t>
            </w:r>
          </w:p>
        </w:tc>
        <w:tc>
          <w:tcPr>
            <w:tcW w:w="2835" w:type="dxa"/>
            <w:tcBorders>
              <w:top w:val="single" w:color="auto" w:sz="4" w:space="0"/>
              <w:left w:val="single" w:color="auto" w:sz="4" w:space="0"/>
              <w:bottom w:val="single" w:color="auto" w:sz="4" w:space="0"/>
              <w:right w:val="single" w:color="auto" w:sz="4" w:space="0"/>
            </w:tcBorders>
          </w:tcPr>
          <w:p w14:paraId="106C68B9">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Информационный (нет доступа к истории)</w:t>
            </w:r>
          </w:p>
        </w:tc>
        <w:tc>
          <w:tcPr>
            <w:tcW w:w="2268" w:type="dxa"/>
            <w:tcBorders>
              <w:top w:val="single" w:color="auto" w:sz="4" w:space="0"/>
              <w:left w:val="single" w:color="auto" w:sz="4" w:space="0"/>
              <w:bottom w:val="single" w:color="auto" w:sz="4" w:space="0"/>
              <w:right w:val="single" w:color="auto" w:sz="4" w:space="0"/>
            </w:tcBorders>
          </w:tcPr>
          <w:p w14:paraId="29FA3C4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Удержание</w:t>
            </w:r>
          </w:p>
        </w:tc>
      </w:tr>
      <w:tr w14:paraId="2386785A">
        <w:tc>
          <w:tcPr>
            <w:tcW w:w="4535" w:type="dxa"/>
            <w:tcBorders>
              <w:top w:val="single" w:color="auto" w:sz="4" w:space="0"/>
              <w:left w:val="single" w:color="auto" w:sz="4" w:space="0"/>
              <w:bottom w:val="single" w:color="auto" w:sz="4" w:space="0"/>
              <w:right w:val="single" w:color="auto" w:sz="4" w:space="0"/>
            </w:tcBorders>
          </w:tcPr>
          <w:p w14:paraId="3F85E43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Снижение частоты профилактических визитов</w:t>
            </w:r>
          </w:p>
        </w:tc>
        <w:tc>
          <w:tcPr>
            <w:tcW w:w="2835" w:type="dxa"/>
            <w:tcBorders>
              <w:top w:val="single" w:color="auto" w:sz="4" w:space="0"/>
              <w:left w:val="single" w:color="auto" w:sz="4" w:space="0"/>
              <w:bottom w:val="single" w:color="auto" w:sz="4" w:space="0"/>
              <w:right w:val="single" w:color="auto" w:sz="4" w:space="0"/>
            </w:tcBorders>
          </w:tcPr>
          <w:p w14:paraId="0E919FA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Поведенческий (нет триггерных коммуникаций)</w:t>
            </w:r>
          </w:p>
        </w:tc>
        <w:tc>
          <w:tcPr>
            <w:tcW w:w="2268" w:type="dxa"/>
            <w:tcBorders>
              <w:top w:val="single" w:color="auto" w:sz="4" w:space="0"/>
              <w:left w:val="single" w:color="auto" w:sz="4" w:space="0"/>
              <w:bottom w:val="single" w:color="auto" w:sz="4" w:space="0"/>
              <w:right w:val="single" w:color="auto" w:sz="4" w:space="0"/>
            </w:tcBorders>
          </w:tcPr>
          <w:p w14:paraId="03A6729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Удержание</w:t>
            </w:r>
          </w:p>
        </w:tc>
      </w:tr>
      <w:tr w14:paraId="163B0253">
        <w:tc>
          <w:tcPr>
            <w:tcW w:w="4535" w:type="dxa"/>
            <w:tcBorders>
              <w:top w:val="single" w:color="auto" w:sz="4" w:space="0"/>
              <w:left w:val="single" w:color="auto" w:sz="4" w:space="0"/>
              <w:bottom w:val="single" w:color="auto" w:sz="4" w:space="0"/>
              <w:right w:val="single" w:color="auto" w:sz="4" w:space="0"/>
            </w:tcBorders>
          </w:tcPr>
          <w:p w14:paraId="78C3CD57">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Невозможность ретаргетинга и повторных коммуникаций</w:t>
            </w:r>
          </w:p>
        </w:tc>
        <w:tc>
          <w:tcPr>
            <w:tcW w:w="2835" w:type="dxa"/>
            <w:tcBorders>
              <w:top w:val="single" w:color="auto" w:sz="4" w:space="0"/>
              <w:left w:val="single" w:color="auto" w:sz="4" w:space="0"/>
              <w:bottom w:val="single" w:color="auto" w:sz="4" w:space="0"/>
              <w:right w:val="single" w:color="auto" w:sz="4" w:space="0"/>
            </w:tcBorders>
          </w:tcPr>
          <w:p w14:paraId="0AA968B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Структурный (нет идентифицированных контактов)</w:t>
            </w:r>
          </w:p>
        </w:tc>
        <w:tc>
          <w:tcPr>
            <w:tcW w:w="2268" w:type="dxa"/>
            <w:tcBorders>
              <w:top w:val="single" w:color="auto" w:sz="4" w:space="0"/>
              <w:left w:val="single" w:color="auto" w:sz="4" w:space="0"/>
              <w:bottom w:val="single" w:color="auto" w:sz="4" w:space="0"/>
              <w:right w:val="single" w:color="auto" w:sz="4" w:space="0"/>
            </w:tcBorders>
          </w:tcPr>
          <w:p w14:paraId="2023BDF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Привлечение</w:t>
            </w:r>
          </w:p>
        </w:tc>
      </w:tr>
      <w:tr w14:paraId="52650B9D">
        <w:tc>
          <w:tcPr>
            <w:tcW w:w="4535" w:type="dxa"/>
            <w:tcBorders>
              <w:top w:val="single" w:color="auto" w:sz="4" w:space="0"/>
              <w:left w:val="single" w:color="auto" w:sz="4" w:space="0"/>
              <w:bottom w:val="single" w:color="auto" w:sz="4" w:space="0"/>
              <w:right w:val="single" w:color="auto" w:sz="4" w:space="0"/>
            </w:tcBorders>
          </w:tcPr>
          <w:p w14:paraId="70D4E4F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Зависимость от единственного канала записи</w:t>
            </w:r>
          </w:p>
        </w:tc>
        <w:tc>
          <w:tcPr>
            <w:tcW w:w="2835" w:type="dxa"/>
            <w:tcBorders>
              <w:top w:val="single" w:color="auto" w:sz="4" w:space="0"/>
              <w:left w:val="single" w:color="auto" w:sz="4" w:space="0"/>
              <w:bottom w:val="single" w:color="auto" w:sz="4" w:space="0"/>
              <w:right w:val="single" w:color="auto" w:sz="4" w:space="0"/>
            </w:tcBorders>
          </w:tcPr>
          <w:p w14:paraId="3260EE7D">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Операционный риск</w:t>
            </w:r>
          </w:p>
        </w:tc>
        <w:tc>
          <w:tcPr>
            <w:tcW w:w="2268" w:type="dxa"/>
            <w:tcBorders>
              <w:top w:val="single" w:color="auto" w:sz="4" w:space="0"/>
              <w:left w:val="single" w:color="auto" w:sz="4" w:space="0"/>
              <w:bottom w:val="single" w:color="auto" w:sz="4" w:space="0"/>
              <w:right w:val="single" w:color="auto" w:sz="4" w:space="0"/>
            </w:tcBorders>
          </w:tcPr>
          <w:p w14:paraId="4BA9F69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Все стадии</w:t>
            </w:r>
          </w:p>
        </w:tc>
      </w:tr>
    </w:tbl>
    <w:p w14:paraId="496E46D8">
      <w:pPr>
        <w:spacing w:before="0" w:after="0"/>
        <w:ind w:firstLine="709"/>
        <w:jc w:val="both"/>
      </w:pPr>
      <w:r>
        <w:rPr>
          <w:rFonts w:ascii="Times New Roman" w:hAnsi="Times New Roman"/>
          <w:b w:val="0"/>
          <w:sz w:val="28"/>
        </w:rPr>
        <w:t>Восемь конкретных проявлений управленческой проблемы систематизированы по трём типам барьеров (сервисный, поведенческий, информационный) и четырём стадиям пути пациента (привлечение, подтверждение, пост-визит, удержание). Сервисные барьеры — трудоёмкость записи и отсутствие самозаписи — преобладают на стадиях привлечения и подтверждения. Информационные барьеры концентрируются на пост-визитном этапе: пациент лишён цифрового канала планирования лечения и доступа к своей истории. Такая классификация позволяет адресно связывать каждое функциональное требование к продукту с конкретным узким местом в клиентском пути.</w:t>
      </w:r>
    </w:p>
    <w:p w14:paraId="67486D0F">
      <w:pPr>
        <w:spacing w:before="0" w:after="0"/>
        <w:jc w:val="center"/>
      </w:pPr>
      <w:r>
        <w:drawing>
          <wp:inline distT="0" distB="0" distL="114300" distR="114300">
            <wp:extent cx="5759450" cy="5687060"/>
            <wp:effectExtent l="0" t="0" r="6350" b="2540"/>
            <wp:docPr id="2130539290" name="Picture 21305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9290" name="Picture 2130539290"/>
                    <pic:cNvPicPr>
                      <a:picLocks noChangeAspect="1"/>
                    </pic:cNvPicPr>
                  </pic:nvPicPr>
                  <pic:blipFill>
                    <a:blip r:embed="rId31"/>
                    <a:stretch>
                      <a:fillRect/>
                    </a:stretch>
                  </pic:blipFill>
                  <pic:spPr>
                    <a:xfrm>
                      <a:off x="0" y="0"/>
                      <a:ext cx="5760000" cy="5687671"/>
                    </a:xfrm>
                    <a:prstGeom prst="rect">
                      <a:avLst/>
                    </a:prstGeom>
                  </pic:spPr>
                </pic:pic>
              </a:graphicData>
            </a:graphic>
          </wp:inline>
        </w:drawing>
      </w:r>
    </w:p>
    <w:p w14:paraId="303F2657">
      <w:pPr>
        <w:spacing w:before="0" w:after="0"/>
        <w:jc w:val="center"/>
      </w:pPr>
      <w:r>
        <w:rPr>
          <w:rFonts w:ascii="Times New Roman" w:hAnsi="Times New Roman"/>
          <w:b w:val="0"/>
          <w:sz w:val="28"/>
        </w:rPr>
        <w:t>Рисунок 19 — Тематическое кодирование барьеров пути пациента</w:t>
      </w:r>
    </w:p>
    <w:p w14:paraId="1453182F">
      <w:pPr>
        <w:spacing w:before="0" w:after="0"/>
        <w:ind w:firstLine="709"/>
        <w:jc w:val="both"/>
      </w:pPr>
      <w:r>
        <w:rPr>
          <w:rFonts w:ascii="Times New Roman" w:hAnsi="Times New Roman"/>
          <w:b w:val="0"/>
          <w:sz w:val="28"/>
        </w:rPr>
        <w:t>Кодирование проводилось методом контент-анализа по материалам полуструктурированных интервью с 62 респондентами и отзывам пациентов сети. Работа шла в три прохода: сначала каждому проявлению барьера присвоили метку (открытое кодирование), затем метки сгруппировали по типу барьера в категории (осевое кодирование), после чего категории объединили в четыре темы (выборочное кодирование). На выходе — схема из 4 тем, 4 категорий и 8 кодов, по числу проявлений управленческой проблемы из Таблицы 13. Темы «Доступность записи» и «Поведенческие факторы» покрывают барьеры стадий привлечения и подтверждения; «Информационное сопровождение» — стадии пост-визита и удержания; «Структурные ограничения» — барьер повторных коммуникаций на стадии привлечения. Каждый код привязан к конкретному типу барьера и стадии пути пациента, что даёт возможность напрямую сопоставить проявление проблемы с нужным цифровым инструментом.</w:t>
      </w:r>
    </w:p>
    <w:p w14:paraId="097B784E">
      <w:pPr>
        <w:spacing w:before="0" w:after="0" w:line="360" w:lineRule="auto"/>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Источник: составлено автором </w:t>
      </w:r>
    </w:p>
    <w:p w14:paraId="00A59EA4">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Исходя из таблицы видно свойство, важное для проектирования решения: проявления одного и того же типа барьера встречаются на разных стадиях пути, а одна стадия пути собирает разные типы барьеров. Поэтому точечное решение одного канала не закрывает проблему системно – необходим набор инструментов, согласованных в единой цифровой инфраструктуре. </w:t>
      </w:r>
    </w:p>
    <w:p w14:paraId="62518603">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В российской практике цифровизация коммуникаций с пациентом развивается несколькими параллельными линиями. Первая линия – медицинские информационные системы (МИС) с контуром пациента: «1С: Медицина. Стоматологическая клиника» и аналоги ведут запись, расписание врачей, электронную карту и финансовый учёт, а мобильное приложение пациента надстраивается над ними для самостоятельной записи и просмотра истории.</w:t>
      </w:r>
    </w:p>
    <w:p w14:paraId="6C8F1D65">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Вторая линия – внешние агрегаторы и платформы записи: «СберЗдоровье», «ПроДокторов», «</w:t>
      </w:r>
      <w:r>
        <w:rPr>
          <w:rFonts w:ascii="Times New Roman" w:hAnsi="Times New Roman" w:eastAsia="Times New Roman" w:cs="Times New Roman"/>
          <w:bCs/>
          <w:color w:val="000000"/>
          <w:kern w:val="0"/>
          <w:sz w:val="28"/>
          <w:szCs w:val="22"/>
          <w:lang w:val="en-US"/>
          <w14:ligatures w14:val="none"/>
        </w:rPr>
        <w:t>DocDoc</w:t>
      </w:r>
      <w:r>
        <w:rPr>
          <w:rFonts w:ascii="Times New Roman" w:hAnsi="Times New Roman" w:eastAsia="Times New Roman" w:cs="Times New Roman"/>
          <w:bCs/>
          <w:color w:val="000000"/>
          <w:kern w:val="0"/>
          <w:sz w:val="28"/>
          <w:szCs w:val="22"/>
          <w14:ligatures w14:val="none"/>
        </w:rPr>
        <w:t>.</w:t>
      </w:r>
      <w:r>
        <w:rPr>
          <w:rFonts w:ascii="Times New Roman" w:hAnsi="Times New Roman" w:eastAsia="Times New Roman" w:cs="Times New Roman"/>
          <w:bCs/>
          <w:color w:val="000000"/>
          <w:kern w:val="0"/>
          <w:sz w:val="28"/>
          <w:szCs w:val="22"/>
          <w:lang w:val="en-US"/>
          <w14:ligatures w14:val="none"/>
        </w:rPr>
        <w:t>ru</w:t>
      </w:r>
      <w:r>
        <w:rPr>
          <w:rFonts w:ascii="Times New Roman" w:hAnsi="Times New Roman" w:eastAsia="Times New Roman" w:cs="Times New Roman"/>
          <w:bCs/>
          <w:color w:val="000000"/>
          <w:kern w:val="0"/>
          <w:sz w:val="28"/>
          <w:szCs w:val="22"/>
          <w14:ligatures w14:val="none"/>
        </w:rPr>
        <w:t>», «НаПоправку». Они работают как точка первого касания и часто используются пациентами для сравнения клиник по цене и отзывам. Их недостаток для сети клиник – «потеря» пациента: контактные данные и история взаимодействий остаются на платформе, а не в собственной системе клиники, что затрудняет повторные коммуникации и ретаргетинг.</w:t>
      </w:r>
    </w:p>
    <w:p w14:paraId="496792A5">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Третья линия – собственные приложения сетей клиник. Пример – приложение «Мой Зубной» сети одноимённых стоматологий Санкт-Петербурга: оно собирает расписание врачей, историю посещений, информацию о гарантиях и квалификации специалистов, сведения о расположении и режиме работы филиалов. Такие приложения решают задачу удержания постоянного пациента и снижают зависимость клиники от внешних агрегаторов.</w:t>
      </w:r>
    </w:p>
    <w:p w14:paraId="25718D99">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Четвёртая линия – мессенджеры и чат-боты. По наблюдениям отраслевых кейсов, перевод уведомлений из </w:t>
      </w:r>
      <w:r>
        <w:rPr>
          <w:rFonts w:ascii="Times New Roman" w:hAnsi="Times New Roman" w:eastAsia="Times New Roman" w:cs="Times New Roman"/>
          <w:bCs/>
          <w:color w:val="000000"/>
          <w:kern w:val="0"/>
          <w:sz w:val="28"/>
          <w:szCs w:val="22"/>
          <w:lang w:val="en-US"/>
          <w14:ligatures w14:val="none"/>
        </w:rPr>
        <w:t>SMS</w:t>
      </w:r>
      <w:r>
        <w:rPr>
          <w:rFonts w:ascii="Times New Roman" w:hAnsi="Times New Roman" w:eastAsia="Times New Roman" w:cs="Times New Roman"/>
          <w:bCs/>
          <w:color w:val="000000"/>
          <w:kern w:val="0"/>
          <w:sz w:val="28"/>
          <w:szCs w:val="22"/>
          <w14:ligatures w14:val="none"/>
        </w:rPr>
        <w:t xml:space="preserve"> в мессенджеры повышает долю подтверждённых визитов и сокращает число неявок за счёт более высокой доставляемости и удобного формата подтверждения.</w:t>
      </w:r>
    </w:p>
    <w:p w14:paraId="1051EF44">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14 — Российские цифровые решения для стоматологических клиник и их функциональный охват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3402"/>
        <w:gridCol w:w="3402"/>
      </w:tblGrid>
      <w:tr w14:paraId="67117371">
        <w:tc>
          <w:tcPr>
            <w:tcW w:w="2551" w:type="dxa"/>
            <w:tcBorders>
              <w:top w:val="single" w:color="auto" w:sz="4" w:space="0"/>
              <w:left w:val="single" w:color="auto" w:sz="4" w:space="0"/>
              <w:bottom w:val="single" w:color="auto" w:sz="4" w:space="0"/>
              <w:right w:val="single" w:color="auto" w:sz="4" w:space="0"/>
            </w:tcBorders>
            <w:vAlign w:val="center"/>
          </w:tcPr>
          <w:p w14:paraId="3254BE86">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Класс решения</w:t>
            </w:r>
          </w:p>
        </w:tc>
        <w:tc>
          <w:tcPr>
            <w:tcW w:w="3402" w:type="dxa"/>
            <w:tcBorders>
              <w:top w:val="single" w:color="auto" w:sz="4" w:space="0"/>
              <w:left w:val="single" w:color="auto" w:sz="4" w:space="0"/>
              <w:bottom w:val="single" w:color="auto" w:sz="4" w:space="0"/>
              <w:right w:val="single" w:color="auto" w:sz="4" w:space="0"/>
            </w:tcBorders>
            <w:vAlign w:val="center"/>
          </w:tcPr>
          <w:p w14:paraId="781DE4B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Примеры</w:t>
            </w:r>
          </w:p>
        </w:tc>
        <w:tc>
          <w:tcPr>
            <w:tcW w:w="3402" w:type="dxa"/>
            <w:tcBorders>
              <w:top w:val="single" w:color="auto" w:sz="4" w:space="0"/>
              <w:left w:val="single" w:color="auto" w:sz="4" w:space="0"/>
              <w:bottom w:val="single" w:color="auto" w:sz="4" w:space="0"/>
              <w:right w:val="single" w:color="auto" w:sz="4" w:space="0"/>
            </w:tcBorders>
            <w:vAlign w:val="center"/>
          </w:tcPr>
          <w:p w14:paraId="2DDBDF4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Покрытие пути пациента</w:t>
            </w:r>
          </w:p>
        </w:tc>
      </w:tr>
      <w:tr w14:paraId="570B7003">
        <w:tc>
          <w:tcPr>
            <w:tcW w:w="2551" w:type="dxa"/>
            <w:tcBorders>
              <w:top w:val="single" w:color="auto" w:sz="4" w:space="0"/>
              <w:left w:val="single" w:color="auto" w:sz="4" w:space="0"/>
              <w:bottom w:val="single" w:color="auto" w:sz="4" w:space="0"/>
              <w:right w:val="single" w:color="auto" w:sz="4" w:space="0"/>
            </w:tcBorders>
          </w:tcPr>
          <w:p w14:paraId="2386AF4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МИС с контуром пациента</w:t>
            </w:r>
          </w:p>
        </w:tc>
        <w:tc>
          <w:tcPr>
            <w:tcW w:w="3402" w:type="dxa"/>
            <w:tcBorders>
              <w:top w:val="single" w:color="auto" w:sz="4" w:space="0"/>
              <w:left w:val="single" w:color="auto" w:sz="4" w:space="0"/>
              <w:bottom w:val="single" w:color="auto" w:sz="4" w:space="0"/>
              <w:right w:val="single" w:color="auto" w:sz="4" w:space="0"/>
            </w:tcBorders>
          </w:tcPr>
          <w:p w14:paraId="00FF5951">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1С:Медицина. Стоматологическая клиника, </w:t>
            </w:r>
            <w:r>
              <w:rPr>
                <w:rFonts w:ascii="Times New Roman" w:hAnsi="Times New Roman" w:eastAsia="Times New Roman" w:cs="Times New Roman"/>
                <w:bCs/>
                <w:color w:val="000000"/>
                <w:kern w:val="0"/>
                <w:sz w:val="24"/>
                <w:lang w:val="en-US"/>
                <w14:ligatures w14:val="none"/>
              </w:rPr>
              <w:t>IDENT</w:t>
            </w:r>
            <w:r>
              <w:rPr>
                <w:rFonts w:ascii="Times New Roman" w:hAnsi="Times New Roman" w:eastAsia="Times New Roman" w:cs="Times New Roman"/>
                <w:bCs/>
                <w:color w:val="000000"/>
                <w:kern w:val="0"/>
                <w:sz w:val="24"/>
                <w14:ligatures w14:val="none"/>
              </w:rPr>
              <w:t xml:space="preserve">, </w:t>
            </w:r>
            <w:r>
              <w:rPr>
                <w:rFonts w:ascii="Times New Roman" w:hAnsi="Times New Roman" w:eastAsia="Times New Roman" w:cs="Times New Roman"/>
                <w:bCs/>
                <w:color w:val="000000"/>
                <w:kern w:val="0"/>
                <w:sz w:val="24"/>
                <w:lang w:val="en-US"/>
                <w14:ligatures w14:val="none"/>
              </w:rPr>
              <w:t>Dental</w:t>
            </w:r>
            <w:r>
              <w:rPr>
                <w:rFonts w:ascii="Times New Roman" w:hAnsi="Times New Roman" w:eastAsia="Times New Roman" w:cs="Times New Roman"/>
                <w:bCs/>
                <w:color w:val="000000"/>
                <w:kern w:val="0"/>
                <w:sz w:val="24"/>
                <w14:ligatures w14:val="none"/>
              </w:rPr>
              <w:t>4</w:t>
            </w:r>
            <w:r>
              <w:rPr>
                <w:rFonts w:ascii="Times New Roman" w:hAnsi="Times New Roman" w:eastAsia="Times New Roman" w:cs="Times New Roman"/>
                <w:bCs/>
                <w:color w:val="000000"/>
                <w:kern w:val="0"/>
                <w:sz w:val="24"/>
                <w:lang w:val="en-US"/>
                <w14:ligatures w14:val="none"/>
              </w:rPr>
              <w:t>Windows</w:t>
            </w:r>
          </w:p>
        </w:tc>
        <w:tc>
          <w:tcPr>
            <w:tcW w:w="3402" w:type="dxa"/>
            <w:tcBorders>
              <w:top w:val="single" w:color="auto" w:sz="4" w:space="0"/>
              <w:left w:val="single" w:color="auto" w:sz="4" w:space="0"/>
              <w:bottom w:val="single" w:color="auto" w:sz="4" w:space="0"/>
              <w:right w:val="single" w:color="auto" w:sz="4" w:space="0"/>
            </w:tcBorders>
          </w:tcPr>
          <w:p w14:paraId="5F122B13">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Запись, расписание, электронная карта, кабинет пациента</w:t>
            </w:r>
          </w:p>
        </w:tc>
      </w:tr>
      <w:tr w14:paraId="13AB0CA8">
        <w:tc>
          <w:tcPr>
            <w:tcW w:w="2551" w:type="dxa"/>
            <w:tcBorders>
              <w:top w:val="single" w:color="auto" w:sz="4" w:space="0"/>
              <w:left w:val="single" w:color="auto" w:sz="4" w:space="0"/>
              <w:bottom w:val="single" w:color="auto" w:sz="4" w:space="0"/>
              <w:right w:val="single" w:color="auto" w:sz="4" w:space="0"/>
            </w:tcBorders>
          </w:tcPr>
          <w:p w14:paraId="6CD50EE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Внешние агрегаторы и платформы</w:t>
            </w:r>
          </w:p>
        </w:tc>
        <w:tc>
          <w:tcPr>
            <w:tcW w:w="3402" w:type="dxa"/>
            <w:tcBorders>
              <w:top w:val="single" w:color="auto" w:sz="4" w:space="0"/>
              <w:left w:val="single" w:color="auto" w:sz="4" w:space="0"/>
              <w:bottom w:val="single" w:color="auto" w:sz="4" w:space="0"/>
              <w:right w:val="single" w:color="auto" w:sz="4" w:space="0"/>
            </w:tcBorders>
          </w:tcPr>
          <w:p w14:paraId="44A9E91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СберЗдоровье, ПроДокторов, DocDoc, НаПоправку</w:t>
            </w:r>
          </w:p>
        </w:tc>
        <w:tc>
          <w:tcPr>
            <w:tcW w:w="3402" w:type="dxa"/>
            <w:tcBorders>
              <w:top w:val="single" w:color="auto" w:sz="4" w:space="0"/>
              <w:left w:val="single" w:color="auto" w:sz="4" w:space="0"/>
              <w:bottom w:val="single" w:color="auto" w:sz="4" w:space="0"/>
              <w:right w:val="single" w:color="auto" w:sz="4" w:space="0"/>
            </w:tcBorders>
          </w:tcPr>
          <w:p w14:paraId="45601FA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Первичный поиск, сравнение, отзывы, запись</w:t>
            </w:r>
          </w:p>
        </w:tc>
      </w:tr>
      <w:tr w14:paraId="05F5024A">
        <w:tc>
          <w:tcPr>
            <w:tcW w:w="2551" w:type="dxa"/>
            <w:tcBorders>
              <w:top w:val="single" w:color="auto" w:sz="4" w:space="0"/>
              <w:left w:val="single" w:color="auto" w:sz="4" w:space="0"/>
              <w:bottom w:val="single" w:color="auto" w:sz="4" w:space="0"/>
              <w:right w:val="single" w:color="auto" w:sz="4" w:space="0"/>
            </w:tcBorders>
          </w:tcPr>
          <w:p w14:paraId="24114B5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Собственные приложения сетей</w:t>
            </w:r>
          </w:p>
        </w:tc>
        <w:tc>
          <w:tcPr>
            <w:tcW w:w="3402" w:type="dxa"/>
            <w:tcBorders>
              <w:top w:val="single" w:color="auto" w:sz="4" w:space="0"/>
              <w:left w:val="single" w:color="auto" w:sz="4" w:space="0"/>
              <w:bottom w:val="single" w:color="auto" w:sz="4" w:space="0"/>
              <w:right w:val="single" w:color="auto" w:sz="4" w:space="0"/>
            </w:tcBorders>
          </w:tcPr>
          <w:p w14:paraId="46843F4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Мой Зубной, фирменные приложения сетей в Москве и Санкт-Петербурге</w:t>
            </w:r>
          </w:p>
        </w:tc>
        <w:tc>
          <w:tcPr>
            <w:tcW w:w="3402" w:type="dxa"/>
            <w:tcBorders>
              <w:top w:val="single" w:color="auto" w:sz="4" w:space="0"/>
              <w:left w:val="single" w:color="auto" w:sz="4" w:space="0"/>
              <w:bottom w:val="single" w:color="auto" w:sz="4" w:space="0"/>
              <w:right w:val="single" w:color="auto" w:sz="4" w:space="0"/>
            </w:tcBorders>
          </w:tcPr>
          <w:p w14:paraId="5A7CEF4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Запись, история визитов, гарантии, документы</w:t>
            </w:r>
          </w:p>
        </w:tc>
      </w:tr>
      <w:tr w14:paraId="422600D8">
        <w:tc>
          <w:tcPr>
            <w:tcW w:w="2551" w:type="dxa"/>
            <w:tcBorders>
              <w:top w:val="single" w:color="auto" w:sz="4" w:space="0"/>
              <w:left w:val="single" w:color="auto" w:sz="4" w:space="0"/>
              <w:bottom w:val="single" w:color="auto" w:sz="4" w:space="0"/>
              <w:right w:val="single" w:color="auto" w:sz="4" w:space="0"/>
            </w:tcBorders>
          </w:tcPr>
          <w:p w14:paraId="236595E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Мессенджеры и чат-боты</w:t>
            </w:r>
          </w:p>
        </w:tc>
        <w:tc>
          <w:tcPr>
            <w:tcW w:w="3402" w:type="dxa"/>
            <w:tcBorders>
              <w:top w:val="single" w:color="auto" w:sz="4" w:space="0"/>
              <w:left w:val="single" w:color="auto" w:sz="4" w:space="0"/>
              <w:bottom w:val="single" w:color="auto" w:sz="4" w:space="0"/>
              <w:right w:val="single" w:color="auto" w:sz="4" w:space="0"/>
            </w:tcBorders>
          </w:tcPr>
          <w:p w14:paraId="0B3430D6">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Боты на базе WhatsApp Business, Telegram Bot API</w:t>
            </w:r>
          </w:p>
        </w:tc>
        <w:tc>
          <w:tcPr>
            <w:tcW w:w="3402" w:type="dxa"/>
            <w:tcBorders>
              <w:top w:val="single" w:color="auto" w:sz="4" w:space="0"/>
              <w:left w:val="single" w:color="auto" w:sz="4" w:space="0"/>
              <w:bottom w:val="single" w:color="auto" w:sz="4" w:space="0"/>
              <w:right w:val="single" w:color="auto" w:sz="4" w:space="0"/>
            </w:tcBorders>
          </w:tcPr>
          <w:p w14:paraId="6C422F85">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Напоминания, подтверждение, </w:t>
            </w:r>
            <w:r>
              <w:rPr>
                <w:rFonts w:ascii="Times New Roman" w:hAnsi="Times New Roman" w:eastAsia="Times New Roman" w:cs="Times New Roman"/>
                <w:bCs/>
                <w:color w:val="000000"/>
                <w:kern w:val="0"/>
                <w:sz w:val="24"/>
                <w:lang w:val="en-US"/>
                <w14:ligatures w14:val="none"/>
              </w:rPr>
              <w:t>FAQ</w:t>
            </w:r>
            <w:r>
              <w:rPr>
                <w:rFonts w:ascii="Times New Roman" w:hAnsi="Times New Roman" w:eastAsia="Times New Roman" w:cs="Times New Roman"/>
                <w:bCs/>
                <w:color w:val="000000"/>
                <w:kern w:val="0"/>
                <w:sz w:val="24"/>
                <w14:ligatures w14:val="none"/>
              </w:rPr>
              <w:t>, перенос записи</w:t>
            </w:r>
          </w:p>
        </w:tc>
      </w:tr>
      <w:tr w14:paraId="22091D5E">
        <w:tc>
          <w:tcPr>
            <w:tcW w:w="2551" w:type="dxa"/>
            <w:tcBorders>
              <w:top w:val="single" w:color="auto" w:sz="4" w:space="0"/>
              <w:left w:val="single" w:color="auto" w:sz="4" w:space="0"/>
              <w:bottom w:val="single" w:color="auto" w:sz="4" w:space="0"/>
              <w:right w:val="single" w:color="auto" w:sz="4" w:space="0"/>
            </w:tcBorders>
          </w:tcPr>
          <w:p w14:paraId="46FB3E4D">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CRM/SCRM в медицине</w:t>
            </w:r>
          </w:p>
        </w:tc>
        <w:tc>
          <w:tcPr>
            <w:tcW w:w="3402" w:type="dxa"/>
            <w:tcBorders>
              <w:top w:val="single" w:color="auto" w:sz="4" w:space="0"/>
              <w:left w:val="single" w:color="auto" w:sz="4" w:space="0"/>
              <w:bottom w:val="single" w:color="auto" w:sz="4" w:space="0"/>
              <w:right w:val="single" w:color="auto" w:sz="4" w:space="0"/>
            </w:tcBorders>
          </w:tcPr>
          <w:p w14:paraId="2F91F60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amoCRM Healthcare, Bitrix24 для клиник</w:t>
            </w:r>
          </w:p>
        </w:tc>
        <w:tc>
          <w:tcPr>
            <w:tcW w:w="3402" w:type="dxa"/>
            <w:tcBorders>
              <w:top w:val="single" w:color="auto" w:sz="4" w:space="0"/>
              <w:left w:val="single" w:color="auto" w:sz="4" w:space="0"/>
              <w:bottom w:val="single" w:color="auto" w:sz="4" w:space="0"/>
              <w:right w:val="single" w:color="auto" w:sz="4" w:space="0"/>
            </w:tcBorders>
          </w:tcPr>
          <w:p w14:paraId="0D982D2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Сегментация, триггерные рассылки, аналитика воронки</w:t>
            </w:r>
          </w:p>
        </w:tc>
      </w:tr>
    </w:tbl>
    <w:p w14:paraId="52B85DB6">
      <w:pPr>
        <w:spacing w:before="0" w:after="0" w:line="360" w:lineRule="auto"/>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Источник: Составлено автором </w:t>
      </w:r>
    </w:p>
    <w:p w14:paraId="05F002A9">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Российская практика показывает, что отдельные функции пути пациента уже массово автоматизированы, но единого цифрового контура у большинства клиник нет: МИС закрывает регистратуру, агрегаторы – поиск, мессенджеры – напоминания, и только мобильное приложение сети способно собрать этот контур в единую сущность с управляемой идентификацией пациента и сохранением контактов в собственной базе. </w:t>
      </w:r>
    </w:p>
    <w:p w14:paraId="49895677">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Цифровизация коммуникаций с пациентом развивается параллельно с заметным изменением нормативной среды. Изменения, вступившие в силу в 2025 году и анонсированные на 2026 год, не просто задают ограничения – они обосновывают необходимость собственного цифрового продукта. Часть распространённых в России практик становится юридически невозможной: разрешение на обработку данных в составе пользовательского соглашения, использование внешних платформ для ретаргетинга, размещение баз данных пациентов на иностранных облачных сервисах.</w:t>
      </w:r>
    </w:p>
    <w:p w14:paraId="34C6FED4">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Ключевые изменения в Федеральный закон «О персональных данных» от 27.07.2006 № 152-ФЗ вступили в силу с 30 мая 2025 года, а в части оформления согласия – с 1 сентября 2025 года (внесены Федеральным законом от 23.05.2025 № 121-ФЗ). Согласие на обработку персональных данных оформляется отдельным документом и не может быть включено в состав пользовательского соглашения, договора оказания услуг или иной общий документ. Изменения требуют обязательного указания конкретного перечня данных, цели обработки, срока действия согласия и порядка его отзыва. Эти требования напрямую влияют на продуктовое решение мобильного приложения: сценарий онбординга пациента должен предусматривать отдельные диалоги согласия с раздельным сохранением.</w:t>
      </w:r>
    </w:p>
    <w:p w14:paraId="512ADE8F">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Федеральным законом от 28 февраля 2025 года № 23-ФЗ внесены изменения, запрещающие с 1 июля 2025 года обработку и хранение персональных данных российских граждан в базах, размещённых за пределами территории Российской Федерации. Норма закрепляет архитектурное требование к цифровому продукту: основные базы данных пациентов и резервные копии должны размещаться у российских облачных провайдеров (</w:t>
      </w:r>
      <w:r>
        <w:rPr>
          <w:rFonts w:ascii="Times New Roman" w:hAnsi="Times New Roman" w:eastAsia="Times New Roman" w:cs="Times New Roman"/>
          <w:bCs/>
          <w:color w:val="000000"/>
          <w:kern w:val="0"/>
          <w:sz w:val="28"/>
          <w:szCs w:val="22"/>
          <w:lang w:val="en-US"/>
          <w14:ligatures w14:val="none"/>
        </w:rPr>
        <w:t>Yandex</w:t>
      </w:r>
      <w:r>
        <w:rPr>
          <w:rFonts w:ascii="Times New Roman" w:hAnsi="Times New Roman" w:eastAsia="Times New Roman" w:cs="Times New Roman"/>
          <w:bCs/>
          <w:color w:val="000000"/>
          <w:kern w:val="0"/>
          <w:sz w:val="28"/>
          <w:szCs w:val="22"/>
          <w14:ligatures w14:val="none"/>
        </w:rPr>
        <w:t xml:space="preserve"> </w:t>
      </w:r>
      <w:r>
        <w:rPr>
          <w:rFonts w:ascii="Times New Roman" w:hAnsi="Times New Roman" w:eastAsia="Times New Roman" w:cs="Times New Roman"/>
          <w:bCs/>
          <w:color w:val="000000"/>
          <w:kern w:val="0"/>
          <w:sz w:val="28"/>
          <w:szCs w:val="22"/>
          <w:lang w:val="en-US"/>
          <w14:ligatures w14:val="none"/>
        </w:rPr>
        <w:t>Cloud</w:t>
      </w:r>
      <w:r>
        <w:rPr>
          <w:rFonts w:ascii="Times New Roman" w:hAnsi="Times New Roman" w:eastAsia="Times New Roman" w:cs="Times New Roman"/>
          <w:bCs/>
          <w:color w:val="000000"/>
          <w:kern w:val="0"/>
          <w:sz w:val="28"/>
          <w:szCs w:val="22"/>
          <w14:ligatures w14:val="none"/>
        </w:rPr>
        <w:t xml:space="preserve">, </w:t>
      </w:r>
      <w:r>
        <w:rPr>
          <w:rFonts w:ascii="Times New Roman" w:hAnsi="Times New Roman" w:eastAsia="Times New Roman" w:cs="Times New Roman"/>
          <w:bCs/>
          <w:color w:val="000000"/>
          <w:kern w:val="0"/>
          <w:sz w:val="28"/>
          <w:szCs w:val="22"/>
          <w:lang w:val="en-US"/>
          <w14:ligatures w14:val="none"/>
        </w:rPr>
        <w:t>Selectel</w:t>
      </w:r>
      <w:r>
        <w:rPr>
          <w:rFonts w:ascii="Times New Roman" w:hAnsi="Times New Roman" w:eastAsia="Times New Roman" w:cs="Times New Roman"/>
          <w:bCs/>
          <w:color w:val="000000"/>
          <w:kern w:val="0"/>
          <w:sz w:val="28"/>
          <w:szCs w:val="22"/>
          <w14:ligatures w14:val="none"/>
        </w:rPr>
        <w:t xml:space="preserve">, </w:t>
      </w:r>
      <w:r>
        <w:rPr>
          <w:rFonts w:ascii="Times New Roman" w:hAnsi="Times New Roman" w:eastAsia="Times New Roman" w:cs="Times New Roman"/>
          <w:bCs/>
          <w:color w:val="000000"/>
          <w:kern w:val="0"/>
          <w:sz w:val="28"/>
          <w:szCs w:val="22"/>
          <w:lang w:val="en-US"/>
          <w14:ligatures w14:val="none"/>
        </w:rPr>
        <w:t>VK</w:t>
      </w:r>
      <w:r>
        <w:rPr>
          <w:rFonts w:ascii="Times New Roman" w:hAnsi="Times New Roman" w:eastAsia="Times New Roman" w:cs="Times New Roman"/>
          <w:bCs/>
          <w:color w:val="000000"/>
          <w:kern w:val="0"/>
          <w:sz w:val="28"/>
          <w:szCs w:val="22"/>
          <w14:ligatures w14:val="none"/>
        </w:rPr>
        <w:t xml:space="preserve"> </w:t>
      </w:r>
      <w:r>
        <w:rPr>
          <w:rFonts w:ascii="Times New Roman" w:hAnsi="Times New Roman" w:eastAsia="Times New Roman" w:cs="Times New Roman"/>
          <w:bCs/>
          <w:color w:val="000000"/>
          <w:kern w:val="0"/>
          <w:sz w:val="28"/>
          <w:szCs w:val="22"/>
          <w:lang w:val="en-US"/>
          <w14:ligatures w14:val="none"/>
        </w:rPr>
        <w:t>Cloud</w:t>
      </w:r>
      <w:r>
        <w:rPr>
          <w:rFonts w:ascii="Times New Roman" w:hAnsi="Times New Roman" w:eastAsia="Times New Roman" w:cs="Times New Roman"/>
          <w:bCs/>
          <w:color w:val="000000"/>
          <w:kern w:val="0"/>
          <w:sz w:val="28"/>
          <w:szCs w:val="22"/>
          <w14:ligatures w14:val="none"/>
        </w:rPr>
        <w:t xml:space="preserve"> и аналогичных).</w:t>
      </w:r>
    </w:p>
    <w:p w14:paraId="74A90217">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Для медицинской деятельности параллельно действует постановление Правительства Российской Федерации от 1 ноября 2012 года № 1119 об уровнях защищённости персональных данных. Стоматологическая клиника как оператор специальных категорий персональных данных (сведения о здоровье) попадает под уровень защищённости УЗ-3, что задаёт обязательный набор организационных и технических мер по приказу ФСТЭК России от 18.02.2013 № 21.</w:t>
      </w:r>
    </w:p>
    <w:p w14:paraId="6F17836E">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С 1 сентября 2025 года вступил в силу новый порядок применения телемедицинских технологий, утверждённый приказом Министерства здравоохранения Российской Федерации от 11 апреля 2025 года № 193н (зарегистрирован в Минюсте России 15 мая 2025 года, № 82181). Документ заменил приказ № 965н от 30 ноября 2017 года и вводит несколько изменений, существенных для проектирования цифровых сервисов клиники [6]: </w:t>
      </w:r>
    </w:p>
    <w:p w14:paraId="25BA56E3">
      <w:pPr>
        <w:pStyle w:val="151"/>
        <w:numPr>
          <w:ilvl w:val="0"/>
          <w:numId w:val="31"/>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телеконсультация допускается только по тем видам медицинской помощи, которые указаны в лицензии медицинской организации; </w:t>
      </w:r>
    </w:p>
    <w:p w14:paraId="4A09F794">
      <w:pPr>
        <w:pStyle w:val="151"/>
        <w:numPr>
          <w:ilvl w:val="0"/>
          <w:numId w:val="31"/>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разрешено применение систем поддержки принятия врачебных решений на базе искусственного интеллекта, зарегистрированных как медицинские изделия; </w:t>
      </w:r>
    </w:p>
    <w:p w14:paraId="12C22D03">
      <w:pPr>
        <w:pStyle w:val="151"/>
        <w:numPr>
          <w:ilvl w:val="0"/>
          <w:numId w:val="31"/>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уточнены правила взаимодействия медицинских работников между собой в формате удалённого консилиума.</w:t>
      </w:r>
    </w:p>
    <w:p w14:paraId="3E457AEC">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С 1 сентября 2025 года Федеральным законом от 07.04.2025 № 72-ФЗ введён универсальный запрет на размещение рекламы (включая медицинские услуги) на интернет-ресурсах, доступ к которым ограничен на территории России, и на площадках организаций, признанных экстремистскими или нежелательными. Согласно разъяснениям ФАС, признаком рекламы могут признаваться и публикации без прямой оплаты, если они формируют интерес к услуге или клинике. Норма изменяет привычную модель продвижения и фактически смещает фокус на собственные цифровые каналы клиники (сайт, мобильное приложение, </w:t>
      </w:r>
      <w:r>
        <w:rPr>
          <w:rFonts w:ascii="Times New Roman" w:hAnsi="Times New Roman" w:eastAsia="Times New Roman" w:cs="Times New Roman"/>
          <w:bCs/>
          <w:color w:val="000000"/>
          <w:kern w:val="0"/>
          <w:sz w:val="28"/>
          <w:szCs w:val="22"/>
          <w:lang w:val="en-US"/>
          <w14:ligatures w14:val="none"/>
        </w:rPr>
        <w:t>email</w:t>
      </w:r>
      <w:r>
        <w:rPr>
          <w:rFonts w:ascii="Times New Roman" w:hAnsi="Times New Roman" w:eastAsia="Times New Roman" w:cs="Times New Roman"/>
          <w:bCs/>
          <w:color w:val="000000"/>
          <w:kern w:val="0"/>
          <w:sz w:val="28"/>
          <w:szCs w:val="22"/>
          <w14:ligatures w14:val="none"/>
        </w:rPr>
        <w:t>, мессенджеры с верифицированной идентификацией).</w:t>
      </w:r>
    </w:p>
    <w:p w14:paraId="0A89775F">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Регистрация мобильных приложений как медицинских изделий регулируется приказом Минздрава России от 6 июня 2012 года № 4н и отдельным разделом классификации, введённым приказом № 686н от 7 июля 2020 года. Согласно информационному письму Росздравнадзора от 13.02.2020 «О программном обеспечении», программа признаётся медицинским изделием при одновременном выполнении четырёх условий: техническая природа (программа для ЭВМ), автономность от иного зарегистрированного медицинского изделия, медицинское назначение, влияние на принятие клинических решений через автоматическую интерпретацию данных. По экспертной оценке отрасли, полный цикл регистрации составляет 3–6 месяцев при отсутствии замечаний; для классов 1 и 2а до 31 декабря 2027 года действует упрощённый порядок, установленный постановлением Правительства Российской Федерации от 01.04.2022 № 552 (с последующими продлениями). Для приложений-медицинских изделий с применением искусственного интеллекта установлен отдельный регламент внесения изменений в досье.</w:t>
      </w:r>
    </w:p>
    <w:p w14:paraId="56B51D80">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15 — Сводная карта нормативных изменений 2025–2026 годов и их влияния на цифровой продукт клиники</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3402"/>
        <w:gridCol w:w="3118"/>
      </w:tblGrid>
      <w:tr w14:paraId="3B93A3B3">
        <w:tc>
          <w:tcPr>
            <w:tcW w:w="2835" w:type="dxa"/>
            <w:tcBorders>
              <w:top w:val="single" w:color="auto" w:sz="4" w:space="0"/>
              <w:left w:val="single" w:color="auto" w:sz="4" w:space="0"/>
              <w:bottom w:val="single" w:color="auto" w:sz="4" w:space="0"/>
              <w:right w:val="single" w:color="auto" w:sz="4" w:space="0"/>
            </w:tcBorders>
            <w:vAlign w:val="center"/>
          </w:tcPr>
          <w:p w14:paraId="7D3994D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Нормативный акт</w:t>
            </w:r>
          </w:p>
        </w:tc>
        <w:tc>
          <w:tcPr>
            <w:tcW w:w="3402" w:type="dxa"/>
            <w:tcBorders>
              <w:top w:val="single" w:color="auto" w:sz="4" w:space="0"/>
              <w:left w:val="single" w:color="auto" w:sz="4" w:space="0"/>
              <w:bottom w:val="single" w:color="auto" w:sz="4" w:space="0"/>
              <w:right w:val="single" w:color="auto" w:sz="4" w:space="0"/>
            </w:tcBorders>
            <w:vAlign w:val="center"/>
          </w:tcPr>
          <w:p w14:paraId="2510A23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Содержание изменений</w:t>
            </w:r>
          </w:p>
        </w:tc>
        <w:tc>
          <w:tcPr>
            <w:tcW w:w="3118" w:type="dxa"/>
            <w:tcBorders>
              <w:top w:val="single" w:color="auto" w:sz="4" w:space="0"/>
              <w:left w:val="single" w:color="auto" w:sz="4" w:space="0"/>
              <w:bottom w:val="single" w:color="auto" w:sz="4" w:space="0"/>
              <w:right w:val="single" w:color="auto" w:sz="4" w:space="0"/>
            </w:tcBorders>
            <w:vAlign w:val="center"/>
          </w:tcPr>
          <w:p w14:paraId="0A2B561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Влияние на цифровой продукт</w:t>
            </w:r>
          </w:p>
        </w:tc>
      </w:tr>
      <w:tr w14:paraId="0E49F4D7">
        <w:tc>
          <w:tcPr>
            <w:tcW w:w="2835" w:type="dxa"/>
            <w:tcBorders>
              <w:top w:val="single" w:color="auto" w:sz="4" w:space="0"/>
              <w:left w:val="single" w:color="auto" w:sz="4" w:space="0"/>
              <w:bottom w:val="single" w:color="auto" w:sz="4" w:space="0"/>
              <w:right w:val="single" w:color="auto" w:sz="4" w:space="0"/>
            </w:tcBorders>
          </w:tcPr>
          <w:p w14:paraId="29FBEBF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152-ФЗ (изменения от 24.06.2025; ст. 9 – с 01.09.2025)</w:t>
            </w:r>
          </w:p>
        </w:tc>
        <w:tc>
          <w:tcPr>
            <w:tcW w:w="3402" w:type="dxa"/>
            <w:tcBorders>
              <w:top w:val="single" w:color="auto" w:sz="4" w:space="0"/>
              <w:left w:val="single" w:color="auto" w:sz="4" w:space="0"/>
              <w:bottom w:val="single" w:color="auto" w:sz="4" w:space="0"/>
              <w:right w:val="single" w:color="auto" w:sz="4" w:space="0"/>
            </w:tcBorders>
          </w:tcPr>
          <w:p w14:paraId="4097FF5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Согласие на обработку персональных данных оформляется отдельным документом; уточнены реквизиты, срок и порядок отзыва</w:t>
            </w:r>
          </w:p>
        </w:tc>
        <w:tc>
          <w:tcPr>
            <w:tcW w:w="3118" w:type="dxa"/>
            <w:tcBorders>
              <w:top w:val="single" w:color="auto" w:sz="4" w:space="0"/>
              <w:left w:val="single" w:color="auto" w:sz="4" w:space="0"/>
              <w:bottom w:val="single" w:color="auto" w:sz="4" w:space="0"/>
              <w:right w:val="single" w:color="auto" w:sz="4" w:space="0"/>
            </w:tcBorders>
          </w:tcPr>
          <w:p w14:paraId="222C085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Раздельные экраны согласия в онбординге; журнал согласий с возможностью отзыва</w:t>
            </w:r>
          </w:p>
        </w:tc>
      </w:tr>
      <w:tr w14:paraId="2E885451">
        <w:tc>
          <w:tcPr>
            <w:tcW w:w="2835" w:type="dxa"/>
            <w:tcBorders>
              <w:top w:val="single" w:color="auto" w:sz="4" w:space="0"/>
              <w:left w:val="single" w:color="auto" w:sz="4" w:space="0"/>
              <w:bottom w:val="single" w:color="auto" w:sz="4" w:space="0"/>
              <w:right w:val="single" w:color="auto" w:sz="4" w:space="0"/>
            </w:tcBorders>
          </w:tcPr>
          <w:p w14:paraId="464284C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23-ФЗ от 28.02.2025 (вступил в силу 01.07.2025)</w:t>
            </w:r>
          </w:p>
        </w:tc>
        <w:tc>
          <w:tcPr>
            <w:tcW w:w="3402" w:type="dxa"/>
            <w:tcBorders>
              <w:top w:val="single" w:color="auto" w:sz="4" w:space="0"/>
              <w:left w:val="single" w:color="auto" w:sz="4" w:space="0"/>
              <w:bottom w:val="single" w:color="auto" w:sz="4" w:space="0"/>
              <w:right w:val="single" w:color="auto" w:sz="4" w:space="0"/>
            </w:tcBorders>
          </w:tcPr>
          <w:p w14:paraId="00ED2B6E">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Запрет хранения и обработки персональных данных граждан России за пределами территории Российской Федерации</w:t>
            </w:r>
          </w:p>
        </w:tc>
        <w:tc>
          <w:tcPr>
            <w:tcW w:w="3118" w:type="dxa"/>
            <w:tcBorders>
              <w:top w:val="single" w:color="auto" w:sz="4" w:space="0"/>
              <w:left w:val="single" w:color="auto" w:sz="4" w:space="0"/>
              <w:bottom w:val="single" w:color="auto" w:sz="4" w:space="0"/>
              <w:right w:val="single" w:color="auto" w:sz="4" w:space="0"/>
            </w:tcBorders>
          </w:tcPr>
          <w:p w14:paraId="25A7B99C">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Размещение основных и резервных баз у российских облачных провайдеров</w:t>
            </w:r>
          </w:p>
        </w:tc>
      </w:tr>
      <w:tr w14:paraId="50A4520A">
        <w:tc>
          <w:tcPr>
            <w:tcW w:w="2835" w:type="dxa"/>
            <w:tcBorders>
              <w:top w:val="single" w:color="auto" w:sz="4" w:space="0"/>
              <w:left w:val="single" w:color="auto" w:sz="4" w:space="0"/>
              <w:bottom w:val="single" w:color="auto" w:sz="4" w:space="0"/>
              <w:right w:val="single" w:color="auto" w:sz="4" w:space="0"/>
            </w:tcBorders>
          </w:tcPr>
          <w:p w14:paraId="3F1760B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Постановление Правительства РФ № 1119 от 01.11.2012</w:t>
            </w:r>
          </w:p>
        </w:tc>
        <w:tc>
          <w:tcPr>
            <w:tcW w:w="3402" w:type="dxa"/>
            <w:tcBorders>
              <w:top w:val="single" w:color="auto" w:sz="4" w:space="0"/>
              <w:left w:val="single" w:color="auto" w:sz="4" w:space="0"/>
              <w:bottom w:val="single" w:color="auto" w:sz="4" w:space="0"/>
              <w:right w:val="single" w:color="auto" w:sz="4" w:space="0"/>
            </w:tcBorders>
          </w:tcPr>
          <w:p w14:paraId="7EE5E79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Уровни защищённости персональных данных</w:t>
            </w:r>
          </w:p>
        </w:tc>
        <w:tc>
          <w:tcPr>
            <w:tcW w:w="3118" w:type="dxa"/>
            <w:tcBorders>
              <w:top w:val="single" w:color="auto" w:sz="4" w:space="0"/>
              <w:left w:val="single" w:color="auto" w:sz="4" w:space="0"/>
              <w:bottom w:val="single" w:color="auto" w:sz="4" w:space="0"/>
              <w:right w:val="single" w:color="auto" w:sz="4" w:space="0"/>
            </w:tcBorders>
          </w:tcPr>
          <w:p w14:paraId="54F185BC">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Архитектурное соответствие УЗ-3 для специальных категорий (сведений о здоровье)</w:t>
            </w:r>
          </w:p>
        </w:tc>
      </w:tr>
      <w:tr w14:paraId="10B5522F">
        <w:tc>
          <w:tcPr>
            <w:tcW w:w="2835" w:type="dxa"/>
            <w:tcBorders>
              <w:top w:val="single" w:color="auto" w:sz="4" w:space="0"/>
              <w:left w:val="single" w:color="auto" w:sz="4" w:space="0"/>
              <w:bottom w:val="single" w:color="auto" w:sz="4" w:space="0"/>
              <w:right w:val="single" w:color="auto" w:sz="4" w:space="0"/>
            </w:tcBorders>
          </w:tcPr>
          <w:p w14:paraId="4AEC342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Приказ ФСТЭК России № 21 от 18.02.2013</w:t>
            </w:r>
          </w:p>
        </w:tc>
        <w:tc>
          <w:tcPr>
            <w:tcW w:w="3402" w:type="dxa"/>
            <w:tcBorders>
              <w:top w:val="single" w:color="auto" w:sz="4" w:space="0"/>
              <w:left w:val="single" w:color="auto" w:sz="4" w:space="0"/>
              <w:bottom w:val="single" w:color="auto" w:sz="4" w:space="0"/>
              <w:right w:val="single" w:color="auto" w:sz="4" w:space="0"/>
            </w:tcBorders>
          </w:tcPr>
          <w:p w14:paraId="629AADC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Состав организационных и технических мер защиты</w:t>
            </w:r>
          </w:p>
        </w:tc>
        <w:tc>
          <w:tcPr>
            <w:tcW w:w="3118" w:type="dxa"/>
            <w:tcBorders>
              <w:top w:val="single" w:color="auto" w:sz="4" w:space="0"/>
              <w:left w:val="single" w:color="auto" w:sz="4" w:space="0"/>
              <w:bottom w:val="single" w:color="auto" w:sz="4" w:space="0"/>
              <w:right w:val="single" w:color="auto" w:sz="4" w:space="0"/>
            </w:tcBorders>
          </w:tcPr>
          <w:p w14:paraId="6309F97E">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Технические меры: разграничение доступа, журналирование, шифрование каналов</w:t>
            </w:r>
          </w:p>
        </w:tc>
      </w:tr>
      <w:tr w14:paraId="5E690F2F">
        <w:tc>
          <w:tcPr>
            <w:tcW w:w="2835" w:type="dxa"/>
            <w:tcBorders>
              <w:top w:val="single" w:color="auto" w:sz="4" w:space="0"/>
              <w:left w:val="single" w:color="auto" w:sz="4" w:space="0"/>
              <w:bottom w:val="single" w:color="auto" w:sz="4" w:space="0"/>
              <w:right w:val="single" w:color="auto" w:sz="4" w:space="0"/>
            </w:tcBorders>
          </w:tcPr>
          <w:p w14:paraId="171E8EC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Приказ Минздрава России № 193н от 11.04.2025 (с 01.09.2025)</w:t>
            </w:r>
          </w:p>
        </w:tc>
        <w:tc>
          <w:tcPr>
            <w:tcW w:w="3402" w:type="dxa"/>
            <w:tcBorders>
              <w:top w:val="single" w:color="auto" w:sz="4" w:space="0"/>
              <w:left w:val="single" w:color="auto" w:sz="4" w:space="0"/>
              <w:bottom w:val="single" w:color="auto" w:sz="4" w:space="0"/>
              <w:right w:val="single" w:color="auto" w:sz="4" w:space="0"/>
            </w:tcBorders>
          </w:tcPr>
          <w:p w14:paraId="0A57F02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Новый порядок применения телемедицинских технологий; ИИ-инструменты как медицинские изделия; ограничение по лицензии</w:t>
            </w:r>
          </w:p>
        </w:tc>
        <w:tc>
          <w:tcPr>
            <w:tcW w:w="3118" w:type="dxa"/>
            <w:tcBorders>
              <w:top w:val="single" w:color="auto" w:sz="4" w:space="0"/>
              <w:left w:val="single" w:color="auto" w:sz="4" w:space="0"/>
              <w:bottom w:val="single" w:color="auto" w:sz="4" w:space="0"/>
              <w:right w:val="single" w:color="auto" w:sz="4" w:space="0"/>
            </w:tcBorders>
          </w:tcPr>
          <w:p w14:paraId="6AA53181">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Перенос телеконсультаций в отдельный лицензируемый периметр; вне </w:t>
            </w:r>
            <w:r>
              <w:rPr>
                <w:rFonts w:ascii="Times New Roman" w:hAnsi="Times New Roman" w:eastAsia="Times New Roman" w:cs="Times New Roman"/>
                <w:bCs/>
                <w:color w:val="000000"/>
                <w:kern w:val="0"/>
                <w:sz w:val="24"/>
                <w:lang w:val="en-US"/>
                <w14:ligatures w14:val="none"/>
              </w:rPr>
              <w:t>MVP</w:t>
            </w:r>
            <w:r>
              <w:rPr>
                <w:rFonts w:ascii="Times New Roman" w:hAnsi="Times New Roman" w:eastAsia="Times New Roman" w:cs="Times New Roman"/>
                <w:bCs/>
                <w:color w:val="000000"/>
                <w:kern w:val="0"/>
                <w:sz w:val="24"/>
                <w14:ligatures w14:val="none"/>
              </w:rPr>
              <w:t xml:space="preserve"> без расширения лицензии</w:t>
            </w:r>
          </w:p>
        </w:tc>
      </w:tr>
      <w:tr w14:paraId="5D2CD476">
        <w:tc>
          <w:tcPr>
            <w:tcW w:w="2835" w:type="dxa"/>
            <w:tcBorders>
              <w:top w:val="single" w:color="auto" w:sz="4" w:space="0"/>
              <w:left w:val="single" w:color="auto" w:sz="4" w:space="0"/>
              <w:bottom w:val="single" w:color="auto" w:sz="4" w:space="0"/>
              <w:right w:val="single" w:color="auto" w:sz="4" w:space="0"/>
            </w:tcBorders>
          </w:tcPr>
          <w:p w14:paraId="7F78586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 38-ФЗ ст. 24 (с 01.09.2025)</w:t>
            </w:r>
          </w:p>
        </w:tc>
        <w:tc>
          <w:tcPr>
            <w:tcW w:w="3402" w:type="dxa"/>
            <w:tcBorders>
              <w:top w:val="single" w:color="auto" w:sz="4" w:space="0"/>
              <w:left w:val="single" w:color="auto" w:sz="4" w:space="0"/>
              <w:bottom w:val="single" w:color="auto" w:sz="4" w:space="0"/>
              <w:right w:val="single" w:color="auto" w:sz="4" w:space="0"/>
            </w:tcBorders>
          </w:tcPr>
          <w:p w14:paraId="46E59CC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Ограничение рекламы медуслуг на запрещённых ресурсах; трактовка контента как рекламы</w:t>
            </w:r>
          </w:p>
        </w:tc>
        <w:tc>
          <w:tcPr>
            <w:tcW w:w="3118" w:type="dxa"/>
            <w:tcBorders>
              <w:top w:val="single" w:color="auto" w:sz="4" w:space="0"/>
              <w:left w:val="single" w:color="auto" w:sz="4" w:space="0"/>
              <w:bottom w:val="single" w:color="auto" w:sz="4" w:space="0"/>
              <w:right w:val="single" w:color="auto" w:sz="4" w:space="0"/>
            </w:tcBorders>
          </w:tcPr>
          <w:p w14:paraId="71BC3AE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Перевод продвижения в собственные каналы клиники; пересмотр ретаргетинговых сценариев</w:t>
            </w:r>
          </w:p>
        </w:tc>
      </w:tr>
      <w:tr w14:paraId="36C496F8">
        <w:tc>
          <w:tcPr>
            <w:tcW w:w="2835" w:type="dxa"/>
            <w:tcBorders>
              <w:top w:val="single" w:color="auto" w:sz="4" w:space="0"/>
              <w:left w:val="single" w:color="auto" w:sz="4" w:space="0"/>
              <w:bottom w:val="single" w:color="auto" w:sz="4" w:space="0"/>
              <w:right w:val="single" w:color="auto" w:sz="4" w:space="0"/>
            </w:tcBorders>
          </w:tcPr>
          <w:p w14:paraId="1BDF8837">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Приказ Минздрава России № 4н от 06.06.2012 и № 686н от 07.07.2020</w:t>
            </w:r>
          </w:p>
        </w:tc>
        <w:tc>
          <w:tcPr>
            <w:tcW w:w="3402" w:type="dxa"/>
            <w:tcBorders>
              <w:top w:val="single" w:color="auto" w:sz="4" w:space="0"/>
              <w:left w:val="single" w:color="auto" w:sz="4" w:space="0"/>
              <w:bottom w:val="single" w:color="auto" w:sz="4" w:space="0"/>
              <w:right w:val="single" w:color="auto" w:sz="4" w:space="0"/>
            </w:tcBorders>
          </w:tcPr>
          <w:p w14:paraId="6979552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Условия признания ПО медицинским изделием; классификация по уровням риска</w:t>
            </w:r>
          </w:p>
        </w:tc>
        <w:tc>
          <w:tcPr>
            <w:tcW w:w="3118" w:type="dxa"/>
            <w:tcBorders>
              <w:top w:val="single" w:color="auto" w:sz="4" w:space="0"/>
              <w:left w:val="single" w:color="auto" w:sz="4" w:space="0"/>
              <w:bottom w:val="single" w:color="auto" w:sz="4" w:space="0"/>
              <w:right w:val="single" w:color="auto" w:sz="4" w:space="0"/>
            </w:tcBorders>
          </w:tcPr>
          <w:p w14:paraId="6EC5D68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Документальное обоснование статуса «не медицинское изделие» для контура пациента </w:t>
            </w:r>
            <w:r>
              <w:rPr>
                <w:rFonts w:ascii="Times New Roman" w:hAnsi="Times New Roman" w:eastAsia="Times New Roman" w:cs="Times New Roman"/>
                <w:bCs/>
                <w:color w:val="000000"/>
                <w:kern w:val="0"/>
                <w:sz w:val="24"/>
                <w:lang w:val="en-US"/>
                <w14:ligatures w14:val="none"/>
              </w:rPr>
              <w:t>MVP</w:t>
            </w:r>
          </w:p>
        </w:tc>
      </w:tr>
      <w:tr w14:paraId="5F860BF1">
        <w:tc>
          <w:tcPr>
            <w:tcW w:w="2835" w:type="dxa"/>
            <w:tcBorders>
              <w:top w:val="single" w:color="auto" w:sz="4" w:space="0"/>
              <w:left w:val="single" w:color="auto" w:sz="4" w:space="0"/>
              <w:bottom w:val="single" w:color="auto" w:sz="4" w:space="0"/>
              <w:right w:val="single" w:color="auto" w:sz="4" w:space="0"/>
            </w:tcBorders>
          </w:tcPr>
          <w:p w14:paraId="2EE0875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 323-ФЗ ст. 36.2 (изменения с 01.01.2026)</w:t>
            </w:r>
          </w:p>
        </w:tc>
        <w:tc>
          <w:tcPr>
            <w:tcW w:w="3402" w:type="dxa"/>
            <w:tcBorders>
              <w:top w:val="single" w:color="auto" w:sz="4" w:space="0"/>
              <w:left w:val="single" w:color="auto" w:sz="4" w:space="0"/>
              <w:bottom w:val="single" w:color="auto" w:sz="4" w:space="0"/>
              <w:right w:val="single" w:color="auto" w:sz="4" w:space="0"/>
            </w:tcBorders>
          </w:tcPr>
          <w:p w14:paraId="76B4762E">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Особенности оказания медпомощи с применением телемедицинских технологий</w:t>
            </w:r>
          </w:p>
        </w:tc>
        <w:tc>
          <w:tcPr>
            <w:tcW w:w="3118" w:type="dxa"/>
            <w:tcBorders>
              <w:top w:val="single" w:color="auto" w:sz="4" w:space="0"/>
              <w:left w:val="single" w:color="auto" w:sz="4" w:space="0"/>
              <w:bottom w:val="single" w:color="auto" w:sz="4" w:space="0"/>
              <w:right w:val="single" w:color="auto" w:sz="4" w:space="0"/>
            </w:tcBorders>
          </w:tcPr>
          <w:p w14:paraId="0426CCA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Учёт при расширении продукта функцией удалённой консультации</w:t>
            </w:r>
          </w:p>
        </w:tc>
      </w:tr>
    </w:tbl>
    <w:p w14:paraId="6D1AFE6B">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Эти нормы показывают, что клиники вынуждены развивать собственные цифровые контуры, где идентификация пациента, согласия и история коммуникаций находятся под управлением клиники.</w:t>
      </w:r>
    </w:p>
    <w:p w14:paraId="1DD90C58">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Если сопоставить российский опыт, нормативную базу и эмпирические данные, проявляется несколько предпосылок, при которых проектирование собственного цифрового продукта клиники обосновано теоретически и практически.</w:t>
      </w:r>
    </w:p>
    <w:p w14:paraId="2ABB3CE6">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Ни один инструмент сам по себе, будь то онлайн-запись, мессенджер-напоминания или чат-бот, управленческую проблему не закрывает. Эмпирика подтверждает эффект каждого инструмента в своей зоне, но устойчивый бизнес-эффект возникает только тогда, когда инструменты работают совместно в одном цифровом контуре пациента.</w:t>
      </w:r>
    </w:p>
    <w:p w14:paraId="6C1C0E7B">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Нормативная среда 2025-2026 годов делает «лёгкие» решения юридически рискованными. Отдельный документ согласия, запрет хранения данных за рубежом, ограничения на ретаргетинг через внешние каналы вынуждают клинику выстраивать собственный цифровой контур и собственную базу первого касания взамен внешних маркетинговых платформ.</w:t>
      </w:r>
    </w:p>
    <w:p w14:paraId="0B64771A">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Международный опыт показывает, что устойчивый эффект достигается при сочетании трёх компонентов. Первый – цифровой контур пациента (мобильное приложение или портал), интегрированный с системой управления практикой. Второй – омниканальный канал коммуникации с собственной идентификацией клиники, объединяющий мессенджер, </w:t>
      </w:r>
      <w:r>
        <w:rPr>
          <w:rFonts w:ascii="Times New Roman" w:hAnsi="Times New Roman" w:eastAsia="Times New Roman" w:cs="Times New Roman"/>
          <w:bCs/>
          <w:color w:val="000000"/>
          <w:kern w:val="0"/>
          <w:sz w:val="28"/>
          <w:szCs w:val="22"/>
          <w:lang w:val="en-US"/>
          <w14:ligatures w14:val="none"/>
        </w:rPr>
        <w:t>email</w:t>
      </w:r>
      <w:r>
        <w:rPr>
          <w:rFonts w:ascii="Times New Roman" w:hAnsi="Times New Roman" w:eastAsia="Times New Roman" w:cs="Times New Roman"/>
          <w:bCs/>
          <w:color w:val="000000"/>
          <w:kern w:val="0"/>
          <w:sz w:val="28"/>
          <w:szCs w:val="22"/>
          <w14:ligatures w14:val="none"/>
        </w:rPr>
        <w:t xml:space="preserve"> и </w:t>
      </w:r>
      <w:r>
        <w:rPr>
          <w:rFonts w:ascii="Times New Roman" w:hAnsi="Times New Roman" w:eastAsia="Times New Roman" w:cs="Times New Roman"/>
          <w:bCs/>
          <w:color w:val="000000"/>
          <w:kern w:val="0"/>
          <w:sz w:val="28"/>
          <w:szCs w:val="22"/>
          <w:lang w:val="en-US"/>
          <w14:ligatures w14:val="none"/>
        </w:rPr>
        <w:t>SMS</w:t>
      </w:r>
      <w:r>
        <w:rPr>
          <w:rFonts w:ascii="Times New Roman" w:hAnsi="Times New Roman" w:eastAsia="Times New Roman" w:cs="Times New Roman"/>
          <w:bCs/>
          <w:color w:val="000000"/>
          <w:kern w:val="0"/>
          <w:sz w:val="28"/>
          <w:szCs w:val="22"/>
          <w14:ligatures w14:val="none"/>
        </w:rPr>
        <w:t>. Третий – встроенные образовательные и оценочные сценарии, повышающие дисциплину пациента и снижающие неявки.</w:t>
      </w:r>
    </w:p>
    <w:p w14:paraId="2839E202">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Российский рынок располагает технологической и кадровой инфраструктурой для воспроизведения такой архитектуры: облачные платформы российских провайдеров обеспечивают соответствие требованиям № 152-ФЗ и уровню защищённости УЗ-3, рынок мобильных приложений для медицины активно развивается, а опыт лидеров отрасли («Мой Зубной», «Спецоборудование Дент») подтверждает жизнеспособность собственного цифрового канала в нише сетей среднего размера.</w:t>
      </w:r>
    </w:p>
    <w:p w14:paraId="018A3315">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Сопоставление восьми тенденций таблицы 5 (Рыночные тенденции развития инструментов цифрового маркетинга) первой главы с проявлениями управленческой проблемы показывает, что не все тенденции в равной степени применимы к рассматриваемой сети. Например, виртуальная и дополненная реальность в стоматологии используются преимущественно для планирования лечения и обучения врачей, а не для коммуникаций с пациентом; коллаборации с блогерами действуют в зоне привлечения, но не закрывают точки трения уже привлечённого пациента; оптимизация контента под генеративные движки, короткие видеоролики, персонализация и развитые оффлайн-инструменты остаются за периметром данной сети по соображениям ресурса и приоритетов. Релевантные тенденции и их связь с проблемами представлены в таблице ниже.</w:t>
      </w:r>
    </w:p>
    <w:p w14:paraId="2DD670E4">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16 — Соответствие рыночных тенденций цифрового маркетинга (глава 1, таблица 5) проявлениям управленческой проблемы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5"/>
        <w:gridCol w:w="5386"/>
      </w:tblGrid>
      <w:tr w14:paraId="15329DB3">
        <w:tc>
          <w:tcPr>
            <w:tcW w:w="3685" w:type="dxa"/>
            <w:tcBorders>
              <w:top w:val="single" w:color="auto" w:sz="4" w:space="0"/>
              <w:left w:val="single" w:color="auto" w:sz="4" w:space="0"/>
              <w:bottom w:val="single" w:color="auto" w:sz="4" w:space="0"/>
              <w:right w:val="single" w:color="auto" w:sz="4" w:space="0"/>
            </w:tcBorders>
            <w:vAlign w:val="center"/>
          </w:tcPr>
          <w:p w14:paraId="16B5A08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Тенденция</w:t>
            </w:r>
          </w:p>
        </w:tc>
        <w:tc>
          <w:tcPr>
            <w:tcW w:w="5386" w:type="dxa"/>
            <w:tcBorders>
              <w:top w:val="single" w:color="auto" w:sz="4" w:space="0"/>
              <w:left w:val="single" w:color="auto" w:sz="4" w:space="0"/>
              <w:bottom w:val="single" w:color="auto" w:sz="4" w:space="0"/>
              <w:right w:val="single" w:color="auto" w:sz="4" w:space="0"/>
            </w:tcBorders>
            <w:vAlign w:val="center"/>
          </w:tcPr>
          <w:p w14:paraId="50DBA415">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
                <w:bCs/>
                <w:color w:val="000000"/>
                <w:kern w:val="0"/>
                <w:sz w:val="24"/>
                <w14:ligatures w14:val="none"/>
              </w:rPr>
              <w:t>Проблема клиники, на которую влияет</w:t>
            </w:r>
          </w:p>
        </w:tc>
      </w:tr>
      <w:tr w14:paraId="3A556BAD">
        <w:tc>
          <w:tcPr>
            <w:tcW w:w="3685" w:type="dxa"/>
            <w:tcBorders>
              <w:top w:val="single" w:color="auto" w:sz="4" w:space="0"/>
              <w:left w:val="single" w:color="auto" w:sz="4" w:space="0"/>
              <w:bottom w:val="single" w:color="auto" w:sz="4" w:space="0"/>
              <w:right w:val="single" w:color="auto" w:sz="4" w:space="0"/>
            </w:tcBorders>
          </w:tcPr>
          <w:p w14:paraId="51D89293">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Сокращение воронки продаж и упрощение процесса покупки</w:t>
            </w:r>
          </w:p>
        </w:tc>
        <w:tc>
          <w:tcPr>
            <w:tcW w:w="5386" w:type="dxa"/>
            <w:tcBorders>
              <w:top w:val="single" w:color="auto" w:sz="4" w:space="0"/>
              <w:left w:val="single" w:color="auto" w:sz="4" w:space="0"/>
              <w:bottom w:val="single" w:color="auto" w:sz="4" w:space="0"/>
              <w:right w:val="single" w:color="auto" w:sz="4" w:space="0"/>
            </w:tcBorders>
          </w:tcPr>
          <w:p w14:paraId="7C7BF43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Низкая конверсия первичного трафика; отказы из-за трудоёмкости записи</w:t>
            </w:r>
          </w:p>
        </w:tc>
      </w:tr>
      <w:tr w14:paraId="6BD71686">
        <w:tc>
          <w:tcPr>
            <w:tcW w:w="3685" w:type="dxa"/>
            <w:tcBorders>
              <w:top w:val="single" w:color="auto" w:sz="4" w:space="0"/>
              <w:left w:val="single" w:color="auto" w:sz="4" w:space="0"/>
              <w:bottom w:val="single" w:color="auto" w:sz="4" w:space="0"/>
              <w:right w:val="single" w:color="auto" w:sz="4" w:space="0"/>
            </w:tcBorders>
          </w:tcPr>
          <w:p w14:paraId="7A10A99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Адаптивность контекстной/таргетированной рекламы</w:t>
            </w:r>
          </w:p>
        </w:tc>
        <w:tc>
          <w:tcPr>
            <w:tcW w:w="5386" w:type="dxa"/>
            <w:tcBorders>
              <w:top w:val="single" w:color="auto" w:sz="4" w:space="0"/>
              <w:left w:val="single" w:color="auto" w:sz="4" w:space="0"/>
              <w:bottom w:val="single" w:color="auto" w:sz="4" w:space="0"/>
              <w:right w:val="single" w:color="auto" w:sz="4" w:space="0"/>
            </w:tcBorders>
          </w:tcPr>
          <w:p w14:paraId="6C469BE2">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Невозможность ретаргетинга при отсутствии собственных контактов</w:t>
            </w:r>
          </w:p>
        </w:tc>
      </w:tr>
      <w:tr w14:paraId="0FBA1A3F">
        <w:tc>
          <w:tcPr>
            <w:tcW w:w="3685" w:type="dxa"/>
            <w:tcBorders>
              <w:top w:val="single" w:color="auto" w:sz="4" w:space="0"/>
              <w:left w:val="single" w:color="auto" w:sz="4" w:space="0"/>
              <w:bottom w:val="single" w:color="auto" w:sz="4" w:space="0"/>
              <w:right w:val="single" w:color="auto" w:sz="4" w:space="0"/>
            </w:tcBorders>
          </w:tcPr>
          <w:p w14:paraId="3588026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Увеличение значения собственных данных и аналитики</w:t>
            </w:r>
          </w:p>
        </w:tc>
        <w:tc>
          <w:tcPr>
            <w:tcW w:w="5386" w:type="dxa"/>
            <w:tcBorders>
              <w:top w:val="single" w:color="auto" w:sz="4" w:space="0"/>
              <w:left w:val="single" w:color="auto" w:sz="4" w:space="0"/>
              <w:bottom w:val="single" w:color="auto" w:sz="4" w:space="0"/>
              <w:right w:val="single" w:color="auto" w:sz="4" w:space="0"/>
            </w:tcBorders>
          </w:tcPr>
          <w:p w14:paraId="3DD0D64D">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Зависимость от внешних агрегаторов и платёжных каналов</w:t>
            </w:r>
          </w:p>
        </w:tc>
      </w:tr>
      <w:tr w14:paraId="608EC02E">
        <w:tc>
          <w:tcPr>
            <w:tcW w:w="3685" w:type="dxa"/>
            <w:tcBorders>
              <w:top w:val="single" w:color="auto" w:sz="4" w:space="0"/>
              <w:left w:val="single" w:color="auto" w:sz="4" w:space="0"/>
              <w:bottom w:val="single" w:color="auto" w:sz="4" w:space="0"/>
              <w:right w:val="single" w:color="auto" w:sz="4" w:space="0"/>
            </w:tcBorders>
          </w:tcPr>
          <w:p w14:paraId="718DA74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Трансформация бизнес-коммуникаций в мессенджеры</w:t>
            </w:r>
          </w:p>
        </w:tc>
        <w:tc>
          <w:tcPr>
            <w:tcW w:w="5386" w:type="dxa"/>
            <w:tcBorders>
              <w:top w:val="single" w:color="auto" w:sz="4" w:space="0"/>
              <w:left w:val="single" w:color="auto" w:sz="4" w:space="0"/>
              <w:bottom w:val="single" w:color="auto" w:sz="4" w:space="0"/>
              <w:right w:val="single" w:color="auto" w:sz="4" w:space="0"/>
            </w:tcBorders>
          </w:tcPr>
          <w:p w14:paraId="6257E23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Зависимость от единственного канала; рост неявок</w:t>
            </w:r>
          </w:p>
        </w:tc>
      </w:tr>
      <w:tr w14:paraId="325985F6">
        <w:tc>
          <w:tcPr>
            <w:tcW w:w="3685" w:type="dxa"/>
            <w:tcBorders>
              <w:top w:val="single" w:color="auto" w:sz="4" w:space="0"/>
              <w:left w:val="single" w:color="auto" w:sz="4" w:space="0"/>
              <w:bottom w:val="single" w:color="auto" w:sz="4" w:space="0"/>
              <w:right w:val="single" w:color="auto" w:sz="4" w:space="0"/>
            </w:tcBorders>
          </w:tcPr>
          <w:p w14:paraId="5F6FA13D">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Усиление работы с репутацией и отзывами</w:t>
            </w:r>
          </w:p>
        </w:tc>
        <w:tc>
          <w:tcPr>
            <w:tcW w:w="5386" w:type="dxa"/>
            <w:tcBorders>
              <w:top w:val="single" w:color="auto" w:sz="4" w:space="0"/>
              <w:left w:val="single" w:color="auto" w:sz="4" w:space="0"/>
              <w:bottom w:val="single" w:color="auto" w:sz="4" w:space="0"/>
              <w:right w:val="single" w:color="auto" w:sz="4" w:space="0"/>
            </w:tcBorders>
          </w:tcPr>
          <w:p w14:paraId="58899D04">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Отток пациентов на этапе пост-диагностики</w:t>
            </w:r>
          </w:p>
        </w:tc>
      </w:tr>
      <w:tr w14:paraId="5A4CAB38">
        <w:tc>
          <w:tcPr>
            <w:tcW w:w="3685" w:type="dxa"/>
            <w:tcBorders>
              <w:top w:val="single" w:color="auto" w:sz="4" w:space="0"/>
              <w:left w:val="single" w:color="auto" w:sz="4" w:space="0"/>
              <w:bottom w:val="single" w:color="auto" w:sz="4" w:space="0"/>
              <w:right w:val="single" w:color="auto" w:sz="4" w:space="0"/>
            </w:tcBorders>
          </w:tcPr>
          <w:p w14:paraId="2F74EA3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Искусственный интеллект и автоматизация</w:t>
            </w:r>
          </w:p>
        </w:tc>
        <w:tc>
          <w:tcPr>
            <w:tcW w:w="5386" w:type="dxa"/>
            <w:tcBorders>
              <w:top w:val="single" w:color="auto" w:sz="4" w:space="0"/>
              <w:left w:val="single" w:color="auto" w:sz="4" w:space="0"/>
              <w:bottom w:val="single" w:color="auto" w:sz="4" w:space="0"/>
              <w:right w:val="single" w:color="auto" w:sz="4" w:space="0"/>
            </w:tcBorders>
          </w:tcPr>
          <w:p w14:paraId="334ADEA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Нагрузка регистратуры по типовым запросам и истории</w:t>
            </w:r>
          </w:p>
        </w:tc>
      </w:tr>
      <w:tr w14:paraId="27F8EF7F">
        <w:tc>
          <w:tcPr>
            <w:tcW w:w="3685" w:type="dxa"/>
            <w:tcBorders>
              <w:top w:val="single" w:color="auto" w:sz="4" w:space="0"/>
              <w:left w:val="single" w:color="auto" w:sz="4" w:space="0"/>
              <w:bottom w:val="single" w:color="auto" w:sz="4" w:space="0"/>
              <w:right w:val="single" w:color="auto" w:sz="4" w:space="0"/>
            </w:tcBorders>
          </w:tcPr>
          <w:p w14:paraId="4A517B8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Омниканальный маркетинг (бесшовный путь)</w:t>
            </w:r>
          </w:p>
        </w:tc>
        <w:tc>
          <w:tcPr>
            <w:tcW w:w="5386" w:type="dxa"/>
            <w:tcBorders>
              <w:top w:val="single" w:color="auto" w:sz="4" w:space="0"/>
              <w:left w:val="single" w:color="auto" w:sz="4" w:space="0"/>
              <w:bottom w:val="single" w:color="auto" w:sz="4" w:space="0"/>
              <w:right w:val="single" w:color="auto" w:sz="4" w:space="0"/>
            </w:tcBorders>
          </w:tcPr>
          <w:p w14:paraId="32FCD15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Несвязанность каналов записи, напоминаний и пост-визита</w:t>
            </w:r>
          </w:p>
        </w:tc>
      </w:tr>
      <w:tr w14:paraId="39D796A0">
        <w:tc>
          <w:tcPr>
            <w:tcW w:w="3685" w:type="dxa"/>
            <w:tcBorders>
              <w:top w:val="single" w:color="auto" w:sz="4" w:space="0"/>
              <w:left w:val="single" w:color="auto" w:sz="4" w:space="0"/>
              <w:bottom w:val="single" w:color="auto" w:sz="4" w:space="0"/>
              <w:right w:val="single" w:color="auto" w:sz="4" w:space="0"/>
            </w:tcBorders>
          </w:tcPr>
          <w:p w14:paraId="1408A7A4">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Мобильные приложения для удержания клиентов</w:t>
            </w:r>
          </w:p>
        </w:tc>
        <w:tc>
          <w:tcPr>
            <w:tcW w:w="5386" w:type="dxa"/>
            <w:tcBorders>
              <w:top w:val="single" w:color="auto" w:sz="4" w:space="0"/>
              <w:left w:val="single" w:color="auto" w:sz="4" w:space="0"/>
              <w:bottom w:val="single" w:color="auto" w:sz="4" w:space="0"/>
              <w:right w:val="single" w:color="auto" w:sz="4" w:space="0"/>
            </w:tcBorders>
          </w:tcPr>
          <w:p w14:paraId="2B14038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Снижение частоты профилактических визитов</w:t>
            </w:r>
          </w:p>
        </w:tc>
      </w:tr>
    </w:tbl>
    <w:p w14:paraId="7324931A">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Критерии отбора цифровых инструментов определены так, чтобы учесть и проблемную ориентацию инструментов, и их реализуемость в рамках </w:t>
      </w:r>
      <w:r>
        <w:rPr>
          <w:rFonts w:ascii="Times New Roman" w:hAnsi="Times New Roman" w:eastAsia="Times New Roman" w:cs="Times New Roman"/>
          <w:bCs/>
          <w:color w:val="000000"/>
          <w:kern w:val="0"/>
          <w:sz w:val="28"/>
          <w:szCs w:val="22"/>
          <w:lang w:val="en-US"/>
          <w14:ligatures w14:val="none"/>
        </w:rPr>
        <w:t>MVP</w:t>
      </w:r>
      <w:r>
        <w:rPr>
          <w:rFonts w:ascii="Times New Roman" w:hAnsi="Times New Roman" w:eastAsia="Times New Roman" w:cs="Times New Roman"/>
          <w:bCs/>
          <w:color w:val="000000"/>
          <w:kern w:val="0"/>
          <w:sz w:val="28"/>
          <w:szCs w:val="22"/>
          <w14:ligatures w14:val="none"/>
        </w:rPr>
        <w:t>, и нормативные ограничения 2025-2026 годов. Сформулированы шесть критериев с весами; веса задают условную приоритетность для конкретной сети.</w:t>
      </w:r>
    </w:p>
    <w:p w14:paraId="5D2C392A">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17 — Критерии отбора цифровых инструментов и их веса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551"/>
        <w:gridCol w:w="4252"/>
        <w:gridCol w:w="850"/>
      </w:tblGrid>
      <w:tr w14:paraId="6541B660">
        <w:tc>
          <w:tcPr>
            <w:tcW w:w="850" w:type="dxa"/>
            <w:tcBorders>
              <w:top w:val="single" w:color="auto" w:sz="4" w:space="0"/>
              <w:left w:val="single" w:color="auto" w:sz="4" w:space="0"/>
              <w:bottom w:val="single" w:color="auto" w:sz="4" w:space="0"/>
              <w:right w:val="single" w:color="auto" w:sz="4" w:space="0"/>
            </w:tcBorders>
            <w:vAlign w:val="center"/>
          </w:tcPr>
          <w:p w14:paraId="0499EFA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w:t>
            </w:r>
          </w:p>
        </w:tc>
        <w:tc>
          <w:tcPr>
            <w:tcW w:w="2551" w:type="dxa"/>
            <w:tcBorders>
              <w:top w:val="single" w:color="auto" w:sz="4" w:space="0"/>
              <w:left w:val="single" w:color="auto" w:sz="4" w:space="0"/>
              <w:bottom w:val="single" w:color="auto" w:sz="4" w:space="0"/>
              <w:right w:val="single" w:color="auto" w:sz="4" w:space="0"/>
            </w:tcBorders>
            <w:vAlign w:val="center"/>
          </w:tcPr>
          <w:p w14:paraId="208C9D8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Критерий</w:t>
            </w:r>
          </w:p>
        </w:tc>
        <w:tc>
          <w:tcPr>
            <w:tcW w:w="4252" w:type="dxa"/>
            <w:tcBorders>
              <w:top w:val="single" w:color="auto" w:sz="4" w:space="0"/>
              <w:left w:val="single" w:color="auto" w:sz="4" w:space="0"/>
              <w:bottom w:val="single" w:color="auto" w:sz="4" w:space="0"/>
              <w:right w:val="single" w:color="auto" w:sz="4" w:space="0"/>
            </w:tcBorders>
            <w:vAlign w:val="center"/>
          </w:tcPr>
          <w:p w14:paraId="4D83600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Содержание</w:t>
            </w:r>
          </w:p>
        </w:tc>
        <w:tc>
          <w:tcPr>
            <w:tcW w:w="850" w:type="dxa"/>
            <w:tcBorders>
              <w:top w:val="single" w:color="auto" w:sz="4" w:space="0"/>
              <w:left w:val="single" w:color="auto" w:sz="4" w:space="0"/>
              <w:bottom w:val="single" w:color="auto" w:sz="4" w:space="0"/>
              <w:right w:val="single" w:color="auto" w:sz="4" w:space="0"/>
            </w:tcBorders>
            <w:vAlign w:val="center"/>
          </w:tcPr>
          <w:p w14:paraId="4407407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Вес</w:t>
            </w:r>
          </w:p>
        </w:tc>
      </w:tr>
      <w:tr w14:paraId="20D5B3CE">
        <w:tc>
          <w:tcPr>
            <w:tcW w:w="850" w:type="dxa"/>
            <w:tcBorders>
              <w:top w:val="single" w:color="auto" w:sz="4" w:space="0"/>
              <w:left w:val="single" w:color="auto" w:sz="4" w:space="0"/>
              <w:bottom w:val="single" w:color="auto" w:sz="4" w:space="0"/>
              <w:right w:val="single" w:color="auto" w:sz="4" w:space="0"/>
            </w:tcBorders>
          </w:tcPr>
          <w:p w14:paraId="24FE7F3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К1</w:t>
            </w:r>
          </w:p>
        </w:tc>
        <w:tc>
          <w:tcPr>
            <w:tcW w:w="2551" w:type="dxa"/>
            <w:tcBorders>
              <w:top w:val="single" w:color="auto" w:sz="4" w:space="0"/>
              <w:left w:val="single" w:color="auto" w:sz="4" w:space="0"/>
              <w:bottom w:val="single" w:color="auto" w:sz="4" w:space="0"/>
              <w:right w:val="single" w:color="auto" w:sz="4" w:space="0"/>
            </w:tcBorders>
          </w:tcPr>
          <w:p w14:paraId="5262D12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Покрытие проблем</w:t>
            </w:r>
          </w:p>
        </w:tc>
        <w:tc>
          <w:tcPr>
            <w:tcW w:w="4252" w:type="dxa"/>
            <w:tcBorders>
              <w:top w:val="single" w:color="auto" w:sz="4" w:space="0"/>
              <w:left w:val="single" w:color="auto" w:sz="4" w:space="0"/>
              <w:bottom w:val="single" w:color="auto" w:sz="4" w:space="0"/>
              <w:right w:val="single" w:color="auto" w:sz="4" w:space="0"/>
            </w:tcBorders>
          </w:tcPr>
          <w:p w14:paraId="33FF5250">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Закрывает одно или несколько конкретных проявлений управленческой проблемы</w:t>
            </w:r>
          </w:p>
        </w:tc>
        <w:tc>
          <w:tcPr>
            <w:tcW w:w="850" w:type="dxa"/>
            <w:tcBorders>
              <w:top w:val="single" w:color="auto" w:sz="4" w:space="0"/>
              <w:left w:val="single" w:color="auto" w:sz="4" w:space="0"/>
              <w:bottom w:val="single" w:color="auto" w:sz="4" w:space="0"/>
              <w:right w:val="single" w:color="auto" w:sz="4" w:space="0"/>
            </w:tcBorders>
          </w:tcPr>
          <w:p w14:paraId="65058BE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0,25</w:t>
            </w:r>
          </w:p>
        </w:tc>
      </w:tr>
      <w:tr w14:paraId="296C438F">
        <w:tc>
          <w:tcPr>
            <w:tcW w:w="850" w:type="dxa"/>
            <w:tcBorders>
              <w:top w:val="single" w:color="auto" w:sz="4" w:space="0"/>
              <w:left w:val="single" w:color="auto" w:sz="4" w:space="0"/>
              <w:bottom w:val="single" w:color="auto" w:sz="4" w:space="0"/>
              <w:right w:val="single" w:color="auto" w:sz="4" w:space="0"/>
            </w:tcBorders>
          </w:tcPr>
          <w:p w14:paraId="415F9BD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К2</w:t>
            </w:r>
          </w:p>
        </w:tc>
        <w:tc>
          <w:tcPr>
            <w:tcW w:w="2551" w:type="dxa"/>
            <w:tcBorders>
              <w:top w:val="single" w:color="auto" w:sz="4" w:space="0"/>
              <w:left w:val="single" w:color="auto" w:sz="4" w:space="0"/>
              <w:bottom w:val="single" w:color="auto" w:sz="4" w:space="0"/>
              <w:right w:val="single" w:color="auto" w:sz="4" w:space="0"/>
            </w:tcBorders>
          </w:tcPr>
          <w:p w14:paraId="0BEB1F5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Эмпирическая обоснованность</w:t>
            </w:r>
          </w:p>
        </w:tc>
        <w:tc>
          <w:tcPr>
            <w:tcW w:w="4252" w:type="dxa"/>
            <w:tcBorders>
              <w:top w:val="single" w:color="auto" w:sz="4" w:space="0"/>
              <w:left w:val="single" w:color="auto" w:sz="4" w:space="0"/>
              <w:bottom w:val="single" w:color="auto" w:sz="4" w:space="0"/>
              <w:right w:val="single" w:color="auto" w:sz="4" w:space="0"/>
            </w:tcBorders>
          </w:tcPr>
          <w:p w14:paraId="561E0CF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Имеется опубликованная количественная оценка эффекта (метаанализ, </w:t>
            </w:r>
            <w:r>
              <w:rPr>
                <w:rFonts w:ascii="Times New Roman" w:hAnsi="Times New Roman" w:eastAsia="Times New Roman" w:cs="Times New Roman"/>
                <w:bCs/>
                <w:color w:val="000000"/>
                <w:kern w:val="0"/>
                <w:sz w:val="24"/>
                <w:lang w:val="en-US"/>
                <w14:ligatures w14:val="none"/>
              </w:rPr>
              <w:t>RCT</w:t>
            </w:r>
            <w:r>
              <w:rPr>
                <w:rFonts w:ascii="Times New Roman" w:hAnsi="Times New Roman" w:eastAsia="Times New Roman" w:cs="Times New Roman"/>
                <w:bCs/>
                <w:color w:val="000000"/>
                <w:kern w:val="0"/>
                <w:sz w:val="24"/>
                <w14:ligatures w14:val="none"/>
              </w:rPr>
              <w:t>, отраслевой обзор)</w:t>
            </w:r>
          </w:p>
        </w:tc>
        <w:tc>
          <w:tcPr>
            <w:tcW w:w="850" w:type="dxa"/>
            <w:tcBorders>
              <w:top w:val="single" w:color="auto" w:sz="4" w:space="0"/>
              <w:left w:val="single" w:color="auto" w:sz="4" w:space="0"/>
              <w:bottom w:val="single" w:color="auto" w:sz="4" w:space="0"/>
              <w:right w:val="single" w:color="auto" w:sz="4" w:space="0"/>
            </w:tcBorders>
          </w:tcPr>
          <w:p w14:paraId="59E4610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0,20</w:t>
            </w:r>
          </w:p>
        </w:tc>
      </w:tr>
      <w:tr w14:paraId="027A98A6">
        <w:tc>
          <w:tcPr>
            <w:tcW w:w="850" w:type="dxa"/>
            <w:tcBorders>
              <w:top w:val="single" w:color="auto" w:sz="4" w:space="0"/>
              <w:left w:val="single" w:color="auto" w:sz="4" w:space="0"/>
              <w:bottom w:val="single" w:color="auto" w:sz="4" w:space="0"/>
              <w:right w:val="single" w:color="auto" w:sz="4" w:space="0"/>
            </w:tcBorders>
          </w:tcPr>
          <w:p w14:paraId="396886E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К3</w:t>
            </w:r>
          </w:p>
        </w:tc>
        <w:tc>
          <w:tcPr>
            <w:tcW w:w="2551" w:type="dxa"/>
            <w:tcBorders>
              <w:top w:val="single" w:color="auto" w:sz="4" w:space="0"/>
              <w:left w:val="single" w:color="auto" w:sz="4" w:space="0"/>
              <w:bottom w:val="single" w:color="auto" w:sz="4" w:space="0"/>
              <w:right w:val="single" w:color="auto" w:sz="4" w:space="0"/>
            </w:tcBorders>
          </w:tcPr>
          <w:p w14:paraId="7A0B864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Соответствие нормативной базе 2025</w:t>
            </w:r>
            <w:r>
              <w:rPr>
                <w:rFonts w:ascii="Times New Roman" w:hAnsi="Times New Roman" w:eastAsia="Times New Roman" w:cs="Times New Roman"/>
                <w:bCs/>
                <w:color w:val="000000"/>
                <w:kern w:val="0"/>
                <w:sz w:val="24"/>
                <w14:ligatures w14:val="none"/>
              </w:rPr>
              <w:t>-</w:t>
            </w:r>
            <w:r>
              <w:rPr>
                <w:rFonts w:ascii="Times New Roman" w:hAnsi="Times New Roman" w:eastAsia="Times New Roman" w:cs="Times New Roman"/>
                <w:bCs/>
                <w:color w:val="000000"/>
                <w:kern w:val="0"/>
                <w:sz w:val="24"/>
                <w:lang w:val="en-US"/>
                <w14:ligatures w14:val="none"/>
              </w:rPr>
              <w:t>2026</w:t>
            </w:r>
          </w:p>
        </w:tc>
        <w:tc>
          <w:tcPr>
            <w:tcW w:w="4252" w:type="dxa"/>
            <w:tcBorders>
              <w:top w:val="single" w:color="auto" w:sz="4" w:space="0"/>
              <w:left w:val="single" w:color="auto" w:sz="4" w:space="0"/>
              <w:bottom w:val="single" w:color="auto" w:sz="4" w:space="0"/>
              <w:right w:val="single" w:color="auto" w:sz="4" w:space="0"/>
            </w:tcBorders>
          </w:tcPr>
          <w:p w14:paraId="272C685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Не противоречит 152-ФЗ, 323-ФЗ, 38-ФЗ ст. 24 и порядку № 193н</w:t>
            </w:r>
          </w:p>
        </w:tc>
        <w:tc>
          <w:tcPr>
            <w:tcW w:w="850" w:type="dxa"/>
            <w:tcBorders>
              <w:top w:val="single" w:color="auto" w:sz="4" w:space="0"/>
              <w:left w:val="single" w:color="auto" w:sz="4" w:space="0"/>
              <w:bottom w:val="single" w:color="auto" w:sz="4" w:space="0"/>
              <w:right w:val="single" w:color="auto" w:sz="4" w:space="0"/>
            </w:tcBorders>
          </w:tcPr>
          <w:p w14:paraId="6DAC350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0,20</w:t>
            </w:r>
          </w:p>
        </w:tc>
      </w:tr>
      <w:tr w14:paraId="4BA22D35">
        <w:tc>
          <w:tcPr>
            <w:tcW w:w="850" w:type="dxa"/>
            <w:tcBorders>
              <w:top w:val="single" w:color="auto" w:sz="4" w:space="0"/>
              <w:left w:val="single" w:color="auto" w:sz="4" w:space="0"/>
              <w:bottom w:val="single" w:color="auto" w:sz="4" w:space="0"/>
              <w:right w:val="single" w:color="auto" w:sz="4" w:space="0"/>
            </w:tcBorders>
          </w:tcPr>
          <w:p w14:paraId="343EC2C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К4</w:t>
            </w:r>
          </w:p>
        </w:tc>
        <w:tc>
          <w:tcPr>
            <w:tcW w:w="2551" w:type="dxa"/>
            <w:tcBorders>
              <w:top w:val="single" w:color="auto" w:sz="4" w:space="0"/>
              <w:left w:val="single" w:color="auto" w:sz="4" w:space="0"/>
              <w:bottom w:val="single" w:color="auto" w:sz="4" w:space="0"/>
              <w:right w:val="single" w:color="auto" w:sz="4" w:space="0"/>
            </w:tcBorders>
          </w:tcPr>
          <w:p w14:paraId="66C398D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Реализуемость в MVP</w:t>
            </w:r>
          </w:p>
        </w:tc>
        <w:tc>
          <w:tcPr>
            <w:tcW w:w="4252" w:type="dxa"/>
            <w:tcBorders>
              <w:top w:val="single" w:color="auto" w:sz="4" w:space="0"/>
              <w:left w:val="single" w:color="auto" w:sz="4" w:space="0"/>
              <w:bottom w:val="single" w:color="auto" w:sz="4" w:space="0"/>
              <w:right w:val="single" w:color="auto" w:sz="4" w:space="0"/>
            </w:tcBorders>
          </w:tcPr>
          <w:p w14:paraId="78CBA90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Может быть включён в первую версию продукта с приемлемыми сроками и стоимостью</w:t>
            </w:r>
          </w:p>
        </w:tc>
        <w:tc>
          <w:tcPr>
            <w:tcW w:w="850" w:type="dxa"/>
            <w:tcBorders>
              <w:top w:val="single" w:color="auto" w:sz="4" w:space="0"/>
              <w:left w:val="single" w:color="auto" w:sz="4" w:space="0"/>
              <w:bottom w:val="single" w:color="auto" w:sz="4" w:space="0"/>
              <w:right w:val="single" w:color="auto" w:sz="4" w:space="0"/>
            </w:tcBorders>
          </w:tcPr>
          <w:p w14:paraId="3820567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0,15</w:t>
            </w:r>
          </w:p>
        </w:tc>
      </w:tr>
      <w:tr w14:paraId="16895E96">
        <w:tc>
          <w:tcPr>
            <w:tcW w:w="850" w:type="dxa"/>
            <w:tcBorders>
              <w:top w:val="single" w:color="auto" w:sz="4" w:space="0"/>
              <w:left w:val="single" w:color="auto" w:sz="4" w:space="0"/>
              <w:bottom w:val="single" w:color="auto" w:sz="4" w:space="0"/>
              <w:right w:val="single" w:color="auto" w:sz="4" w:space="0"/>
            </w:tcBorders>
          </w:tcPr>
          <w:p w14:paraId="27AD2E8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К5</w:t>
            </w:r>
          </w:p>
        </w:tc>
        <w:tc>
          <w:tcPr>
            <w:tcW w:w="2551" w:type="dxa"/>
            <w:tcBorders>
              <w:top w:val="single" w:color="auto" w:sz="4" w:space="0"/>
              <w:left w:val="single" w:color="auto" w:sz="4" w:space="0"/>
              <w:bottom w:val="single" w:color="auto" w:sz="4" w:space="0"/>
              <w:right w:val="single" w:color="auto" w:sz="4" w:space="0"/>
            </w:tcBorders>
          </w:tcPr>
          <w:p w14:paraId="39DE0C6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Влияние на удержание (LTV)</w:t>
            </w:r>
          </w:p>
        </w:tc>
        <w:tc>
          <w:tcPr>
            <w:tcW w:w="4252" w:type="dxa"/>
            <w:tcBorders>
              <w:top w:val="single" w:color="auto" w:sz="4" w:space="0"/>
              <w:left w:val="single" w:color="auto" w:sz="4" w:space="0"/>
              <w:bottom w:val="single" w:color="auto" w:sz="4" w:space="0"/>
              <w:right w:val="single" w:color="auto" w:sz="4" w:space="0"/>
            </w:tcBorders>
          </w:tcPr>
          <w:p w14:paraId="168F1A86">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Поддерживает повторные визиты и пост-визитные коммуникации</w:t>
            </w:r>
          </w:p>
        </w:tc>
        <w:tc>
          <w:tcPr>
            <w:tcW w:w="850" w:type="dxa"/>
            <w:tcBorders>
              <w:top w:val="single" w:color="auto" w:sz="4" w:space="0"/>
              <w:left w:val="single" w:color="auto" w:sz="4" w:space="0"/>
              <w:bottom w:val="single" w:color="auto" w:sz="4" w:space="0"/>
              <w:right w:val="single" w:color="auto" w:sz="4" w:space="0"/>
            </w:tcBorders>
          </w:tcPr>
          <w:p w14:paraId="0AF93C4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0,10</w:t>
            </w:r>
          </w:p>
        </w:tc>
      </w:tr>
      <w:tr w14:paraId="4A7A1A59">
        <w:tc>
          <w:tcPr>
            <w:tcW w:w="850" w:type="dxa"/>
            <w:tcBorders>
              <w:top w:val="single" w:color="auto" w:sz="4" w:space="0"/>
              <w:left w:val="single" w:color="auto" w:sz="4" w:space="0"/>
              <w:bottom w:val="single" w:color="auto" w:sz="4" w:space="0"/>
              <w:right w:val="single" w:color="auto" w:sz="4" w:space="0"/>
            </w:tcBorders>
          </w:tcPr>
          <w:p w14:paraId="2EFE533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К6</w:t>
            </w:r>
          </w:p>
        </w:tc>
        <w:tc>
          <w:tcPr>
            <w:tcW w:w="2551" w:type="dxa"/>
            <w:tcBorders>
              <w:top w:val="single" w:color="auto" w:sz="4" w:space="0"/>
              <w:left w:val="single" w:color="auto" w:sz="4" w:space="0"/>
              <w:bottom w:val="single" w:color="auto" w:sz="4" w:space="0"/>
              <w:right w:val="single" w:color="auto" w:sz="4" w:space="0"/>
            </w:tcBorders>
          </w:tcPr>
          <w:p w14:paraId="6DCB640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Управляемость и собственные данные</w:t>
            </w:r>
          </w:p>
        </w:tc>
        <w:tc>
          <w:tcPr>
            <w:tcW w:w="4252" w:type="dxa"/>
            <w:tcBorders>
              <w:top w:val="single" w:color="auto" w:sz="4" w:space="0"/>
              <w:left w:val="single" w:color="auto" w:sz="4" w:space="0"/>
              <w:bottom w:val="single" w:color="auto" w:sz="4" w:space="0"/>
              <w:right w:val="single" w:color="auto" w:sz="4" w:space="0"/>
            </w:tcBorders>
          </w:tcPr>
          <w:p w14:paraId="2ECA6FB0">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Контактные данные и история взаимодействий остаются в системе клиники</w:t>
            </w:r>
          </w:p>
        </w:tc>
        <w:tc>
          <w:tcPr>
            <w:tcW w:w="850" w:type="dxa"/>
            <w:tcBorders>
              <w:top w:val="single" w:color="auto" w:sz="4" w:space="0"/>
              <w:left w:val="single" w:color="auto" w:sz="4" w:space="0"/>
              <w:bottom w:val="single" w:color="auto" w:sz="4" w:space="0"/>
              <w:right w:val="single" w:color="auto" w:sz="4" w:space="0"/>
            </w:tcBorders>
          </w:tcPr>
          <w:p w14:paraId="272B7D7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0,10</w:t>
            </w:r>
          </w:p>
        </w:tc>
      </w:tr>
    </w:tbl>
    <w:p w14:paraId="5B378A1F">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Веса распределены так, чтобы покрытие проблем (К1) оставалось доминирующим критерием. Сразу за К1 идут эмпирическая обоснованность (К2) и нормативная допустимость (К3) – два равнозначных критерия второго порядка с одинаковым весом, поскольку выбор инструмента в медицинской услуге требует одновременно подтверждённой эффективности и юридической чистоты. Реализуемость в </w:t>
      </w:r>
      <w:r>
        <w:rPr>
          <w:rFonts w:ascii="Times New Roman" w:hAnsi="Times New Roman" w:eastAsia="Times New Roman" w:cs="Times New Roman"/>
          <w:bCs/>
          <w:color w:val="000000"/>
          <w:kern w:val="0"/>
          <w:sz w:val="28"/>
          <w:szCs w:val="22"/>
          <w:lang w:val="en-US"/>
          <w14:ligatures w14:val="none"/>
        </w:rPr>
        <w:t>MVP</w:t>
      </w:r>
      <w:r>
        <w:rPr>
          <w:rFonts w:ascii="Times New Roman" w:hAnsi="Times New Roman" w:eastAsia="Times New Roman" w:cs="Times New Roman"/>
          <w:bCs/>
          <w:color w:val="000000"/>
          <w:kern w:val="0"/>
          <w:sz w:val="28"/>
          <w:szCs w:val="22"/>
          <w14:ligatures w14:val="none"/>
        </w:rPr>
        <w:t xml:space="preserve"> (К4), влияние на </w:t>
      </w:r>
      <w:r>
        <w:rPr>
          <w:rFonts w:ascii="Times New Roman" w:hAnsi="Times New Roman" w:eastAsia="Times New Roman" w:cs="Times New Roman"/>
          <w:bCs/>
          <w:color w:val="000000"/>
          <w:kern w:val="0"/>
          <w:sz w:val="28"/>
          <w:szCs w:val="22"/>
          <w:lang w:val="en-US"/>
          <w14:ligatures w14:val="none"/>
        </w:rPr>
        <w:t>LTV</w:t>
      </w:r>
      <w:r>
        <w:rPr>
          <w:rFonts w:ascii="Times New Roman" w:hAnsi="Times New Roman" w:eastAsia="Times New Roman" w:cs="Times New Roman"/>
          <w:bCs/>
          <w:color w:val="000000"/>
          <w:kern w:val="0"/>
          <w:sz w:val="28"/>
          <w:szCs w:val="22"/>
          <w14:ligatures w14:val="none"/>
        </w:rPr>
        <w:t xml:space="preserve"> (К5) и управляемость данными (К6) образуют третий приоритетный блок. </w:t>
      </w:r>
    </w:p>
    <w:p w14:paraId="2D29217C">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Кандидатами для отбора рассматриваются инструменты, описанные в ранее во второй главе и российской практике: </w:t>
      </w:r>
    </w:p>
    <w:p w14:paraId="103CC4A9">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онлайн-запись через сайт и мобильное приложение;</w:t>
      </w:r>
    </w:p>
    <w:p w14:paraId="749A16B3">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автоматические напоминания в мессенджерах и </w:t>
      </w:r>
      <w:r>
        <w:rPr>
          <w:rFonts w:ascii="Times New Roman" w:hAnsi="Times New Roman" w:eastAsia="Times New Roman" w:cs="Times New Roman"/>
          <w:bCs/>
          <w:color w:val="000000"/>
          <w:kern w:val="0"/>
          <w:sz w:val="28"/>
          <w:szCs w:val="22"/>
          <w:lang w:val="en-US"/>
          <w14:ligatures w14:val="none"/>
        </w:rPr>
        <w:t>SMS</w:t>
      </w:r>
      <w:r>
        <w:rPr>
          <w:rFonts w:ascii="Times New Roman" w:hAnsi="Times New Roman" w:eastAsia="Times New Roman" w:cs="Times New Roman"/>
          <w:bCs/>
          <w:color w:val="000000"/>
          <w:kern w:val="0"/>
          <w:sz w:val="28"/>
          <w:szCs w:val="22"/>
          <w14:ligatures w14:val="none"/>
        </w:rPr>
        <w:t>;</w:t>
      </w:r>
    </w:p>
    <w:p w14:paraId="19132D76">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чат-бот для типовых сценариев;</w:t>
      </w:r>
    </w:p>
    <w:p w14:paraId="65DF6F25">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единый цифровой профиль пациента с историей визитов;</w:t>
      </w:r>
    </w:p>
    <w:p w14:paraId="6F19C8D5">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цифровая заявка на налоговый вычет;</w:t>
      </w:r>
    </w:p>
    <w:p w14:paraId="06AF9BD1">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ретаргетинг по идентифицированной базе через собственный канал;</w:t>
      </w:r>
    </w:p>
    <w:p w14:paraId="206AB665">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омниканальные коммуникации с </w:t>
      </w:r>
      <w:r>
        <w:rPr>
          <w:rFonts w:ascii="Times New Roman" w:hAnsi="Times New Roman" w:eastAsia="Times New Roman" w:cs="Times New Roman"/>
          <w:bCs/>
          <w:color w:val="000000"/>
          <w:kern w:val="0"/>
          <w:sz w:val="28"/>
          <w:szCs w:val="22"/>
          <w:lang w:val="en-US"/>
          <w14:ligatures w14:val="none"/>
        </w:rPr>
        <w:t>CRM</w:t>
      </w:r>
      <w:r>
        <w:rPr>
          <w:rFonts w:ascii="Times New Roman" w:hAnsi="Times New Roman" w:eastAsia="Times New Roman" w:cs="Times New Roman"/>
          <w:bCs/>
          <w:color w:val="000000"/>
          <w:kern w:val="0"/>
          <w:sz w:val="28"/>
          <w:szCs w:val="22"/>
          <w14:ligatures w14:val="none"/>
        </w:rPr>
        <w:t>-сегментацией;</w:t>
      </w:r>
    </w:p>
    <w:p w14:paraId="6B224C42">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телестоматологические консультации; </w:t>
      </w:r>
    </w:p>
    <w:p w14:paraId="13569C84">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lang w:val="en-US"/>
          <w14:ligatures w14:val="none"/>
        </w:rPr>
        <w:t>AI</w:t>
      </w:r>
      <w:r>
        <w:rPr>
          <w:rFonts w:ascii="Times New Roman" w:hAnsi="Times New Roman" w:eastAsia="Times New Roman" w:cs="Times New Roman"/>
          <w:bCs/>
          <w:color w:val="000000"/>
          <w:kern w:val="0"/>
          <w:sz w:val="28"/>
          <w:szCs w:val="22"/>
          <w14:ligatures w14:val="none"/>
        </w:rPr>
        <w:t>-аналитика обращений;</w:t>
      </w:r>
    </w:p>
    <w:p w14:paraId="20D41C53">
      <w:pPr>
        <w:pStyle w:val="151"/>
        <w:numPr>
          <w:ilvl w:val="0"/>
          <w:numId w:val="32"/>
        </w:numPr>
        <w:spacing w:before="0" w:after="0" w:line="360" w:lineRule="auto"/>
        <w:ind w:left="0"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программа лояльности с цифровыми бонусами.</w:t>
      </w:r>
    </w:p>
    <w:p w14:paraId="044F5853">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В таблице 18 для каждого инструмента указаны проблемы клиники, которые он закрывает.</w:t>
      </w:r>
    </w:p>
    <w:p w14:paraId="72FC1628">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18 — Сопоставление цифровых инструментов с проблемами клиники</w:t>
      </w:r>
    </w:p>
    <w:tbl>
      <w:tblPr>
        <w:tblStyle w:val="36"/>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4"/>
        <w:gridCol w:w="5387"/>
      </w:tblGrid>
      <w:tr w14:paraId="564DA418">
        <w:tc>
          <w:tcPr>
            <w:tcW w:w="3964" w:type="dxa"/>
            <w:tcBorders>
              <w:top w:val="single" w:color="auto" w:sz="4" w:space="0"/>
              <w:left w:val="single" w:color="auto" w:sz="4" w:space="0"/>
              <w:bottom w:val="single" w:color="auto" w:sz="4" w:space="0"/>
              <w:right w:val="single" w:color="auto" w:sz="4" w:space="0"/>
            </w:tcBorders>
            <w:vAlign w:val="center"/>
          </w:tcPr>
          <w:p w14:paraId="4BEAEA9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Инструмент</w:t>
            </w:r>
          </w:p>
        </w:tc>
        <w:tc>
          <w:tcPr>
            <w:tcW w:w="5387" w:type="dxa"/>
            <w:tcBorders>
              <w:top w:val="single" w:color="auto" w:sz="4" w:space="0"/>
              <w:left w:val="single" w:color="auto" w:sz="4" w:space="0"/>
              <w:bottom w:val="single" w:color="auto" w:sz="4" w:space="0"/>
              <w:right w:val="single" w:color="auto" w:sz="4" w:space="0"/>
            </w:tcBorders>
            <w:vAlign w:val="center"/>
          </w:tcPr>
          <w:p w14:paraId="0E36E95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Проблемы клиники, закрываемые инструментом</w:t>
            </w:r>
          </w:p>
        </w:tc>
      </w:tr>
      <w:tr w14:paraId="1BCA458A">
        <w:tc>
          <w:tcPr>
            <w:tcW w:w="3964" w:type="dxa"/>
            <w:tcBorders>
              <w:top w:val="single" w:color="auto" w:sz="4" w:space="0"/>
              <w:left w:val="single" w:color="auto" w:sz="4" w:space="0"/>
              <w:bottom w:val="single" w:color="auto" w:sz="4" w:space="0"/>
              <w:right w:val="single" w:color="auto" w:sz="4" w:space="0"/>
            </w:tcBorders>
          </w:tcPr>
          <w:p w14:paraId="7B9D0129">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Онлайн-запись через мобильное приложение и сайт</w:t>
            </w:r>
          </w:p>
        </w:tc>
        <w:tc>
          <w:tcPr>
            <w:tcW w:w="5387" w:type="dxa"/>
            <w:tcBorders>
              <w:top w:val="single" w:color="auto" w:sz="4" w:space="0"/>
              <w:left w:val="single" w:color="auto" w:sz="4" w:space="0"/>
              <w:bottom w:val="single" w:color="auto" w:sz="4" w:space="0"/>
              <w:right w:val="single" w:color="auto" w:sz="4" w:space="0"/>
            </w:tcBorders>
          </w:tcPr>
          <w:p w14:paraId="514276E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Низкая конверсия первичного трафика; зависимость от единственного канала; нагрузка регистратуры</w:t>
            </w:r>
          </w:p>
        </w:tc>
      </w:tr>
      <w:tr w14:paraId="1C545BE5">
        <w:tc>
          <w:tcPr>
            <w:tcW w:w="3964" w:type="dxa"/>
            <w:tcBorders>
              <w:top w:val="single" w:color="auto" w:sz="4" w:space="0"/>
              <w:left w:val="single" w:color="auto" w:sz="4" w:space="0"/>
              <w:bottom w:val="single" w:color="auto" w:sz="4" w:space="0"/>
              <w:right w:val="single" w:color="auto" w:sz="4" w:space="0"/>
            </w:tcBorders>
          </w:tcPr>
          <w:p w14:paraId="39DA73C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Автоматические напоминания в мессенджерах и </w:t>
            </w:r>
            <w:r>
              <w:rPr>
                <w:rFonts w:ascii="Times New Roman" w:hAnsi="Times New Roman" w:eastAsia="Times New Roman" w:cs="Times New Roman"/>
                <w:bCs/>
                <w:color w:val="000000"/>
                <w:kern w:val="0"/>
                <w:sz w:val="24"/>
                <w:lang w:val="en-US"/>
                <w14:ligatures w14:val="none"/>
              </w:rPr>
              <w:t>SMS</w:t>
            </w:r>
          </w:p>
        </w:tc>
        <w:tc>
          <w:tcPr>
            <w:tcW w:w="5387" w:type="dxa"/>
            <w:tcBorders>
              <w:top w:val="single" w:color="auto" w:sz="4" w:space="0"/>
              <w:left w:val="single" w:color="auto" w:sz="4" w:space="0"/>
              <w:bottom w:val="single" w:color="auto" w:sz="4" w:space="0"/>
              <w:right w:val="single" w:color="auto" w:sz="4" w:space="0"/>
            </w:tcBorders>
          </w:tcPr>
          <w:p w14:paraId="0C999A47">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Рост неявок; забывание визита; снижение профилактической явки</w:t>
            </w:r>
          </w:p>
        </w:tc>
      </w:tr>
      <w:tr w14:paraId="7D3A46B6">
        <w:tc>
          <w:tcPr>
            <w:tcW w:w="3964" w:type="dxa"/>
            <w:tcBorders>
              <w:top w:val="single" w:color="auto" w:sz="4" w:space="0"/>
              <w:left w:val="single" w:color="auto" w:sz="4" w:space="0"/>
              <w:bottom w:val="single" w:color="auto" w:sz="4" w:space="0"/>
              <w:right w:val="single" w:color="auto" w:sz="4" w:space="0"/>
            </w:tcBorders>
          </w:tcPr>
          <w:p w14:paraId="6B5619F5">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Чат-бот в мессенджерах для типовых сценариев</w:t>
            </w:r>
          </w:p>
        </w:tc>
        <w:tc>
          <w:tcPr>
            <w:tcW w:w="5387" w:type="dxa"/>
            <w:tcBorders>
              <w:top w:val="single" w:color="auto" w:sz="4" w:space="0"/>
              <w:left w:val="single" w:color="auto" w:sz="4" w:space="0"/>
              <w:bottom w:val="single" w:color="auto" w:sz="4" w:space="0"/>
              <w:right w:val="single" w:color="auto" w:sz="4" w:space="0"/>
            </w:tcBorders>
          </w:tcPr>
          <w:p w14:paraId="612ECDEE">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Нагрузка регистратуры; зависимость от единственного канала</w:t>
            </w:r>
          </w:p>
        </w:tc>
      </w:tr>
      <w:tr w14:paraId="10C93CAE">
        <w:tc>
          <w:tcPr>
            <w:tcW w:w="3964" w:type="dxa"/>
            <w:tcBorders>
              <w:top w:val="single" w:color="auto" w:sz="4" w:space="0"/>
              <w:left w:val="single" w:color="auto" w:sz="4" w:space="0"/>
              <w:bottom w:val="single" w:color="auto" w:sz="4" w:space="0"/>
              <w:right w:val="single" w:color="auto" w:sz="4" w:space="0"/>
            </w:tcBorders>
          </w:tcPr>
          <w:p w14:paraId="3FB7A915">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Единый цифровой профиль пациента с историей визитов</w:t>
            </w:r>
          </w:p>
        </w:tc>
        <w:tc>
          <w:tcPr>
            <w:tcW w:w="5387" w:type="dxa"/>
            <w:tcBorders>
              <w:top w:val="single" w:color="auto" w:sz="4" w:space="0"/>
              <w:left w:val="single" w:color="auto" w:sz="4" w:space="0"/>
              <w:bottom w:val="single" w:color="auto" w:sz="4" w:space="0"/>
              <w:right w:val="single" w:color="auto" w:sz="4" w:space="0"/>
            </w:tcBorders>
          </w:tcPr>
          <w:p w14:paraId="03DE52F0">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Нагрузка регистратуры; отток на пост-диагностике</w:t>
            </w:r>
          </w:p>
        </w:tc>
      </w:tr>
      <w:tr w14:paraId="4DFDB041">
        <w:tc>
          <w:tcPr>
            <w:tcW w:w="3964" w:type="dxa"/>
            <w:tcBorders>
              <w:top w:val="single" w:color="auto" w:sz="4" w:space="0"/>
              <w:left w:val="single" w:color="auto" w:sz="4" w:space="0"/>
              <w:bottom w:val="single" w:color="auto" w:sz="4" w:space="0"/>
              <w:right w:val="single" w:color="auto" w:sz="4" w:space="0"/>
            </w:tcBorders>
          </w:tcPr>
          <w:p w14:paraId="1329A280">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Цифровая заявка на налоговый вычет</w:t>
            </w:r>
          </w:p>
        </w:tc>
        <w:tc>
          <w:tcPr>
            <w:tcW w:w="5387" w:type="dxa"/>
            <w:tcBorders>
              <w:top w:val="single" w:color="auto" w:sz="4" w:space="0"/>
              <w:left w:val="single" w:color="auto" w:sz="4" w:space="0"/>
              <w:bottom w:val="single" w:color="auto" w:sz="4" w:space="0"/>
              <w:right w:val="single" w:color="auto" w:sz="4" w:space="0"/>
            </w:tcBorders>
          </w:tcPr>
          <w:p w14:paraId="3F4BD753">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Отток на пост-диагностике; снижение </w:t>
            </w:r>
            <w:r>
              <w:rPr>
                <w:rFonts w:ascii="Times New Roman" w:hAnsi="Times New Roman" w:eastAsia="Times New Roman" w:cs="Times New Roman"/>
                <w:bCs/>
                <w:color w:val="000000"/>
                <w:kern w:val="0"/>
                <w:sz w:val="24"/>
                <w:lang w:val="en-US"/>
                <w14:ligatures w14:val="none"/>
              </w:rPr>
              <w:t>LTV</w:t>
            </w:r>
          </w:p>
        </w:tc>
      </w:tr>
      <w:tr w14:paraId="406B7C09">
        <w:tc>
          <w:tcPr>
            <w:tcW w:w="3964" w:type="dxa"/>
            <w:tcBorders>
              <w:top w:val="single" w:color="auto" w:sz="4" w:space="0"/>
              <w:left w:val="single" w:color="auto" w:sz="4" w:space="0"/>
              <w:bottom w:val="single" w:color="auto" w:sz="4" w:space="0"/>
              <w:right w:val="single" w:color="auto" w:sz="4" w:space="0"/>
            </w:tcBorders>
          </w:tcPr>
          <w:p w14:paraId="185F917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Собственный ретаргетинг по идентифицированной базе</w:t>
            </w:r>
          </w:p>
        </w:tc>
        <w:tc>
          <w:tcPr>
            <w:tcW w:w="5387" w:type="dxa"/>
            <w:tcBorders>
              <w:top w:val="single" w:color="auto" w:sz="4" w:space="0"/>
              <w:left w:val="single" w:color="auto" w:sz="4" w:space="0"/>
              <w:bottom w:val="single" w:color="auto" w:sz="4" w:space="0"/>
              <w:right w:val="single" w:color="auto" w:sz="4" w:space="0"/>
            </w:tcBorders>
          </w:tcPr>
          <w:p w14:paraId="255D6D7C">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Невозможность повторных коммуникаций с аудиторией сайта</w:t>
            </w:r>
          </w:p>
        </w:tc>
      </w:tr>
      <w:tr w14:paraId="6CC799B1">
        <w:tc>
          <w:tcPr>
            <w:tcW w:w="3964" w:type="dxa"/>
            <w:tcBorders>
              <w:top w:val="single" w:color="auto" w:sz="4" w:space="0"/>
              <w:left w:val="single" w:color="auto" w:sz="4" w:space="0"/>
              <w:bottom w:val="single" w:color="auto" w:sz="4" w:space="0"/>
              <w:right w:val="single" w:color="auto" w:sz="4" w:space="0"/>
            </w:tcBorders>
          </w:tcPr>
          <w:p w14:paraId="76824BD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Омниканальная </w:t>
            </w:r>
            <w:r>
              <w:rPr>
                <w:rFonts w:ascii="Times New Roman" w:hAnsi="Times New Roman" w:eastAsia="Times New Roman" w:cs="Times New Roman"/>
                <w:bCs/>
                <w:color w:val="000000"/>
                <w:kern w:val="0"/>
                <w:sz w:val="24"/>
                <w:lang w:val="en-US"/>
                <w14:ligatures w14:val="none"/>
              </w:rPr>
              <w:t>CRM</w:t>
            </w:r>
            <w:r>
              <w:rPr>
                <w:rFonts w:ascii="Times New Roman" w:hAnsi="Times New Roman" w:eastAsia="Times New Roman" w:cs="Times New Roman"/>
                <w:bCs/>
                <w:color w:val="000000"/>
                <w:kern w:val="0"/>
                <w:sz w:val="24"/>
                <w14:ligatures w14:val="none"/>
              </w:rPr>
              <w:t>-сегментация и триггерные рассылки</w:t>
            </w:r>
          </w:p>
        </w:tc>
        <w:tc>
          <w:tcPr>
            <w:tcW w:w="5387" w:type="dxa"/>
            <w:tcBorders>
              <w:top w:val="single" w:color="auto" w:sz="4" w:space="0"/>
              <w:left w:val="single" w:color="auto" w:sz="4" w:space="0"/>
              <w:bottom w:val="single" w:color="auto" w:sz="4" w:space="0"/>
              <w:right w:val="single" w:color="auto" w:sz="4" w:space="0"/>
            </w:tcBorders>
          </w:tcPr>
          <w:p w14:paraId="7FA490DB">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Несвязанные каналы; зависимость от телефона; снижение профвизитов</w:t>
            </w:r>
          </w:p>
        </w:tc>
      </w:tr>
      <w:tr w14:paraId="09AF7EC9">
        <w:tc>
          <w:tcPr>
            <w:tcW w:w="3964" w:type="dxa"/>
            <w:tcBorders>
              <w:top w:val="single" w:color="auto" w:sz="4" w:space="0"/>
              <w:left w:val="single" w:color="auto" w:sz="4" w:space="0"/>
              <w:bottom w:val="single" w:color="auto" w:sz="4" w:space="0"/>
              <w:right w:val="single" w:color="auto" w:sz="4" w:space="0"/>
            </w:tcBorders>
          </w:tcPr>
          <w:p w14:paraId="405FFD2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Телестоматологические консультации</w:t>
            </w:r>
          </w:p>
        </w:tc>
        <w:tc>
          <w:tcPr>
            <w:tcW w:w="5387" w:type="dxa"/>
            <w:tcBorders>
              <w:top w:val="single" w:color="auto" w:sz="4" w:space="0"/>
              <w:left w:val="single" w:color="auto" w:sz="4" w:space="0"/>
              <w:bottom w:val="single" w:color="auto" w:sz="4" w:space="0"/>
              <w:right w:val="single" w:color="auto" w:sz="4" w:space="0"/>
            </w:tcBorders>
          </w:tcPr>
          <w:p w14:paraId="3D7FCA10">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Удалённость; страх перед лечением; пост-диагностика</w:t>
            </w:r>
          </w:p>
        </w:tc>
      </w:tr>
      <w:tr w14:paraId="6A2C2C70">
        <w:tc>
          <w:tcPr>
            <w:tcW w:w="3964" w:type="dxa"/>
            <w:tcBorders>
              <w:top w:val="single" w:color="auto" w:sz="4" w:space="0"/>
              <w:left w:val="single" w:color="auto" w:sz="4" w:space="0"/>
              <w:bottom w:val="single" w:color="auto" w:sz="4" w:space="0"/>
              <w:right w:val="single" w:color="auto" w:sz="4" w:space="0"/>
            </w:tcBorders>
          </w:tcPr>
          <w:p w14:paraId="2C9F91F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lang w:val="en-US"/>
                <w14:ligatures w14:val="none"/>
              </w:rPr>
              <w:t>AI</w:t>
            </w:r>
            <w:r>
              <w:rPr>
                <w:rFonts w:ascii="Times New Roman" w:hAnsi="Times New Roman" w:eastAsia="Times New Roman" w:cs="Times New Roman"/>
                <w:bCs/>
                <w:color w:val="000000"/>
                <w:kern w:val="0"/>
                <w:sz w:val="24"/>
                <w14:ligatures w14:val="none"/>
              </w:rPr>
              <w:t>-аналитика обращений (тёмные данные)</w:t>
            </w:r>
          </w:p>
        </w:tc>
        <w:tc>
          <w:tcPr>
            <w:tcW w:w="5387" w:type="dxa"/>
            <w:tcBorders>
              <w:top w:val="single" w:color="auto" w:sz="4" w:space="0"/>
              <w:left w:val="single" w:color="auto" w:sz="4" w:space="0"/>
              <w:bottom w:val="single" w:color="auto" w:sz="4" w:space="0"/>
              <w:right w:val="single" w:color="auto" w:sz="4" w:space="0"/>
            </w:tcBorders>
          </w:tcPr>
          <w:p w14:paraId="00AFFD10">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Низкая конверсия; невидимые причины оттока</w:t>
            </w:r>
          </w:p>
        </w:tc>
      </w:tr>
      <w:tr w14:paraId="5677ABF1">
        <w:tc>
          <w:tcPr>
            <w:tcW w:w="3964" w:type="dxa"/>
            <w:tcBorders>
              <w:top w:val="single" w:color="auto" w:sz="4" w:space="0"/>
              <w:left w:val="single" w:color="auto" w:sz="4" w:space="0"/>
              <w:bottom w:val="single" w:color="auto" w:sz="4" w:space="0"/>
              <w:right w:val="single" w:color="auto" w:sz="4" w:space="0"/>
            </w:tcBorders>
          </w:tcPr>
          <w:p w14:paraId="3BB1C1E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Цифровая программа лояльности</w:t>
            </w:r>
          </w:p>
        </w:tc>
        <w:tc>
          <w:tcPr>
            <w:tcW w:w="5387" w:type="dxa"/>
            <w:tcBorders>
              <w:top w:val="single" w:color="auto" w:sz="4" w:space="0"/>
              <w:left w:val="single" w:color="auto" w:sz="4" w:space="0"/>
              <w:bottom w:val="single" w:color="auto" w:sz="4" w:space="0"/>
              <w:right w:val="single" w:color="auto" w:sz="4" w:space="0"/>
            </w:tcBorders>
          </w:tcPr>
          <w:p w14:paraId="2D6835AD">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Снижение профилактических визитов; LTV</w:t>
            </w:r>
          </w:p>
        </w:tc>
      </w:tr>
    </w:tbl>
    <w:p w14:paraId="480C2214">
      <w:pPr>
        <w:spacing w:before="0" w:after="0" w:line="360" w:lineRule="auto"/>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Источник: составлено автором</w:t>
      </w:r>
    </w:p>
    <w:p w14:paraId="148437D4">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Каждый инструмент оценен по шести критериям из таблицы 17 по шкале 1-5, где 5 – максимальное соответствие критерию. Итоговая оценка получена как взвешенная сумма; в состав MVP включаются инструменты с итоговой оценкой не ниже 3,8 и максимальным влиянием на критерии К1 и К3.</w:t>
      </w:r>
    </w:p>
    <w:p w14:paraId="2F5E7C56">
      <w:pPr>
        <w:spacing w:before="0" w:after="0" w:line="360" w:lineRule="auto"/>
        <w:ind w:firstLine="709"/>
        <w:jc w:val="left"/>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Таблица 19 — Оценка цифровых инструментов по критериям отбора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67"/>
        <w:gridCol w:w="567"/>
        <w:gridCol w:w="567"/>
        <w:gridCol w:w="567"/>
        <w:gridCol w:w="567"/>
        <w:gridCol w:w="567"/>
        <w:gridCol w:w="850"/>
        <w:gridCol w:w="2268"/>
      </w:tblGrid>
      <w:tr w14:paraId="2BC89A72">
        <w:tc>
          <w:tcPr>
            <w:tcW w:w="2551" w:type="dxa"/>
            <w:tcBorders>
              <w:top w:val="single" w:color="auto" w:sz="4" w:space="0"/>
              <w:left w:val="single" w:color="auto" w:sz="4" w:space="0"/>
              <w:bottom w:val="single" w:color="auto" w:sz="4" w:space="0"/>
              <w:right w:val="single" w:color="auto" w:sz="4" w:space="0"/>
            </w:tcBorders>
            <w:vAlign w:val="center"/>
          </w:tcPr>
          <w:p w14:paraId="56D4AB2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Инструмент</w:t>
            </w:r>
          </w:p>
        </w:tc>
        <w:tc>
          <w:tcPr>
            <w:tcW w:w="567" w:type="dxa"/>
            <w:tcBorders>
              <w:top w:val="single" w:color="auto" w:sz="4" w:space="0"/>
              <w:left w:val="single" w:color="auto" w:sz="4" w:space="0"/>
              <w:bottom w:val="single" w:color="auto" w:sz="4" w:space="0"/>
              <w:right w:val="single" w:color="auto" w:sz="4" w:space="0"/>
            </w:tcBorders>
            <w:vAlign w:val="center"/>
          </w:tcPr>
          <w:p w14:paraId="37B80FE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К1</w:t>
            </w:r>
          </w:p>
        </w:tc>
        <w:tc>
          <w:tcPr>
            <w:tcW w:w="567" w:type="dxa"/>
            <w:tcBorders>
              <w:top w:val="single" w:color="auto" w:sz="4" w:space="0"/>
              <w:left w:val="single" w:color="auto" w:sz="4" w:space="0"/>
              <w:bottom w:val="single" w:color="auto" w:sz="4" w:space="0"/>
              <w:right w:val="single" w:color="auto" w:sz="4" w:space="0"/>
            </w:tcBorders>
            <w:vAlign w:val="center"/>
          </w:tcPr>
          <w:p w14:paraId="2B46E4FD">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К2</w:t>
            </w:r>
          </w:p>
        </w:tc>
        <w:tc>
          <w:tcPr>
            <w:tcW w:w="567" w:type="dxa"/>
            <w:tcBorders>
              <w:top w:val="single" w:color="auto" w:sz="4" w:space="0"/>
              <w:left w:val="single" w:color="auto" w:sz="4" w:space="0"/>
              <w:bottom w:val="single" w:color="auto" w:sz="4" w:space="0"/>
              <w:right w:val="single" w:color="auto" w:sz="4" w:space="0"/>
            </w:tcBorders>
            <w:vAlign w:val="center"/>
          </w:tcPr>
          <w:p w14:paraId="59CB901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К3</w:t>
            </w:r>
          </w:p>
        </w:tc>
        <w:tc>
          <w:tcPr>
            <w:tcW w:w="567" w:type="dxa"/>
            <w:tcBorders>
              <w:top w:val="single" w:color="auto" w:sz="4" w:space="0"/>
              <w:left w:val="single" w:color="auto" w:sz="4" w:space="0"/>
              <w:bottom w:val="single" w:color="auto" w:sz="4" w:space="0"/>
              <w:right w:val="single" w:color="auto" w:sz="4" w:space="0"/>
            </w:tcBorders>
            <w:vAlign w:val="center"/>
          </w:tcPr>
          <w:p w14:paraId="71643F9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К4</w:t>
            </w:r>
          </w:p>
        </w:tc>
        <w:tc>
          <w:tcPr>
            <w:tcW w:w="567" w:type="dxa"/>
            <w:tcBorders>
              <w:top w:val="single" w:color="auto" w:sz="4" w:space="0"/>
              <w:left w:val="single" w:color="auto" w:sz="4" w:space="0"/>
              <w:bottom w:val="single" w:color="auto" w:sz="4" w:space="0"/>
              <w:right w:val="single" w:color="auto" w:sz="4" w:space="0"/>
            </w:tcBorders>
            <w:vAlign w:val="center"/>
          </w:tcPr>
          <w:p w14:paraId="2DE941C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К5</w:t>
            </w:r>
          </w:p>
        </w:tc>
        <w:tc>
          <w:tcPr>
            <w:tcW w:w="567" w:type="dxa"/>
            <w:tcBorders>
              <w:top w:val="single" w:color="auto" w:sz="4" w:space="0"/>
              <w:left w:val="single" w:color="auto" w:sz="4" w:space="0"/>
              <w:bottom w:val="single" w:color="auto" w:sz="4" w:space="0"/>
              <w:right w:val="single" w:color="auto" w:sz="4" w:space="0"/>
            </w:tcBorders>
            <w:vAlign w:val="center"/>
          </w:tcPr>
          <w:p w14:paraId="688D3DB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К6</w:t>
            </w:r>
          </w:p>
        </w:tc>
        <w:tc>
          <w:tcPr>
            <w:tcW w:w="850" w:type="dxa"/>
            <w:tcBorders>
              <w:top w:val="single" w:color="auto" w:sz="4" w:space="0"/>
              <w:left w:val="single" w:color="auto" w:sz="4" w:space="0"/>
              <w:bottom w:val="single" w:color="auto" w:sz="4" w:space="0"/>
              <w:right w:val="single" w:color="auto" w:sz="4" w:space="0"/>
            </w:tcBorders>
            <w:vAlign w:val="center"/>
          </w:tcPr>
          <w:p w14:paraId="0D8682A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Итог</w:t>
            </w:r>
          </w:p>
        </w:tc>
        <w:tc>
          <w:tcPr>
            <w:tcW w:w="2268" w:type="dxa"/>
            <w:tcBorders>
              <w:top w:val="single" w:color="auto" w:sz="4" w:space="0"/>
              <w:left w:val="single" w:color="auto" w:sz="4" w:space="0"/>
              <w:bottom w:val="single" w:color="auto" w:sz="4" w:space="0"/>
              <w:right w:val="single" w:color="auto" w:sz="4" w:space="0"/>
            </w:tcBorders>
            <w:vAlign w:val="center"/>
          </w:tcPr>
          <w:p w14:paraId="7C50332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
                <w:bCs/>
                <w:color w:val="000000"/>
                <w:kern w:val="0"/>
                <w:sz w:val="24"/>
                <w:lang w:val="en-US"/>
                <w14:ligatures w14:val="none"/>
              </w:rPr>
              <w:t>В MVP</w:t>
            </w:r>
          </w:p>
        </w:tc>
      </w:tr>
      <w:tr w14:paraId="0AB2BC47">
        <w:tc>
          <w:tcPr>
            <w:tcW w:w="2551" w:type="dxa"/>
            <w:tcBorders>
              <w:top w:val="single" w:color="auto" w:sz="4" w:space="0"/>
              <w:left w:val="single" w:color="auto" w:sz="4" w:space="0"/>
              <w:bottom w:val="single" w:color="auto" w:sz="4" w:space="0"/>
              <w:right w:val="single" w:color="auto" w:sz="4" w:space="0"/>
            </w:tcBorders>
          </w:tcPr>
          <w:p w14:paraId="49D9D15E">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Онлайн-запись (приложение и сайт)</w:t>
            </w:r>
          </w:p>
        </w:tc>
        <w:tc>
          <w:tcPr>
            <w:tcW w:w="567" w:type="dxa"/>
            <w:tcBorders>
              <w:top w:val="single" w:color="auto" w:sz="4" w:space="0"/>
              <w:left w:val="single" w:color="auto" w:sz="4" w:space="0"/>
              <w:bottom w:val="single" w:color="auto" w:sz="4" w:space="0"/>
              <w:right w:val="single" w:color="auto" w:sz="4" w:space="0"/>
            </w:tcBorders>
          </w:tcPr>
          <w:p w14:paraId="4441E7B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2F62B51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78C9FEE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7844018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63FBD21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4EB796C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850" w:type="dxa"/>
            <w:tcBorders>
              <w:top w:val="single" w:color="auto" w:sz="4" w:space="0"/>
              <w:left w:val="single" w:color="auto" w:sz="4" w:space="0"/>
              <w:bottom w:val="single" w:color="auto" w:sz="4" w:space="0"/>
              <w:right w:val="single" w:color="auto" w:sz="4" w:space="0"/>
            </w:tcBorders>
          </w:tcPr>
          <w:p w14:paraId="7420CCC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4,85</w:t>
            </w:r>
          </w:p>
        </w:tc>
        <w:tc>
          <w:tcPr>
            <w:tcW w:w="2268" w:type="dxa"/>
            <w:tcBorders>
              <w:top w:val="single" w:color="auto" w:sz="4" w:space="0"/>
              <w:left w:val="single" w:color="auto" w:sz="4" w:space="0"/>
              <w:bottom w:val="single" w:color="auto" w:sz="4" w:space="0"/>
              <w:right w:val="single" w:color="auto" w:sz="4" w:space="0"/>
            </w:tcBorders>
          </w:tcPr>
          <w:p w14:paraId="295DB34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Да</w:t>
            </w:r>
          </w:p>
        </w:tc>
      </w:tr>
      <w:tr w14:paraId="1B8F98A5">
        <w:tc>
          <w:tcPr>
            <w:tcW w:w="2551" w:type="dxa"/>
            <w:tcBorders>
              <w:top w:val="single" w:color="auto" w:sz="4" w:space="0"/>
              <w:left w:val="single" w:color="auto" w:sz="4" w:space="0"/>
              <w:bottom w:val="single" w:color="auto" w:sz="4" w:space="0"/>
              <w:right w:val="single" w:color="auto" w:sz="4" w:space="0"/>
            </w:tcBorders>
          </w:tcPr>
          <w:p w14:paraId="05EDA658">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Напоминания в мессенджерах и </w:t>
            </w:r>
            <w:r>
              <w:rPr>
                <w:rFonts w:ascii="Times New Roman" w:hAnsi="Times New Roman" w:eastAsia="Times New Roman" w:cs="Times New Roman"/>
                <w:bCs/>
                <w:color w:val="000000"/>
                <w:kern w:val="0"/>
                <w:sz w:val="24"/>
                <w:lang w:val="en-US"/>
                <w14:ligatures w14:val="none"/>
              </w:rPr>
              <w:t>SMS</w:t>
            </w:r>
          </w:p>
        </w:tc>
        <w:tc>
          <w:tcPr>
            <w:tcW w:w="567" w:type="dxa"/>
            <w:tcBorders>
              <w:top w:val="single" w:color="auto" w:sz="4" w:space="0"/>
              <w:left w:val="single" w:color="auto" w:sz="4" w:space="0"/>
              <w:bottom w:val="single" w:color="auto" w:sz="4" w:space="0"/>
              <w:right w:val="single" w:color="auto" w:sz="4" w:space="0"/>
            </w:tcBorders>
          </w:tcPr>
          <w:p w14:paraId="09133A7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41B5A49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70772C4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26E9DB2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74897F0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59DBD05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850" w:type="dxa"/>
            <w:tcBorders>
              <w:top w:val="single" w:color="auto" w:sz="4" w:space="0"/>
              <w:left w:val="single" w:color="auto" w:sz="4" w:space="0"/>
              <w:bottom w:val="single" w:color="auto" w:sz="4" w:space="0"/>
              <w:right w:val="single" w:color="auto" w:sz="4" w:space="0"/>
            </w:tcBorders>
          </w:tcPr>
          <w:p w14:paraId="60D38F1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4,75</w:t>
            </w:r>
          </w:p>
        </w:tc>
        <w:tc>
          <w:tcPr>
            <w:tcW w:w="2268" w:type="dxa"/>
            <w:tcBorders>
              <w:top w:val="single" w:color="auto" w:sz="4" w:space="0"/>
              <w:left w:val="single" w:color="auto" w:sz="4" w:space="0"/>
              <w:bottom w:val="single" w:color="auto" w:sz="4" w:space="0"/>
              <w:right w:val="single" w:color="auto" w:sz="4" w:space="0"/>
            </w:tcBorders>
          </w:tcPr>
          <w:p w14:paraId="2F243846">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Да</w:t>
            </w:r>
          </w:p>
        </w:tc>
      </w:tr>
      <w:tr w14:paraId="7D7B29C7">
        <w:tc>
          <w:tcPr>
            <w:tcW w:w="2551" w:type="dxa"/>
            <w:tcBorders>
              <w:top w:val="single" w:color="auto" w:sz="4" w:space="0"/>
              <w:left w:val="single" w:color="auto" w:sz="4" w:space="0"/>
              <w:bottom w:val="single" w:color="auto" w:sz="4" w:space="0"/>
              <w:right w:val="single" w:color="auto" w:sz="4" w:space="0"/>
            </w:tcBorders>
          </w:tcPr>
          <w:p w14:paraId="6EDFA2C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Единый цифровой профиль пациента</w:t>
            </w:r>
          </w:p>
        </w:tc>
        <w:tc>
          <w:tcPr>
            <w:tcW w:w="567" w:type="dxa"/>
            <w:tcBorders>
              <w:top w:val="single" w:color="auto" w:sz="4" w:space="0"/>
              <w:left w:val="single" w:color="auto" w:sz="4" w:space="0"/>
              <w:bottom w:val="single" w:color="auto" w:sz="4" w:space="0"/>
              <w:right w:val="single" w:color="auto" w:sz="4" w:space="0"/>
            </w:tcBorders>
          </w:tcPr>
          <w:p w14:paraId="1475301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6EC1F2C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218BF77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11A1602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76F3974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79FF857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850" w:type="dxa"/>
            <w:tcBorders>
              <w:top w:val="single" w:color="auto" w:sz="4" w:space="0"/>
              <w:left w:val="single" w:color="auto" w:sz="4" w:space="0"/>
              <w:bottom w:val="single" w:color="auto" w:sz="4" w:space="0"/>
              <w:right w:val="single" w:color="auto" w:sz="4" w:space="0"/>
            </w:tcBorders>
          </w:tcPr>
          <w:p w14:paraId="5AAF034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4,65</w:t>
            </w:r>
          </w:p>
        </w:tc>
        <w:tc>
          <w:tcPr>
            <w:tcW w:w="2268" w:type="dxa"/>
            <w:tcBorders>
              <w:top w:val="single" w:color="auto" w:sz="4" w:space="0"/>
              <w:left w:val="single" w:color="auto" w:sz="4" w:space="0"/>
              <w:bottom w:val="single" w:color="auto" w:sz="4" w:space="0"/>
              <w:right w:val="single" w:color="auto" w:sz="4" w:space="0"/>
            </w:tcBorders>
          </w:tcPr>
          <w:p w14:paraId="071CF8A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Да</w:t>
            </w:r>
          </w:p>
        </w:tc>
      </w:tr>
      <w:tr w14:paraId="6C38C84D">
        <w:tc>
          <w:tcPr>
            <w:tcW w:w="2551" w:type="dxa"/>
            <w:tcBorders>
              <w:top w:val="single" w:color="auto" w:sz="4" w:space="0"/>
              <w:left w:val="single" w:color="auto" w:sz="4" w:space="0"/>
              <w:bottom w:val="single" w:color="auto" w:sz="4" w:space="0"/>
              <w:right w:val="single" w:color="auto" w:sz="4" w:space="0"/>
            </w:tcBorders>
          </w:tcPr>
          <w:p w14:paraId="78FEA9B5">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Цифровая заявка на налоговый вычет</w:t>
            </w:r>
          </w:p>
        </w:tc>
        <w:tc>
          <w:tcPr>
            <w:tcW w:w="567" w:type="dxa"/>
            <w:tcBorders>
              <w:top w:val="single" w:color="auto" w:sz="4" w:space="0"/>
              <w:left w:val="single" w:color="auto" w:sz="4" w:space="0"/>
              <w:bottom w:val="single" w:color="auto" w:sz="4" w:space="0"/>
              <w:right w:val="single" w:color="auto" w:sz="4" w:space="0"/>
            </w:tcBorders>
          </w:tcPr>
          <w:p w14:paraId="5CC16CA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037326A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739EAD8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2974249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67AC2A7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52E5016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850" w:type="dxa"/>
            <w:tcBorders>
              <w:top w:val="single" w:color="auto" w:sz="4" w:space="0"/>
              <w:left w:val="single" w:color="auto" w:sz="4" w:space="0"/>
              <w:bottom w:val="single" w:color="auto" w:sz="4" w:space="0"/>
              <w:right w:val="single" w:color="auto" w:sz="4" w:space="0"/>
            </w:tcBorders>
          </w:tcPr>
          <w:p w14:paraId="36728EED">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4,35</w:t>
            </w:r>
          </w:p>
        </w:tc>
        <w:tc>
          <w:tcPr>
            <w:tcW w:w="2268" w:type="dxa"/>
            <w:tcBorders>
              <w:top w:val="single" w:color="auto" w:sz="4" w:space="0"/>
              <w:left w:val="single" w:color="auto" w:sz="4" w:space="0"/>
              <w:bottom w:val="single" w:color="auto" w:sz="4" w:space="0"/>
              <w:right w:val="single" w:color="auto" w:sz="4" w:space="0"/>
            </w:tcBorders>
          </w:tcPr>
          <w:p w14:paraId="63E1E5C6">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Да</w:t>
            </w:r>
          </w:p>
        </w:tc>
      </w:tr>
      <w:tr w14:paraId="424A9C14">
        <w:tc>
          <w:tcPr>
            <w:tcW w:w="2551" w:type="dxa"/>
            <w:tcBorders>
              <w:top w:val="single" w:color="auto" w:sz="4" w:space="0"/>
              <w:left w:val="single" w:color="auto" w:sz="4" w:space="0"/>
              <w:bottom w:val="single" w:color="auto" w:sz="4" w:space="0"/>
              <w:right w:val="single" w:color="auto" w:sz="4" w:space="0"/>
            </w:tcBorders>
          </w:tcPr>
          <w:p w14:paraId="596916FA">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Чат-бот для типовых сценариев</w:t>
            </w:r>
          </w:p>
        </w:tc>
        <w:tc>
          <w:tcPr>
            <w:tcW w:w="567" w:type="dxa"/>
            <w:tcBorders>
              <w:top w:val="single" w:color="auto" w:sz="4" w:space="0"/>
              <w:left w:val="single" w:color="auto" w:sz="4" w:space="0"/>
              <w:bottom w:val="single" w:color="auto" w:sz="4" w:space="0"/>
              <w:right w:val="single" w:color="auto" w:sz="4" w:space="0"/>
            </w:tcBorders>
          </w:tcPr>
          <w:p w14:paraId="2FA348F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263304E6">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0E4FA4E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2074FD7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432D95A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46D2069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850" w:type="dxa"/>
            <w:tcBorders>
              <w:top w:val="single" w:color="auto" w:sz="4" w:space="0"/>
              <w:left w:val="single" w:color="auto" w:sz="4" w:space="0"/>
              <w:bottom w:val="single" w:color="auto" w:sz="4" w:space="0"/>
              <w:right w:val="single" w:color="auto" w:sz="4" w:space="0"/>
            </w:tcBorders>
          </w:tcPr>
          <w:p w14:paraId="0252FB0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3,90</w:t>
            </w:r>
          </w:p>
        </w:tc>
        <w:tc>
          <w:tcPr>
            <w:tcW w:w="2268" w:type="dxa"/>
            <w:tcBorders>
              <w:top w:val="single" w:color="auto" w:sz="4" w:space="0"/>
              <w:left w:val="single" w:color="auto" w:sz="4" w:space="0"/>
              <w:bottom w:val="single" w:color="auto" w:sz="4" w:space="0"/>
              <w:right w:val="single" w:color="auto" w:sz="4" w:space="0"/>
            </w:tcBorders>
          </w:tcPr>
          <w:p w14:paraId="4474721D">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 xml:space="preserve">Да (вне </w:t>
            </w:r>
            <w:r>
              <w:rPr>
                <w:rFonts w:ascii="Times New Roman" w:hAnsi="Times New Roman" w:eastAsia="Times New Roman" w:cs="Times New Roman"/>
                <w:bCs/>
                <w:color w:val="000000"/>
                <w:kern w:val="0"/>
                <w:sz w:val="24"/>
                <w:lang w:val="en-US"/>
                <w14:ligatures w14:val="none"/>
              </w:rPr>
              <w:t>MVP</w:t>
            </w:r>
            <w:r>
              <w:rPr>
                <w:rFonts w:ascii="Times New Roman" w:hAnsi="Times New Roman" w:eastAsia="Times New Roman" w:cs="Times New Roman"/>
                <w:bCs/>
                <w:color w:val="000000"/>
                <w:kern w:val="0"/>
                <w:sz w:val="24"/>
                <w14:ligatures w14:val="none"/>
              </w:rPr>
              <w:t xml:space="preserve"> – после пилота)</w:t>
            </w:r>
          </w:p>
        </w:tc>
      </w:tr>
      <w:tr w14:paraId="7387E36A">
        <w:tc>
          <w:tcPr>
            <w:tcW w:w="2551" w:type="dxa"/>
            <w:tcBorders>
              <w:top w:val="single" w:color="auto" w:sz="4" w:space="0"/>
              <w:left w:val="single" w:color="auto" w:sz="4" w:space="0"/>
              <w:bottom w:val="single" w:color="auto" w:sz="4" w:space="0"/>
              <w:right w:val="single" w:color="auto" w:sz="4" w:space="0"/>
            </w:tcBorders>
          </w:tcPr>
          <w:p w14:paraId="4352781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Омниканальная CRM-сегментация</w:t>
            </w:r>
          </w:p>
        </w:tc>
        <w:tc>
          <w:tcPr>
            <w:tcW w:w="567" w:type="dxa"/>
            <w:tcBorders>
              <w:top w:val="single" w:color="auto" w:sz="4" w:space="0"/>
              <w:left w:val="single" w:color="auto" w:sz="4" w:space="0"/>
              <w:bottom w:val="single" w:color="auto" w:sz="4" w:space="0"/>
              <w:right w:val="single" w:color="auto" w:sz="4" w:space="0"/>
            </w:tcBorders>
          </w:tcPr>
          <w:p w14:paraId="4DD504F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002D051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5A2969D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01CE748B">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685997A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501C442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850" w:type="dxa"/>
            <w:tcBorders>
              <w:top w:val="single" w:color="auto" w:sz="4" w:space="0"/>
              <w:left w:val="single" w:color="auto" w:sz="4" w:space="0"/>
              <w:bottom w:val="single" w:color="auto" w:sz="4" w:space="0"/>
              <w:right w:val="single" w:color="auto" w:sz="4" w:space="0"/>
            </w:tcBorders>
          </w:tcPr>
          <w:p w14:paraId="6770670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4,05</w:t>
            </w:r>
          </w:p>
        </w:tc>
        <w:tc>
          <w:tcPr>
            <w:tcW w:w="2268" w:type="dxa"/>
            <w:tcBorders>
              <w:top w:val="single" w:color="auto" w:sz="4" w:space="0"/>
              <w:left w:val="single" w:color="auto" w:sz="4" w:space="0"/>
              <w:bottom w:val="single" w:color="auto" w:sz="4" w:space="0"/>
              <w:right w:val="single" w:color="auto" w:sz="4" w:space="0"/>
            </w:tcBorders>
          </w:tcPr>
          <w:p w14:paraId="5E2CB0CF">
            <w:pPr>
              <w:spacing w:before="0" w:after="0" w:line="240" w:lineRule="auto"/>
              <w:ind w:firstLine="0"/>
              <w:jc w:val="both"/>
              <w:rPr>
                <w:rFonts w:ascii="Times New Roman" w:hAnsi="Times New Roman" w:eastAsia="Times New Roman" w:cs="Times New Roman"/>
                <w:bCs/>
                <w:color w:val="000000"/>
                <w:kern w:val="0"/>
                <w14:ligatures w14:val="none"/>
              </w:rPr>
            </w:pPr>
            <w:r>
              <w:rPr>
                <w:rFonts w:ascii="Times New Roman" w:hAnsi="Times New Roman" w:eastAsia="Times New Roman" w:cs="Times New Roman"/>
                <w:bCs/>
                <w:color w:val="000000"/>
                <w:kern w:val="0"/>
                <w:sz w:val="24"/>
                <w14:ligatures w14:val="none"/>
              </w:rPr>
              <w:t>Частично (</w:t>
            </w:r>
            <w:r>
              <w:rPr>
                <w:rFonts w:ascii="Times New Roman" w:hAnsi="Times New Roman" w:eastAsia="Times New Roman" w:cs="Times New Roman"/>
                <w:bCs/>
                <w:color w:val="000000"/>
                <w:kern w:val="0"/>
                <w:sz w:val="24"/>
                <w:lang w:val="en-US"/>
                <w14:ligatures w14:val="none"/>
              </w:rPr>
              <w:t>CRM</w:t>
            </w:r>
            <w:r>
              <w:rPr>
                <w:rFonts w:ascii="Times New Roman" w:hAnsi="Times New Roman" w:eastAsia="Times New Roman" w:cs="Times New Roman"/>
                <w:bCs/>
                <w:color w:val="000000"/>
                <w:kern w:val="0"/>
                <w:sz w:val="24"/>
                <w14:ligatures w14:val="none"/>
              </w:rPr>
              <w:t xml:space="preserve">-ядро в </w:t>
            </w:r>
            <w:r>
              <w:rPr>
                <w:rFonts w:ascii="Times New Roman" w:hAnsi="Times New Roman" w:eastAsia="Times New Roman" w:cs="Times New Roman"/>
                <w:bCs/>
                <w:color w:val="000000"/>
                <w:kern w:val="0"/>
                <w:sz w:val="24"/>
                <w:lang w:val="en-US"/>
                <w14:ligatures w14:val="none"/>
              </w:rPr>
              <w:t>MVP</w:t>
            </w:r>
            <w:r>
              <w:rPr>
                <w:rFonts w:ascii="Times New Roman" w:hAnsi="Times New Roman" w:eastAsia="Times New Roman" w:cs="Times New Roman"/>
                <w:bCs/>
                <w:color w:val="000000"/>
                <w:kern w:val="0"/>
                <w:sz w:val="24"/>
                <w14:ligatures w14:val="none"/>
              </w:rPr>
              <w:t>)</w:t>
            </w:r>
          </w:p>
        </w:tc>
      </w:tr>
      <w:tr w14:paraId="14161135">
        <w:tc>
          <w:tcPr>
            <w:tcW w:w="2551" w:type="dxa"/>
            <w:tcBorders>
              <w:top w:val="single" w:color="auto" w:sz="4" w:space="0"/>
              <w:left w:val="single" w:color="auto" w:sz="4" w:space="0"/>
              <w:bottom w:val="single" w:color="auto" w:sz="4" w:space="0"/>
              <w:right w:val="single" w:color="auto" w:sz="4" w:space="0"/>
            </w:tcBorders>
          </w:tcPr>
          <w:p w14:paraId="3F2C612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Собственный ретаргетинг по базе</w:t>
            </w:r>
          </w:p>
        </w:tc>
        <w:tc>
          <w:tcPr>
            <w:tcW w:w="567" w:type="dxa"/>
            <w:tcBorders>
              <w:top w:val="single" w:color="auto" w:sz="4" w:space="0"/>
              <w:left w:val="single" w:color="auto" w:sz="4" w:space="0"/>
              <w:bottom w:val="single" w:color="auto" w:sz="4" w:space="0"/>
              <w:right w:val="single" w:color="auto" w:sz="4" w:space="0"/>
            </w:tcBorders>
          </w:tcPr>
          <w:p w14:paraId="2497002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4FED0DB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54330402">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442DB03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27CE38F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2D6C802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850" w:type="dxa"/>
            <w:tcBorders>
              <w:top w:val="single" w:color="auto" w:sz="4" w:space="0"/>
              <w:left w:val="single" w:color="auto" w:sz="4" w:space="0"/>
              <w:bottom w:val="single" w:color="auto" w:sz="4" w:space="0"/>
              <w:right w:val="single" w:color="auto" w:sz="4" w:space="0"/>
            </w:tcBorders>
          </w:tcPr>
          <w:p w14:paraId="367C130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3,90</w:t>
            </w:r>
          </w:p>
        </w:tc>
        <w:tc>
          <w:tcPr>
            <w:tcW w:w="2268" w:type="dxa"/>
            <w:tcBorders>
              <w:top w:val="single" w:color="auto" w:sz="4" w:space="0"/>
              <w:left w:val="single" w:color="auto" w:sz="4" w:space="0"/>
              <w:bottom w:val="single" w:color="auto" w:sz="4" w:space="0"/>
              <w:right w:val="single" w:color="auto" w:sz="4" w:space="0"/>
            </w:tcBorders>
          </w:tcPr>
          <w:p w14:paraId="50F2F7B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Частично (после пилота)</w:t>
            </w:r>
          </w:p>
        </w:tc>
      </w:tr>
      <w:tr w14:paraId="5A2060C5">
        <w:tc>
          <w:tcPr>
            <w:tcW w:w="2551" w:type="dxa"/>
            <w:tcBorders>
              <w:top w:val="single" w:color="auto" w:sz="4" w:space="0"/>
              <w:left w:val="single" w:color="auto" w:sz="4" w:space="0"/>
              <w:bottom w:val="single" w:color="auto" w:sz="4" w:space="0"/>
              <w:right w:val="single" w:color="auto" w:sz="4" w:space="0"/>
            </w:tcBorders>
          </w:tcPr>
          <w:p w14:paraId="2D9EDD0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Телестоматологические консультации</w:t>
            </w:r>
          </w:p>
        </w:tc>
        <w:tc>
          <w:tcPr>
            <w:tcW w:w="567" w:type="dxa"/>
            <w:tcBorders>
              <w:top w:val="single" w:color="auto" w:sz="4" w:space="0"/>
              <w:left w:val="single" w:color="auto" w:sz="4" w:space="0"/>
              <w:bottom w:val="single" w:color="auto" w:sz="4" w:space="0"/>
              <w:right w:val="single" w:color="auto" w:sz="4" w:space="0"/>
            </w:tcBorders>
          </w:tcPr>
          <w:p w14:paraId="4292D11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156BBD3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6145BAD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4B1ECE1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2</w:t>
            </w:r>
          </w:p>
        </w:tc>
        <w:tc>
          <w:tcPr>
            <w:tcW w:w="567" w:type="dxa"/>
            <w:tcBorders>
              <w:top w:val="single" w:color="auto" w:sz="4" w:space="0"/>
              <w:left w:val="single" w:color="auto" w:sz="4" w:space="0"/>
              <w:bottom w:val="single" w:color="auto" w:sz="4" w:space="0"/>
              <w:right w:val="single" w:color="auto" w:sz="4" w:space="0"/>
            </w:tcBorders>
          </w:tcPr>
          <w:p w14:paraId="77D4E9F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3E21CAD5">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850" w:type="dxa"/>
            <w:tcBorders>
              <w:top w:val="single" w:color="auto" w:sz="4" w:space="0"/>
              <w:left w:val="single" w:color="auto" w:sz="4" w:space="0"/>
              <w:bottom w:val="single" w:color="auto" w:sz="4" w:space="0"/>
              <w:right w:val="single" w:color="auto" w:sz="4" w:space="0"/>
            </w:tcBorders>
          </w:tcPr>
          <w:p w14:paraId="316F162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3,15</w:t>
            </w:r>
          </w:p>
        </w:tc>
        <w:tc>
          <w:tcPr>
            <w:tcW w:w="2268" w:type="dxa"/>
            <w:tcBorders>
              <w:top w:val="single" w:color="auto" w:sz="4" w:space="0"/>
              <w:left w:val="single" w:color="auto" w:sz="4" w:space="0"/>
              <w:bottom w:val="single" w:color="auto" w:sz="4" w:space="0"/>
              <w:right w:val="single" w:color="auto" w:sz="4" w:space="0"/>
            </w:tcBorders>
          </w:tcPr>
          <w:p w14:paraId="0DB0FE8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Нет (требует расширения лицензии)</w:t>
            </w:r>
          </w:p>
        </w:tc>
      </w:tr>
      <w:tr w14:paraId="619198F9">
        <w:tc>
          <w:tcPr>
            <w:tcW w:w="2551" w:type="dxa"/>
            <w:tcBorders>
              <w:top w:val="single" w:color="auto" w:sz="4" w:space="0"/>
              <w:left w:val="single" w:color="auto" w:sz="4" w:space="0"/>
              <w:bottom w:val="single" w:color="auto" w:sz="4" w:space="0"/>
              <w:right w:val="single" w:color="auto" w:sz="4" w:space="0"/>
            </w:tcBorders>
          </w:tcPr>
          <w:p w14:paraId="272D517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AI-аналитика обращений</w:t>
            </w:r>
          </w:p>
        </w:tc>
        <w:tc>
          <w:tcPr>
            <w:tcW w:w="567" w:type="dxa"/>
            <w:tcBorders>
              <w:top w:val="single" w:color="auto" w:sz="4" w:space="0"/>
              <w:left w:val="single" w:color="auto" w:sz="4" w:space="0"/>
              <w:bottom w:val="single" w:color="auto" w:sz="4" w:space="0"/>
              <w:right w:val="single" w:color="auto" w:sz="4" w:space="0"/>
            </w:tcBorders>
          </w:tcPr>
          <w:p w14:paraId="109B0B4A">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270CCD2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3128398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567" w:type="dxa"/>
            <w:tcBorders>
              <w:top w:val="single" w:color="auto" w:sz="4" w:space="0"/>
              <w:left w:val="single" w:color="auto" w:sz="4" w:space="0"/>
              <w:bottom w:val="single" w:color="auto" w:sz="4" w:space="0"/>
              <w:right w:val="single" w:color="auto" w:sz="4" w:space="0"/>
            </w:tcBorders>
          </w:tcPr>
          <w:p w14:paraId="6F32AA88">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2</w:t>
            </w:r>
          </w:p>
        </w:tc>
        <w:tc>
          <w:tcPr>
            <w:tcW w:w="567" w:type="dxa"/>
            <w:tcBorders>
              <w:top w:val="single" w:color="auto" w:sz="4" w:space="0"/>
              <w:left w:val="single" w:color="auto" w:sz="4" w:space="0"/>
              <w:bottom w:val="single" w:color="auto" w:sz="4" w:space="0"/>
              <w:right w:val="single" w:color="auto" w:sz="4" w:space="0"/>
            </w:tcBorders>
          </w:tcPr>
          <w:p w14:paraId="05C504BE">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72539EB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850" w:type="dxa"/>
            <w:tcBorders>
              <w:top w:val="single" w:color="auto" w:sz="4" w:space="0"/>
              <w:left w:val="single" w:color="auto" w:sz="4" w:space="0"/>
              <w:bottom w:val="single" w:color="auto" w:sz="4" w:space="0"/>
              <w:right w:val="single" w:color="auto" w:sz="4" w:space="0"/>
            </w:tcBorders>
          </w:tcPr>
          <w:p w14:paraId="0CFC234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3,10</w:t>
            </w:r>
          </w:p>
        </w:tc>
        <w:tc>
          <w:tcPr>
            <w:tcW w:w="2268" w:type="dxa"/>
            <w:tcBorders>
              <w:top w:val="single" w:color="auto" w:sz="4" w:space="0"/>
              <w:left w:val="single" w:color="auto" w:sz="4" w:space="0"/>
              <w:bottom w:val="single" w:color="auto" w:sz="4" w:space="0"/>
              <w:right w:val="single" w:color="auto" w:sz="4" w:space="0"/>
            </w:tcBorders>
          </w:tcPr>
          <w:p w14:paraId="3FE22426">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Нет (после набора данных)</w:t>
            </w:r>
          </w:p>
        </w:tc>
      </w:tr>
      <w:tr w14:paraId="331D12FE">
        <w:tc>
          <w:tcPr>
            <w:tcW w:w="2551" w:type="dxa"/>
            <w:tcBorders>
              <w:top w:val="single" w:color="auto" w:sz="4" w:space="0"/>
              <w:left w:val="single" w:color="auto" w:sz="4" w:space="0"/>
              <w:bottom w:val="single" w:color="auto" w:sz="4" w:space="0"/>
              <w:right w:val="single" w:color="auto" w:sz="4" w:space="0"/>
            </w:tcBorders>
          </w:tcPr>
          <w:p w14:paraId="29A67A20">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Цифровая программа лояльности</w:t>
            </w:r>
          </w:p>
        </w:tc>
        <w:tc>
          <w:tcPr>
            <w:tcW w:w="567" w:type="dxa"/>
            <w:tcBorders>
              <w:top w:val="single" w:color="auto" w:sz="4" w:space="0"/>
              <w:left w:val="single" w:color="auto" w:sz="4" w:space="0"/>
              <w:bottom w:val="single" w:color="auto" w:sz="4" w:space="0"/>
              <w:right w:val="single" w:color="auto" w:sz="4" w:space="0"/>
            </w:tcBorders>
          </w:tcPr>
          <w:p w14:paraId="72A7E62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2E355FC7">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50A827A3">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5E0589F4">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w:t>
            </w:r>
          </w:p>
        </w:tc>
        <w:tc>
          <w:tcPr>
            <w:tcW w:w="567" w:type="dxa"/>
            <w:tcBorders>
              <w:top w:val="single" w:color="auto" w:sz="4" w:space="0"/>
              <w:left w:val="single" w:color="auto" w:sz="4" w:space="0"/>
              <w:bottom w:val="single" w:color="auto" w:sz="4" w:space="0"/>
              <w:right w:val="single" w:color="auto" w:sz="4" w:space="0"/>
            </w:tcBorders>
          </w:tcPr>
          <w:p w14:paraId="158A4B81">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5</w:t>
            </w:r>
          </w:p>
        </w:tc>
        <w:tc>
          <w:tcPr>
            <w:tcW w:w="567" w:type="dxa"/>
            <w:tcBorders>
              <w:top w:val="single" w:color="auto" w:sz="4" w:space="0"/>
              <w:left w:val="single" w:color="auto" w:sz="4" w:space="0"/>
              <w:bottom w:val="single" w:color="auto" w:sz="4" w:space="0"/>
              <w:right w:val="single" w:color="auto" w:sz="4" w:space="0"/>
            </w:tcBorders>
          </w:tcPr>
          <w:p w14:paraId="757F62FC">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4</w:t>
            </w:r>
          </w:p>
        </w:tc>
        <w:tc>
          <w:tcPr>
            <w:tcW w:w="850" w:type="dxa"/>
            <w:tcBorders>
              <w:top w:val="single" w:color="auto" w:sz="4" w:space="0"/>
              <w:left w:val="single" w:color="auto" w:sz="4" w:space="0"/>
              <w:bottom w:val="single" w:color="auto" w:sz="4" w:space="0"/>
              <w:right w:val="single" w:color="auto" w:sz="4" w:space="0"/>
            </w:tcBorders>
          </w:tcPr>
          <w:p w14:paraId="3305568F">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3,60</w:t>
            </w:r>
          </w:p>
        </w:tc>
        <w:tc>
          <w:tcPr>
            <w:tcW w:w="2268" w:type="dxa"/>
            <w:tcBorders>
              <w:top w:val="single" w:color="auto" w:sz="4" w:space="0"/>
              <w:left w:val="single" w:color="auto" w:sz="4" w:space="0"/>
              <w:bottom w:val="single" w:color="auto" w:sz="4" w:space="0"/>
              <w:right w:val="single" w:color="auto" w:sz="4" w:space="0"/>
            </w:tcBorders>
          </w:tcPr>
          <w:p w14:paraId="6ED66CE9">
            <w:pPr>
              <w:spacing w:before="0" w:after="0" w:line="240" w:lineRule="auto"/>
              <w:ind w:firstLine="0"/>
              <w:jc w:val="both"/>
              <w:rPr>
                <w:rFonts w:ascii="Times New Roman" w:hAnsi="Times New Roman" w:eastAsia="Times New Roman" w:cs="Times New Roman"/>
                <w:bCs/>
                <w:color w:val="000000"/>
                <w:kern w:val="0"/>
                <w:lang w:val="en-US"/>
                <w14:ligatures w14:val="none"/>
              </w:rPr>
            </w:pPr>
            <w:r>
              <w:rPr>
                <w:rFonts w:ascii="Times New Roman" w:hAnsi="Times New Roman" w:eastAsia="Times New Roman" w:cs="Times New Roman"/>
                <w:bCs/>
                <w:color w:val="000000"/>
                <w:kern w:val="0"/>
                <w:sz w:val="24"/>
                <w:lang w:val="en-US"/>
                <w14:ligatures w14:val="none"/>
              </w:rPr>
              <w:t>Нет (вторая итерация)</w:t>
            </w:r>
          </w:p>
        </w:tc>
      </w:tr>
    </w:tbl>
    <w:p w14:paraId="7D6E66EC">
      <w:pPr>
        <w:spacing w:before="0" w:after="0" w:line="360" w:lineRule="auto"/>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Источник: составлено автором</w:t>
      </w:r>
    </w:p>
    <w:p w14:paraId="0F6F64F9">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По итогам оценки в состав </w:t>
      </w:r>
      <w:r>
        <w:rPr>
          <w:rFonts w:ascii="Times New Roman" w:hAnsi="Times New Roman" w:eastAsia="Times New Roman" w:cs="Times New Roman"/>
          <w:bCs/>
          <w:color w:val="000000"/>
          <w:kern w:val="0"/>
          <w:sz w:val="28"/>
          <w:szCs w:val="22"/>
          <w:lang w:val="en-US"/>
          <w14:ligatures w14:val="none"/>
        </w:rPr>
        <w:t>MVP</w:t>
      </w:r>
      <w:r>
        <w:rPr>
          <w:rFonts w:ascii="Times New Roman" w:hAnsi="Times New Roman" w:eastAsia="Times New Roman" w:cs="Times New Roman"/>
          <w:bCs/>
          <w:color w:val="000000"/>
          <w:kern w:val="0"/>
          <w:sz w:val="28"/>
          <w:szCs w:val="22"/>
          <w14:ligatures w14:val="none"/>
        </w:rPr>
        <w:t xml:space="preserve"> включаются четыре инструмента с наивысшими оценками: онлайн-запись через мобильное приложение и сайт, автоматические напоминания и подтверждения в мессенджерах с резервом </w:t>
      </w:r>
      <w:r>
        <w:rPr>
          <w:rFonts w:ascii="Times New Roman" w:hAnsi="Times New Roman" w:eastAsia="Times New Roman" w:cs="Times New Roman"/>
          <w:bCs/>
          <w:color w:val="000000"/>
          <w:kern w:val="0"/>
          <w:sz w:val="28"/>
          <w:szCs w:val="22"/>
          <w:lang w:val="en-US"/>
          <w14:ligatures w14:val="none"/>
        </w:rPr>
        <w:t>SMS</w:t>
      </w:r>
      <w:r>
        <w:rPr>
          <w:rFonts w:ascii="Times New Roman" w:hAnsi="Times New Roman" w:eastAsia="Times New Roman" w:cs="Times New Roman"/>
          <w:bCs/>
          <w:color w:val="000000"/>
          <w:kern w:val="0"/>
          <w:sz w:val="28"/>
          <w:szCs w:val="22"/>
          <w14:ligatures w14:val="none"/>
        </w:rPr>
        <w:t xml:space="preserve">, единый цифровой профиль пациента с историей визитов и цифровая заявка на налоговый вычет. Они обеспечивают покрытие ключевых проявлений управленческой проблемы и опираются на доказательную базу. Чат-бот, омниканальная </w:t>
      </w:r>
      <w:r>
        <w:rPr>
          <w:rFonts w:ascii="Times New Roman" w:hAnsi="Times New Roman" w:eastAsia="Times New Roman" w:cs="Times New Roman"/>
          <w:bCs/>
          <w:color w:val="000000"/>
          <w:kern w:val="0"/>
          <w:sz w:val="28"/>
          <w:szCs w:val="22"/>
          <w:lang w:val="en-US"/>
          <w14:ligatures w14:val="none"/>
        </w:rPr>
        <w:t>CRM</w:t>
      </w:r>
      <w:r>
        <w:rPr>
          <w:rFonts w:ascii="Times New Roman" w:hAnsi="Times New Roman" w:eastAsia="Times New Roman" w:cs="Times New Roman"/>
          <w:bCs/>
          <w:color w:val="000000"/>
          <w:kern w:val="0"/>
          <w:sz w:val="28"/>
          <w:szCs w:val="22"/>
          <w14:ligatures w14:val="none"/>
        </w:rPr>
        <w:t xml:space="preserve">-сегментация и собственный ретаргетинг закладываются как расширения после пилотного запуска продолжительностью 2-3 месяца. Телестоматологические консультации и </w:t>
      </w:r>
      <w:r>
        <w:rPr>
          <w:rFonts w:ascii="Times New Roman" w:hAnsi="Times New Roman" w:eastAsia="Times New Roman" w:cs="Times New Roman"/>
          <w:bCs/>
          <w:color w:val="000000"/>
          <w:kern w:val="0"/>
          <w:sz w:val="28"/>
          <w:szCs w:val="22"/>
          <w:lang w:val="en-US"/>
          <w14:ligatures w14:val="none"/>
        </w:rPr>
        <w:t>AI</w:t>
      </w:r>
      <w:r>
        <w:rPr>
          <w:rFonts w:ascii="Times New Roman" w:hAnsi="Times New Roman" w:eastAsia="Times New Roman" w:cs="Times New Roman"/>
          <w:bCs/>
          <w:color w:val="000000"/>
          <w:kern w:val="0"/>
          <w:sz w:val="28"/>
          <w:szCs w:val="22"/>
          <w14:ligatures w14:val="none"/>
        </w:rPr>
        <w:t xml:space="preserve">-аналитика остаются за пределами </w:t>
      </w:r>
      <w:r>
        <w:rPr>
          <w:rFonts w:ascii="Times New Roman" w:hAnsi="Times New Roman" w:eastAsia="Times New Roman" w:cs="Times New Roman"/>
          <w:bCs/>
          <w:color w:val="000000"/>
          <w:kern w:val="0"/>
          <w:sz w:val="28"/>
          <w:szCs w:val="22"/>
          <w:lang w:val="en-US"/>
          <w14:ligatures w14:val="none"/>
        </w:rPr>
        <w:t>MVP</w:t>
      </w:r>
      <w:r>
        <w:rPr>
          <w:rFonts w:ascii="Times New Roman" w:hAnsi="Times New Roman" w:eastAsia="Times New Roman" w:cs="Times New Roman"/>
          <w:bCs/>
          <w:color w:val="000000"/>
          <w:kern w:val="0"/>
          <w:sz w:val="28"/>
          <w:szCs w:val="22"/>
          <w14:ligatures w14:val="none"/>
        </w:rPr>
        <w:t xml:space="preserve">: первое требует расширения лицензии и соответствия порядку № 193н, второе – накопления собственного датасета. </w:t>
      </w:r>
    </w:p>
    <w:p w14:paraId="1640861B">
      <w:pPr>
        <w:pStyle w:val="2"/>
        <w:pageBreakBefore/>
        <w:spacing w:before="0" w:after="0" w:line="360" w:lineRule="auto"/>
        <w:ind w:firstLine="709"/>
        <w:jc w:val="both"/>
        <w:rPr>
          <w:rFonts w:ascii="Times New Roman" w:hAnsi="Times New Roman" w:eastAsia="Times New Roman" w:cs="Times New Roman"/>
          <w:color w:val="000000"/>
          <w:kern w:val="0"/>
          <w:sz w:val="28"/>
          <w:szCs w:val="22"/>
          <w14:ligatures w14:val="none"/>
        </w:rPr>
      </w:pPr>
      <w:bookmarkStart w:id="17" w:name="_Toc2126763513"/>
      <w:r>
        <w:rPr>
          <w:rFonts w:ascii="Times New Roman" w:hAnsi="Times New Roman" w:eastAsia="Times New Roman" w:cs="Times New Roman"/>
          <w:b/>
          <w:color w:val="000000"/>
          <w:kern w:val="0"/>
          <w:sz w:val="28"/>
          <w:szCs w:val="22"/>
          <w14:ligatures w14:val="none"/>
        </w:rPr>
        <w:t>3 ПРАКТИЧЕСКИЕ АСПЕКТЫ ПРОЕКТИРОВАНИЯ КОНЦЕПТА ПРОГРАММНОГО ПРОДУКТА</w:t>
      </w:r>
      <w:bookmarkEnd w:id="17"/>
    </w:p>
    <w:p w14:paraId="01AB605E">
      <w:pPr>
        <w:pStyle w:val="3"/>
        <w:spacing w:before="0" w:after="0" w:line="360" w:lineRule="auto"/>
        <w:ind w:firstLine="709"/>
        <w:jc w:val="both"/>
        <w:rPr>
          <w:rFonts w:ascii="Times New Roman" w:hAnsi="Times New Roman" w:eastAsia="Times New Roman" w:cs="Times New Roman"/>
          <w:color w:val="000000"/>
          <w:kern w:val="0"/>
          <w:sz w:val="28"/>
          <w:szCs w:val="22"/>
          <w14:ligatures w14:val="none"/>
        </w:rPr>
      </w:pPr>
      <w:bookmarkStart w:id="18" w:name="_Toc1796542323"/>
      <w:r>
        <w:rPr>
          <w:rFonts w:ascii="Times New Roman" w:hAnsi="Times New Roman" w:eastAsia="Times New Roman" w:cs="Times New Roman"/>
          <w:b/>
          <w:color w:val="000000"/>
          <w:kern w:val="0"/>
          <w:sz w:val="28"/>
          <w:szCs w:val="22"/>
          <w14:ligatures w14:val="none"/>
        </w:rPr>
        <w:t xml:space="preserve">3.1 Концепт мобильного приложения и границы </w:t>
      </w:r>
      <w:r>
        <w:rPr>
          <w:rFonts w:ascii="Times New Roman" w:hAnsi="Times New Roman" w:eastAsia="Times New Roman" w:cs="Times New Roman"/>
          <w:b/>
          <w:color w:val="000000"/>
          <w:kern w:val="0"/>
          <w:sz w:val="28"/>
          <w:szCs w:val="22"/>
          <w:lang w:val="en-US"/>
          <w14:ligatures w14:val="none"/>
        </w:rPr>
        <w:t>MVP</w:t>
      </w:r>
      <w:bookmarkEnd w:id="18"/>
    </w:p>
    <w:p w14:paraId="269CB491">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Продукт – мобильное приложение единой сети стоматологических клиник. Пациент записывается на приём самостоятельно, хранит историю визитов и документы внутри приложения и подаёт заявку на справку для социального налогового вычета. Целевой рынок – частная стоматология; по отраслевой аналитике его объём в России превышает 700 млрд руб. в год [1].</w:t>
      </w:r>
    </w:p>
    <w:p w14:paraId="64C7DDEA">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Пользовательская ценность продукта связана с тремя задачами. Запись на приём выполняется без звонка: пациент сам подбирает услугу, клинику, врача и слот. Профиль пациента общий для всех филиалов сети и содержит историю визитов, сроки гарантии на работы и электронные копии чеков. Справку для социального налогового вычета пациент заказывает прямо в приложении и получает по электронному документообороту.</w:t>
      </w:r>
    </w:p>
    <w:p w14:paraId="62995689">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Границы первой версии заданы по принципу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 xml:space="preserve">. В неё входит пациентский контур: запись на приём, история визитов и заявка на налоговый вычет. Онлайн-консультация, полный интерфейс администратора клиники, ведение плана лечения и карта зубов формата </w:t>
      </w:r>
      <w:r>
        <w:rPr>
          <w:rFonts w:ascii="Times New Roman" w:hAnsi="Times New Roman" w:eastAsia="Times New Roman" w:cs="Times New Roman"/>
          <w:color w:val="000000"/>
          <w:kern w:val="0"/>
          <w:sz w:val="28"/>
          <w:szCs w:val="22"/>
          <w:lang w:val="en-US"/>
          <w14:ligatures w14:val="none"/>
        </w:rPr>
        <w:t>FDI</w:t>
      </w:r>
      <w:r>
        <w:rPr>
          <w:rFonts w:ascii="Times New Roman" w:hAnsi="Times New Roman" w:eastAsia="Times New Roman" w:cs="Times New Roman"/>
          <w:color w:val="000000"/>
          <w:kern w:val="0"/>
          <w:sz w:val="28"/>
          <w:szCs w:val="22"/>
          <w14:ligatures w14:val="none"/>
        </w:rPr>
        <w:t xml:space="preserve"> вынесены во вторую очередь; эти направления рассматриваются как расширение модели данных из подраздела 3.5.</w:t>
      </w:r>
    </w:p>
    <w:p w14:paraId="2F99C1A1">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20 — Матрица функций, включаемых и исключаемых из минимально жизнеспособного продукта</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402"/>
        <w:gridCol w:w="3402"/>
      </w:tblGrid>
      <w:tr w14:paraId="6EB55294">
        <w:tc>
          <w:tcPr>
            <w:tcW w:w="2551" w:type="dxa"/>
            <w:tcBorders>
              <w:top w:val="single" w:color="auto" w:sz="4" w:space="0"/>
              <w:left w:val="single" w:color="auto" w:sz="4" w:space="0"/>
              <w:bottom w:val="single" w:color="auto" w:sz="4" w:space="0"/>
              <w:right w:val="single" w:color="auto" w:sz="4" w:space="0"/>
            </w:tcBorders>
            <w:vAlign w:val="center"/>
          </w:tcPr>
          <w:p w14:paraId="38A5FAA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Направление</w:t>
            </w:r>
          </w:p>
        </w:tc>
        <w:tc>
          <w:tcPr>
            <w:tcW w:w="3402" w:type="dxa"/>
            <w:tcBorders>
              <w:top w:val="single" w:color="auto" w:sz="4" w:space="0"/>
              <w:left w:val="single" w:color="auto" w:sz="4" w:space="0"/>
              <w:bottom w:val="single" w:color="auto" w:sz="4" w:space="0"/>
              <w:right w:val="single" w:color="auto" w:sz="4" w:space="0"/>
            </w:tcBorders>
            <w:vAlign w:val="center"/>
          </w:tcPr>
          <w:p w14:paraId="528CD4B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Включено в MVP</w:t>
            </w:r>
          </w:p>
        </w:tc>
        <w:tc>
          <w:tcPr>
            <w:tcW w:w="3402" w:type="dxa"/>
            <w:tcBorders>
              <w:top w:val="single" w:color="auto" w:sz="4" w:space="0"/>
              <w:left w:val="single" w:color="auto" w:sz="4" w:space="0"/>
              <w:bottom w:val="single" w:color="auto" w:sz="4" w:space="0"/>
              <w:right w:val="single" w:color="auto" w:sz="4" w:space="0"/>
            </w:tcBorders>
            <w:vAlign w:val="center"/>
          </w:tcPr>
          <w:p w14:paraId="7FC975B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Перенесено в последующие вехи</w:t>
            </w:r>
          </w:p>
        </w:tc>
      </w:tr>
      <w:tr w14:paraId="03E207D8">
        <w:tc>
          <w:tcPr>
            <w:tcW w:w="2551" w:type="dxa"/>
            <w:tcBorders>
              <w:top w:val="single" w:color="auto" w:sz="4" w:space="0"/>
              <w:left w:val="single" w:color="auto" w:sz="4" w:space="0"/>
              <w:bottom w:val="single" w:color="auto" w:sz="4" w:space="0"/>
              <w:right w:val="single" w:color="auto" w:sz="4" w:space="0"/>
            </w:tcBorders>
            <w:vAlign w:val="center"/>
          </w:tcPr>
          <w:p w14:paraId="3D2DF00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Запись на приём</w:t>
            </w:r>
          </w:p>
        </w:tc>
        <w:tc>
          <w:tcPr>
            <w:tcW w:w="3402" w:type="dxa"/>
            <w:tcBorders>
              <w:top w:val="single" w:color="auto" w:sz="4" w:space="0"/>
              <w:left w:val="single" w:color="auto" w:sz="4" w:space="0"/>
              <w:bottom w:val="single" w:color="auto" w:sz="4" w:space="0"/>
              <w:right w:val="single" w:color="auto" w:sz="4" w:space="0"/>
            </w:tcBorders>
            <w:vAlign w:val="center"/>
          </w:tcPr>
          <w:p w14:paraId="265E048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Выбор услуги, клиники, врача, слота; подтверждение</w:t>
            </w:r>
          </w:p>
        </w:tc>
        <w:tc>
          <w:tcPr>
            <w:tcW w:w="3402" w:type="dxa"/>
            <w:tcBorders>
              <w:top w:val="single" w:color="auto" w:sz="4" w:space="0"/>
              <w:left w:val="single" w:color="auto" w:sz="4" w:space="0"/>
              <w:bottom w:val="single" w:color="auto" w:sz="4" w:space="0"/>
              <w:right w:val="single" w:color="auto" w:sz="4" w:space="0"/>
            </w:tcBorders>
            <w:vAlign w:val="center"/>
          </w:tcPr>
          <w:p w14:paraId="7FE15E0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w:t>
            </w:r>
          </w:p>
        </w:tc>
      </w:tr>
      <w:tr w14:paraId="2C1E8342">
        <w:tc>
          <w:tcPr>
            <w:tcW w:w="2551" w:type="dxa"/>
            <w:tcBorders>
              <w:top w:val="single" w:color="auto" w:sz="4" w:space="0"/>
              <w:left w:val="single" w:color="auto" w:sz="4" w:space="0"/>
              <w:bottom w:val="single" w:color="auto" w:sz="4" w:space="0"/>
              <w:right w:val="single" w:color="auto" w:sz="4" w:space="0"/>
            </w:tcBorders>
            <w:vAlign w:val="center"/>
          </w:tcPr>
          <w:p w14:paraId="1153AB5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Напоминания</w:t>
            </w:r>
          </w:p>
        </w:tc>
        <w:tc>
          <w:tcPr>
            <w:tcW w:w="3402" w:type="dxa"/>
            <w:tcBorders>
              <w:top w:val="single" w:color="auto" w:sz="4" w:space="0"/>
              <w:left w:val="single" w:color="auto" w:sz="4" w:space="0"/>
              <w:bottom w:val="single" w:color="auto" w:sz="4" w:space="0"/>
              <w:right w:val="single" w:color="auto" w:sz="4" w:space="0"/>
            </w:tcBorders>
            <w:vAlign w:val="center"/>
          </w:tcPr>
          <w:p w14:paraId="51E0A8C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 xml:space="preserve"> и </w:t>
            </w:r>
            <w:r>
              <w:rPr>
                <w:rFonts w:ascii="Times New Roman" w:hAnsi="Times New Roman" w:eastAsia="Times New Roman" w:cs="Times New Roman"/>
                <w:color w:val="000000"/>
                <w:kern w:val="0"/>
                <w:sz w:val="24"/>
                <w:szCs w:val="24"/>
                <w:lang w:val="en-US" w:eastAsia="ru-RU"/>
                <w14:ligatures w14:val="none"/>
              </w:rPr>
              <w:t>push</w:t>
            </w:r>
            <w:r>
              <w:rPr>
                <w:rFonts w:ascii="Times New Roman" w:hAnsi="Times New Roman" w:eastAsia="Times New Roman" w:cs="Times New Roman"/>
                <w:color w:val="000000"/>
                <w:kern w:val="0"/>
                <w:sz w:val="24"/>
                <w:szCs w:val="24"/>
                <w:lang w:eastAsia="ru-RU"/>
                <w14:ligatures w14:val="none"/>
              </w:rPr>
              <w:t xml:space="preserve"> за 24 и 2 часа до визита</w:t>
            </w:r>
          </w:p>
        </w:tc>
        <w:tc>
          <w:tcPr>
            <w:tcW w:w="3402" w:type="dxa"/>
            <w:tcBorders>
              <w:top w:val="single" w:color="auto" w:sz="4" w:space="0"/>
              <w:left w:val="single" w:color="auto" w:sz="4" w:space="0"/>
              <w:bottom w:val="single" w:color="auto" w:sz="4" w:space="0"/>
              <w:right w:val="single" w:color="auto" w:sz="4" w:space="0"/>
            </w:tcBorders>
            <w:vAlign w:val="center"/>
          </w:tcPr>
          <w:p w14:paraId="32B6DBE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Умное планирование серий напоминаний</w:t>
            </w:r>
          </w:p>
        </w:tc>
      </w:tr>
      <w:tr w14:paraId="19FC6C7F">
        <w:tc>
          <w:tcPr>
            <w:tcW w:w="2551" w:type="dxa"/>
            <w:tcBorders>
              <w:top w:val="single" w:color="auto" w:sz="4" w:space="0"/>
              <w:left w:val="single" w:color="auto" w:sz="4" w:space="0"/>
              <w:bottom w:val="single" w:color="auto" w:sz="4" w:space="0"/>
              <w:right w:val="single" w:color="auto" w:sz="4" w:space="0"/>
            </w:tcBorders>
            <w:vAlign w:val="center"/>
          </w:tcPr>
          <w:p w14:paraId="299E551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Профиль</w:t>
            </w:r>
          </w:p>
        </w:tc>
        <w:tc>
          <w:tcPr>
            <w:tcW w:w="3402" w:type="dxa"/>
            <w:tcBorders>
              <w:top w:val="single" w:color="auto" w:sz="4" w:space="0"/>
              <w:left w:val="single" w:color="auto" w:sz="4" w:space="0"/>
              <w:bottom w:val="single" w:color="auto" w:sz="4" w:space="0"/>
              <w:right w:val="single" w:color="auto" w:sz="4" w:space="0"/>
            </w:tcBorders>
            <w:vAlign w:val="center"/>
          </w:tcPr>
          <w:p w14:paraId="3A34271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Личные данные, профиль ребёнка, история визитов, гарантии</w:t>
            </w:r>
          </w:p>
        </w:tc>
        <w:tc>
          <w:tcPr>
            <w:tcW w:w="3402" w:type="dxa"/>
            <w:tcBorders>
              <w:top w:val="single" w:color="auto" w:sz="4" w:space="0"/>
              <w:left w:val="single" w:color="auto" w:sz="4" w:space="0"/>
              <w:bottom w:val="single" w:color="auto" w:sz="4" w:space="0"/>
              <w:right w:val="single" w:color="auto" w:sz="4" w:space="0"/>
            </w:tcBorders>
            <w:vAlign w:val="center"/>
          </w:tcPr>
          <w:p w14:paraId="7DCC198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План лечения, карта зубов </w:t>
            </w:r>
            <w:r>
              <w:rPr>
                <w:rFonts w:ascii="Times New Roman" w:hAnsi="Times New Roman" w:eastAsia="Times New Roman" w:cs="Times New Roman"/>
                <w:color w:val="000000"/>
                <w:kern w:val="0"/>
                <w:sz w:val="24"/>
                <w:szCs w:val="24"/>
                <w:lang w:val="en-US" w:eastAsia="ru-RU"/>
                <w14:ligatures w14:val="none"/>
              </w:rPr>
              <w:t>FDI</w:t>
            </w:r>
          </w:p>
        </w:tc>
      </w:tr>
      <w:tr w14:paraId="2DD8553F">
        <w:tc>
          <w:tcPr>
            <w:tcW w:w="2551" w:type="dxa"/>
            <w:tcBorders>
              <w:top w:val="single" w:color="auto" w:sz="4" w:space="0"/>
              <w:left w:val="single" w:color="auto" w:sz="4" w:space="0"/>
              <w:bottom w:val="single" w:color="auto" w:sz="4" w:space="0"/>
              <w:right w:val="single" w:color="auto" w:sz="4" w:space="0"/>
            </w:tcBorders>
            <w:vAlign w:val="center"/>
          </w:tcPr>
          <w:p w14:paraId="03DB01C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Документы и вычет</w:t>
            </w:r>
          </w:p>
        </w:tc>
        <w:tc>
          <w:tcPr>
            <w:tcW w:w="3402" w:type="dxa"/>
            <w:tcBorders>
              <w:top w:val="single" w:color="auto" w:sz="4" w:space="0"/>
              <w:left w:val="single" w:color="auto" w:sz="4" w:space="0"/>
              <w:bottom w:val="single" w:color="auto" w:sz="4" w:space="0"/>
              <w:right w:val="single" w:color="auto" w:sz="4" w:space="0"/>
            </w:tcBorders>
            <w:vAlign w:val="center"/>
          </w:tcPr>
          <w:p w14:paraId="03E1021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Заявка на справку по ст. 219 НК РФ, выдача через ЭДО</w:t>
            </w:r>
          </w:p>
        </w:tc>
        <w:tc>
          <w:tcPr>
            <w:tcW w:w="3402" w:type="dxa"/>
            <w:tcBorders>
              <w:top w:val="single" w:color="auto" w:sz="4" w:space="0"/>
              <w:left w:val="single" w:color="auto" w:sz="4" w:space="0"/>
              <w:bottom w:val="single" w:color="auto" w:sz="4" w:space="0"/>
              <w:right w:val="single" w:color="auto" w:sz="4" w:space="0"/>
            </w:tcBorders>
            <w:vAlign w:val="center"/>
          </w:tcPr>
          <w:p w14:paraId="6A1B214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Автоматический сбор чеков за период</w:t>
            </w:r>
          </w:p>
        </w:tc>
      </w:tr>
      <w:tr w14:paraId="1123CDD4">
        <w:tc>
          <w:tcPr>
            <w:tcW w:w="2551" w:type="dxa"/>
            <w:tcBorders>
              <w:top w:val="single" w:color="auto" w:sz="4" w:space="0"/>
              <w:left w:val="single" w:color="auto" w:sz="4" w:space="0"/>
              <w:bottom w:val="single" w:color="auto" w:sz="4" w:space="0"/>
              <w:right w:val="single" w:color="auto" w:sz="4" w:space="0"/>
            </w:tcBorders>
            <w:vAlign w:val="center"/>
          </w:tcPr>
          <w:p w14:paraId="5F4B0B0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Оплата</w:t>
            </w:r>
          </w:p>
        </w:tc>
        <w:tc>
          <w:tcPr>
            <w:tcW w:w="3402" w:type="dxa"/>
            <w:tcBorders>
              <w:top w:val="single" w:color="auto" w:sz="4" w:space="0"/>
              <w:left w:val="single" w:color="auto" w:sz="4" w:space="0"/>
              <w:bottom w:val="single" w:color="auto" w:sz="4" w:space="0"/>
              <w:right w:val="single" w:color="auto" w:sz="4" w:space="0"/>
            </w:tcBorders>
            <w:vAlign w:val="center"/>
          </w:tcPr>
          <w:p w14:paraId="5CF408A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Редирект на Ю</w:t>
            </w:r>
            <w:r>
              <w:rPr>
                <w:rFonts w:ascii="Times New Roman" w:hAnsi="Times New Roman" w:eastAsia="Times New Roman" w:cs="Times New Roman"/>
                <w:color w:val="000000"/>
                <w:kern w:val="0"/>
                <w:sz w:val="24"/>
                <w:szCs w:val="24"/>
                <w:lang w:val="en-US" w:eastAsia="ru-RU"/>
                <w14:ligatures w14:val="none"/>
              </w:rPr>
              <w:t>Kassa</w:t>
            </w:r>
            <w:r>
              <w:rPr>
                <w:rFonts w:ascii="Times New Roman" w:hAnsi="Times New Roman" w:eastAsia="Times New Roman" w:cs="Times New Roman"/>
                <w:color w:val="000000"/>
                <w:kern w:val="0"/>
                <w:sz w:val="24"/>
                <w:szCs w:val="24"/>
                <w:lang w:eastAsia="ru-RU"/>
                <w14:ligatures w14:val="none"/>
              </w:rPr>
              <w:t xml:space="preserve"> и СБП</w:t>
            </w:r>
          </w:p>
        </w:tc>
        <w:tc>
          <w:tcPr>
            <w:tcW w:w="3402" w:type="dxa"/>
            <w:tcBorders>
              <w:top w:val="single" w:color="auto" w:sz="4" w:space="0"/>
              <w:left w:val="single" w:color="auto" w:sz="4" w:space="0"/>
              <w:bottom w:val="single" w:color="auto" w:sz="4" w:space="0"/>
              <w:right w:val="single" w:color="auto" w:sz="4" w:space="0"/>
            </w:tcBorders>
            <w:vAlign w:val="center"/>
          </w:tcPr>
          <w:p w14:paraId="18FBDB9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Внутренний кошелёк, рассрочка</w:t>
            </w:r>
          </w:p>
        </w:tc>
      </w:tr>
      <w:tr w14:paraId="2DE6A744">
        <w:tc>
          <w:tcPr>
            <w:tcW w:w="2551" w:type="dxa"/>
            <w:tcBorders>
              <w:top w:val="single" w:color="auto" w:sz="4" w:space="0"/>
              <w:left w:val="single" w:color="auto" w:sz="4" w:space="0"/>
              <w:bottom w:val="single" w:color="auto" w:sz="4" w:space="0"/>
              <w:right w:val="single" w:color="auto" w:sz="4" w:space="0"/>
            </w:tcBorders>
            <w:vAlign w:val="center"/>
          </w:tcPr>
          <w:p w14:paraId="259C0AA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Коммуникация с клиникой</w:t>
            </w:r>
          </w:p>
        </w:tc>
        <w:tc>
          <w:tcPr>
            <w:tcW w:w="3402" w:type="dxa"/>
            <w:tcBorders>
              <w:top w:val="single" w:color="auto" w:sz="4" w:space="0"/>
              <w:left w:val="single" w:color="auto" w:sz="4" w:space="0"/>
              <w:bottom w:val="single" w:color="auto" w:sz="4" w:space="0"/>
              <w:right w:val="single" w:color="auto" w:sz="4" w:space="0"/>
            </w:tcBorders>
            <w:vAlign w:val="center"/>
          </w:tcPr>
          <w:p w14:paraId="6E5214F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Уведомления о статусе записи</w:t>
            </w:r>
          </w:p>
        </w:tc>
        <w:tc>
          <w:tcPr>
            <w:tcW w:w="3402" w:type="dxa"/>
            <w:tcBorders>
              <w:top w:val="single" w:color="auto" w:sz="4" w:space="0"/>
              <w:left w:val="single" w:color="auto" w:sz="4" w:space="0"/>
              <w:bottom w:val="single" w:color="auto" w:sz="4" w:space="0"/>
              <w:right w:val="single" w:color="auto" w:sz="4" w:space="0"/>
            </w:tcBorders>
            <w:vAlign w:val="center"/>
          </w:tcPr>
          <w:p w14:paraId="5DFC2A1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Онлайн-чат, телемедицинский звонок</w:t>
            </w:r>
          </w:p>
        </w:tc>
      </w:tr>
      <w:tr w14:paraId="0774AC47">
        <w:tc>
          <w:tcPr>
            <w:tcW w:w="2551" w:type="dxa"/>
            <w:tcBorders>
              <w:top w:val="single" w:color="auto" w:sz="4" w:space="0"/>
              <w:left w:val="single" w:color="auto" w:sz="4" w:space="0"/>
              <w:bottom w:val="single" w:color="auto" w:sz="4" w:space="0"/>
              <w:right w:val="single" w:color="auto" w:sz="4" w:space="0"/>
            </w:tcBorders>
            <w:vAlign w:val="center"/>
          </w:tcPr>
          <w:p w14:paraId="04ABB46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Административный контур</w:t>
            </w:r>
          </w:p>
        </w:tc>
        <w:tc>
          <w:tcPr>
            <w:tcW w:w="3402" w:type="dxa"/>
            <w:tcBorders>
              <w:top w:val="single" w:color="auto" w:sz="4" w:space="0"/>
              <w:left w:val="single" w:color="auto" w:sz="4" w:space="0"/>
              <w:bottom w:val="single" w:color="auto" w:sz="4" w:space="0"/>
              <w:right w:val="single" w:color="auto" w:sz="4" w:space="0"/>
            </w:tcBorders>
            <w:vAlign w:val="center"/>
          </w:tcPr>
          <w:p w14:paraId="4A35491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Просмотр записей сотрудником клиники</w:t>
            </w:r>
          </w:p>
        </w:tc>
        <w:tc>
          <w:tcPr>
            <w:tcW w:w="3402" w:type="dxa"/>
            <w:tcBorders>
              <w:top w:val="single" w:color="auto" w:sz="4" w:space="0"/>
              <w:left w:val="single" w:color="auto" w:sz="4" w:space="0"/>
              <w:bottom w:val="single" w:color="auto" w:sz="4" w:space="0"/>
              <w:right w:val="single" w:color="auto" w:sz="4" w:space="0"/>
            </w:tcBorders>
            <w:vAlign w:val="center"/>
          </w:tcPr>
          <w:p w14:paraId="794281A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Полный админ-кабинет с аналитикой</w:t>
            </w:r>
          </w:p>
        </w:tc>
      </w:tr>
    </w:tbl>
    <w:p w14:paraId="2201D3B8">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Концепт отвечает на три проблемы пациента и сети: ожидание телефонной записи, хранение документов в бумажном виде и трудоёмкое оформление налогового вычета. Состав </w:t>
      </w:r>
      <w:r>
        <w:rPr>
          <w:rFonts w:ascii="Times New Roman" w:hAnsi="Times New Roman" w:eastAsia="Times New Roman" w:cs="Times New Roman"/>
          <w:bCs/>
          <w:color w:val="000000"/>
          <w:kern w:val="0"/>
          <w:sz w:val="28"/>
          <w:szCs w:val="22"/>
          <w:lang w:val="en-US"/>
          <w14:ligatures w14:val="none"/>
        </w:rPr>
        <w:t>MVP</w:t>
      </w:r>
      <w:r>
        <w:rPr>
          <w:rFonts w:ascii="Times New Roman" w:hAnsi="Times New Roman" w:eastAsia="Times New Roman" w:cs="Times New Roman"/>
          <w:bCs/>
          <w:color w:val="000000"/>
          <w:kern w:val="0"/>
          <w:sz w:val="28"/>
          <w:szCs w:val="22"/>
          <w14:ligatures w14:val="none"/>
        </w:rPr>
        <w:t xml:space="preserve"> ограничен объёмом, пригодным для пилотного запуска в одной клинике.</w:t>
      </w:r>
    </w:p>
    <w:p w14:paraId="715EDA64">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Требования к продукту построены по структуре технического задания ГОСТ 34.602-89 [2] и модели качества программного обеспечения </w:t>
      </w:r>
      <w:r>
        <w:rPr>
          <w:rFonts w:ascii="Times New Roman" w:hAnsi="Times New Roman" w:eastAsia="Times New Roman" w:cs="Times New Roman"/>
          <w:color w:val="000000"/>
          <w:kern w:val="0"/>
          <w:sz w:val="28"/>
          <w:szCs w:val="22"/>
          <w:lang w:val="en-US"/>
          <w14:ligatures w14:val="none"/>
        </w:rPr>
        <w:t>ISO</w:t>
      </w:r>
      <w:r>
        <w:rPr>
          <w:rFonts w:ascii="Times New Roman" w:hAnsi="Times New Roman" w:eastAsia="Times New Roman" w:cs="Times New Roman"/>
          <w:color w:val="000000"/>
          <w:kern w:val="0"/>
          <w:sz w:val="28"/>
          <w:szCs w:val="22"/>
          <w14:ligatures w14:val="none"/>
        </w:rPr>
        <w:t>/</w:t>
      </w:r>
      <w:r>
        <w:rPr>
          <w:rFonts w:ascii="Times New Roman" w:hAnsi="Times New Roman" w:eastAsia="Times New Roman" w:cs="Times New Roman"/>
          <w:color w:val="000000"/>
          <w:kern w:val="0"/>
          <w:sz w:val="28"/>
          <w:szCs w:val="22"/>
          <w:lang w:val="en-US"/>
          <w14:ligatures w14:val="none"/>
        </w:rPr>
        <w:t>IEC</w:t>
      </w:r>
      <w:r>
        <w:rPr>
          <w:rFonts w:ascii="Times New Roman" w:hAnsi="Times New Roman" w:eastAsia="Times New Roman" w:cs="Times New Roman"/>
          <w:color w:val="000000"/>
          <w:kern w:val="0"/>
          <w:sz w:val="28"/>
          <w:szCs w:val="22"/>
          <w14:ligatures w14:val="none"/>
        </w:rPr>
        <w:t xml:space="preserve"> 25010:2011 [3]. Функциональные требования (далее – </w:t>
      </w:r>
      <w:r>
        <w:rPr>
          <w:rFonts w:ascii="Times New Roman" w:hAnsi="Times New Roman" w:eastAsia="Times New Roman" w:cs="Times New Roman"/>
          <w:color w:val="000000"/>
          <w:kern w:val="0"/>
          <w:sz w:val="28"/>
          <w:szCs w:val="22"/>
          <w:lang w:val="en-US"/>
          <w14:ligatures w14:val="none"/>
        </w:rPr>
        <w:t>FR</w:t>
      </w:r>
      <w:r>
        <w:rPr>
          <w:rFonts w:ascii="Times New Roman" w:hAnsi="Times New Roman" w:eastAsia="Times New Roman" w:cs="Times New Roman"/>
          <w:color w:val="000000"/>
          <w:kern w:val="0"/>
          <w:sz w:val="28"/>
          <w:szCs w:val="22"/>
          <w14:ligatures w14:val="none"/>
        </w:rPr>
        <w:t xml:space="preserve">) описывают поведение системы с точки зрения пациента и администратора клиники. Нефункциональные требования (далее – </w:t>
      </w:r>
      <w:r>
        <w:rPr>
          <w:rFonts w:ascii="Times New Roman" w:hAnsi="Times New Roman" w:eastAsia="Times New Roman" w:cs="Times New Roman"/>
          <w:color w:val="000000"/>
          <w:kern w:val="0"/>
          <w:sz w:val="28"/>
          <w:szCs w:val="22"/>
          <w:lang w:val="en-US"/>
          <w14:ligatures w14:val="none"/>
        </w:rPr>
        <w:t>NFR</w:t>
      </w:r>
      <w:r>
        <w:rPr>
          <w:rFonts w:ascii="Times New Roman" w:hAnsi="Times New Roman" w:eastAsia="Times New Roman" w:cs="Times New Roman"/>
          <w:color w:val="000000"/>
          <w:kern w:val="0"/>
          <w:sz w:val="28"/>
          <w:szCs w:val="22"/>
          <w14:ligatures w14:val="none"/>
        </w:rPr>
        <w:t>) касаются производительности, безопасности, доступности и совместимости.</w:t>
      </w:r>
    </w:p>
    <w:p w14:paraId="5EED252A">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Доступность для пользователей с ограничениями жизнедеятельности закреплена требованиями ГОСТ Р 52872-2019 [4]: достаточный уровень контраста и возможность увеличения шрифта. Эти формулировки использованы и при разработке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 и при приёмке результатов каждой итерации.</w:t>
      </w:r>
    </w:p>
    <w:p w14:paraId="4AB79965">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21 — Функциональные требования к MVP</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8107"/>
      </w:tblGrid>
      <w:tr w14:paraId="2CBF7B03">
        <w:tc>
          <w:tcPr>
            <w:tcW w:w="1247" w:type="dxa"/>
            <w:tcBorders>
              <w:top w:val="single" w:color="auto" w:sz="4" w:space="0"/>
              <w:left w:val="single" w:color="auto" w:sz="4" w:space="0"/>
              <w:bottom w:val="single" w:color="auto" w:sz="4" w:space="0"/>
              <w:right w:val="single" w:color="auto" w:sz="4" w:space="0"/>
            </w:tcBorders>
            <w:vAlign w:val="center"/>
          </w:tcPr>
          <w:p w14:paraId="0084891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Код</w:t>
            </w:r>
          </w:p>
        </w:tc>
        <w:tc>
          <w:tcPr>
            <w:tcW w:w="8107" w:type="dxa"/>
            <w:tcBorders>
              <w:top w:val="single" w:color="auto" w:sz="4" w:space="0"/>
              <w:left w:val="single" w:color="auto" w:sz="4" w:space="0"/>
              <w:bottom w:val="single" w:color="auto" w:sz="4" w:space="0"/>
              <w:right w:val="single" w:color="auto" w:sz="4" w:space="0"/>
            </w:tcBorders>
            <w:vAlign w:val="center"/>
          </w:tcPr>
          <w:p w14:paraId="778B0EB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Формулировка требования</w:t>
            </w:r>
          </w:p>
        </w:tc>
      </w:tr>
      <w:tr w14:paraId="069EBAA6">
        <w:tc>
          <w:tcPr>
            <w:tcW w:w="1247" w:type="dxa"/>
            <w:tcBorders>
              <w:top w:val="single" w:color="auto" w:sz="4" w:space="0"/>
              <w:left w:val="single" w:color="auto" w:sz="4" w:space="0"/>
              <w:bottom w:val="single" w:color="auto" w:sz="4" w:space="0"/>
              <w:right w:val="single" w:color="auto" w:sz="4" w:space="0"/>
            </w:tcBorders>
            <w:vAlign w:val="center"/>
          </w:tcPr>
          <w:p w14:paraId="48DEF7E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FR-01</w:t>
            </w:r>
          </w:p>
        </w:tc>
        <w:tc>
          <w:tcPr>
            <w:tcW w:w="8107" w:type="dxa"/>
            <w:tcBorders>
              <w:top w:val="single" w:color="auto" w:sz="4" w:space="0"/>
              <w:left w:val="single" w:color="auto" w:sz="4" w:space="0"/>
              <w:bottom w:val="single" w:color="auto" w:sz="4" w:space="0"/>
              <w:right w:val="single" w:color="auto" w:sz="4" w:space="0"/>
            </w:tcBorders>
            <w:vAlign w:val="center"/>
          </w:tcPr>
          <w:p w14:paraId="2CD8721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позволять пациенту записаться на приём, выбрав услугу, клинику, врача, дату и время.</w:t>
            </w:r>
          </w:p>
        </w:tc>
      </w:tr>
      <w:tr w14:paraId="78FFDB64">
        <w:tc>
          <w:tcPr>
            <w:tcW w:w="1247" w:type="dxa"/>
            <w:tcBorders>
              <w:top w:val="single" w:color="auto" w:sz="4" w:space="0"/>
              <w:left w:val="single" w:color="auto" w:sz="4" w:space="0"/>
              <w:bottom w:val="single" w:color="auto" w:sz="4" w:space="0"/>
              <w:right w:val="single" w:color="auto" w:sz="4" w:space="0"/>
            </w:tcBorders>
            <w:vAlign w:val="center"/>
          </w:tcPr>
          <w:p w14:paraId="126B2C4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FR-02</w:t>
            </w:r>
          </w:p>
        </w:tc>
        <w:tc>
          <w:tcPr>
            <w:tcW w:w="8107" w:type="dxa"/>
            <w:tcBorders>
              <w:top w:val="single" w:color="auto" w:sz="4" w:space="0"/>
              <w:left w:val="single" w:color="auto" w:sz="4" w:space="0"/>
              <w:bottom w:val="single" w:color="auto" w:sz="4" w:space="0"/>
              <w:right w:val="single" w:color="auto" w:sz="4" w:space="0"/>
            </w:tcBorders>
            <w:vAlign w:val="center"/>
          </w:tcPr>
          <w:p w14:paraId="348F501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Система должна отправлять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 xml:space="preserve">- и </w:t>
            </w:r>
            <w:r>
              <w:rPr>
                <w:rFonts w:ascii="Times New Roman" w:hAnsi="Times New Roman" w:eastAsia="Times New Roman" w:cs="Times New Roman"/>
                <w:color w:val="000000"/>
                <w:kern w:val="0"/>
                <w:sz w:val="24"/>
                <w:szCs w:val="24"/>
                <w:lang w:val="en-US" w:eastAsia="ru-RU"/>
                <w14:ligatures w14:val="none"/>
              </w:rPr>
              <w:t>push</w:t>
            </w:r>
            <w:r>
              <w:rPr>
                <w:rFonts w:ascii="Times New Roman" w:hAnsi="Times New Roman" w:eastAsia="Times New Roman" w:cs="Times New Roman"/>
                <w:color w:val="000000"/>
                <w:kern w:val="0"/>
                <w:sz w:val="24"/>
                <w:szCs w:val="24"/>
                <w:lang w:eastAsia="ru-RU"/>
                <w14:ligatures w14:val="none"/>
              </w:rPr>
              <w:t>-напоминания за 24 часа и за 2 часа до визита.</w:t>
            </w:r>
          </w:p>
        </w:tc>
      </w:tr>
      <w:tr w14:paraId="2B006BE5">
        <w:tc>
          <w:tcPr>
            <w:tcW w:w="1247" w:type="dxa"/>
            <w:tcBorders>
              <w:top w:val="single" w:color="auto" w:sz="4" w:space="0"/>
              <w:left w:val="single" w:color="auto" w:sz="4" w:space="0"/>
              <w:bottom w:val="single" w:color="auto" w:sz="4" w:space="0"/>
              <w:right w:val="single" w:color="auto" w:sz="4" w:space="0"/>
            </w:tcBorders>
            <w:vAlign w:val="center"/>
          </w:tcPr>
          <w:p w14:paraId="0A907A2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FR-03</w:t>
            </w:r>
          </w:p>
        </w:tc>
        <w:tc>
          <w:tcPr>
            <w:tcW w:w="8107" w:type="dxa"/>
            <w:tcBorders>
              <w:top w:val="single" w:color="auto" w:sz="4" w:space="0"/>
              <w:left w:val="single" w:color="auto" w:sz="4" w:space="0"/>
              <w:bottom w:val="single" w:color="auto" w:sz="4" w:space="0"/>
              <w:right w:val="single" w:color="auto" w:sz="4" w:space="0"/>
            </w:tcBorders>
            <w:vAlign w:val="center"/>
          </w:tcPr>
          <w:p w14:paraId="63AAD02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отображать единый профиль пациента во всех филиалах сети.</w:t>
            </w:r>
          </w:p>
        </w:tc>
      </w:tr>
      <w:tr w14:paraId="140936FD">
        <w:tc>
          <w:tcPr>
            <w:tcW w:w="1247" w:type="dxa"/>
            <w:tcBorders>
              <w:top w:val="single" w:color="auto" w:sz="4" w:space="0"/>
              <w:left w:val="single" w:color="auto" w:sz="4" w:space="0"/>
              <w:bottom w:val="single" w:color="auto" w:sz="4" w:space="0"/>
              <w:right w:val="single" w:color="auto" w:sz="4" w:space="0"/>
            </w:tcBorders>
            <w:vAlign w:val="center"/>
          </w:tcPr>
          <w:p w14:paraId="4A37F01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FR-04</w:t>
            </w:r>
          </w:p>
        </w:tc>
        <w:tc>
          <w:tcPr>
            <w:tcW w:w="8107" w:type="dxa"/>
            <w:tcBorders>
              <w:top w:val="single" w:color="auto" w:sz="4" w:space="0"/>
              <w:left w:val="single" w:color="auto" w:sz="4" w:space="0"/>
              <w:bottom w:val="single" w:color="auto" w:sz="4" w:space="0"/>
              <w:right w:val="single" w:color="auto" w:sz="4" w:space="0"/>
            </w:tcBorders>
            <w:vAlign w:val="center"/>
          </w:tcPr>
          <w:p w14:paraId="5F03135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сохранять историю визитов с привязкой к врачу и клинике.</w:t>
            </w:r>
          </w:p>
        </w:tc>
      </w:tr>
      <w:tr w14:paraId="39D4B0C8">
        <w:tc>
          <w:tcPr>
            <w:tcW w:w="1247" w:type="dxa"/>
            <w:tcBorders>
              <w:top w:val="single" w:color="auto" w:sz="4" w:space="0"/>
              <w:left w:val="single" w:color="auto" w:sz="4" w:space="0"/>
              <w:bottom w:val="single" w:color="auto" w:sz="4" w:space="0"/>
              <w:right w:val="single" w:color="auto" w:sz="4" w:space="0"/>
            </w:tcBorders>
            <w:vAlign w:val="center"/>
          </w:tcPr>
          <w:p w14:paraId="408F479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FR-05</w:t>
            </w:r>
          </w:p>
        </w:tc>
        <w:tc>
          <w:tcPr>
            <w:tcW w:w="8107" w:type="dxa"/>
            <w:tcBorders>
              <w:top w:val="single" w:color="auto" w:sz="4" w:space="0"/>
              <w:left w:val="single" w:color="auto" w:sz="4" w:space="0"/>
              <w:bottom w:val="single" w:color="auto" w:sz="4" w:space="0"/>
              <w:right w:val="single" w:color="auto" w:sz="4" w:space="0"/>
            </w:tcBorders>
            <w:vAlign w:val="center"/>
          </w:tcPr>
          <w:p w14:paraId="53BAA18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позволять оформить заявку на справку для социального налогового вычета.</w:t>
            </w:r>
          </w:p>
        </w:tc>
      </w:tr>
      <w:tr w14:paraId="6AF93D68">
        <w:tc>
          <w:tcPr>
            <w:tcW w:w="1247" w:type="dxa"/>
            <w:tcBorders>
              <w:top w:val="single" w:color="auto" w:sz="4" w:space="0"/>
              <w:left w:val="single" w:color="auto" w:sz="4" w:space="0"/>
              <w:bottom w:val="single" w:color="auto" w:sz="4" w:space="0"/>
              <w:right w:val="single" w:color="auto" w:sz="4" w:space="0"/>
            </w:tcBorders>
            <w:vAlign w:val="center"/>
          </w:tcPr>
          <w:p w14:paraId="2F8ECD9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FR-06</w:t>
            </w:r>
          </w:p>
        </w:tc>
        <w:tc>
          <w:tcPr>
            <w:tcW w:w="8107" w:type="dxa"/>
            <w:tcBorders>
              <w:top w:val="single" w:color="auto" w:sz="4" w:space="0"/>
              <w:left w:val="single" w:color="auto" w:sz="4" w:space="0"/>
              <w:bottom w:val="single" w:color="auto" w:sz="4" w:space="0"/>
              <w:right w:val="single" w:color="auto" w:sz="4" w:space="0"/>
            </w:tcBorders>
            <w:vAlign w:val="center"/>
          </w:tcPr>
          <w:p w14:paraId="1471C0A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поддерживать оплату визита через Ю</w:t>
            </w:r>
            <w:r>
              <w:rPr>
                <w:rFonts w:ascii="Times New Roman" w:hAnsi="Times New Roman" w:eastAsia="Times New Roman" w:cs="Times New Roman"/>
                <w:color w:val="000000"/>
                <w:kern w:val="0"/>
                <w:sz w:val="24"/>
                <w:szCs w:val="24"/>
                <w:lang w:val="en-US" w:eastAsia="ru-RU"/>
                <w14:ligatures w14:val="none"/>
              </w:rPr>
              <w:t>Kassa</w:t>
            </w:r>
            <w:r>
              <w:rPr>
                <w:rFonts w:ascii="Times New Roman" w:hAnsi="Times New Roman" w:eastAsia="Times New Roman" w:cs="Times New Roman"/>
                <w:color w:val="000000"/>
                <w:kern w:val="0"/>
                <w:sz w:val="24"/>
                <w:szCs w:val="24"/>
                <w:lang w:eastAsia="ru-RU"/>
                <w14:ligatures w14:val="none"/>
              </w:rPr>
              <w:t xml:space="preserve"> и Систему быстрых платежей.</w:t>
            </w:r>
          </w:p>
        </w:tc>
      </w:tr>
      <w:tr w14:paraId="07CBF6D0">
        <w:tc>
          <w:tcPr>
            <w:tcW w:w="1247" w:type="dxa"/>
            <w:tcBorders>
              <w:top w:val="single" w:color="auto" w:sz="4" w:space="0"/>
              <w:left w:val="single" w:color="auto" w:sz="4" w:space="0"/>
              <w:bottom w:val="single" w:color="auto" w:sz="4" w:space="0"/>
              <w:right w:val="single" w:color="auto" w:sz="4" w:space="0"/>
            </w:tcBorders>
            <w:vAlign w:val="center"/>
          </w:tcPr>
          <w:p w14:paraId="76B59E1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FR-07</w:t>
            </w:r>
          </w:p>
        </w:tc>
        <w:tc>
          <w:tcPr>
            <w:tcW w:w="8107" w:type="dxa"/>
            <w:tcBorders>
              <w:top w:val="single" w:color="auto" w:sz="4" w:space="0"/>
              <w:left w:val="single" w:color="auto" w:sz="4" w:space="0"/>
              <w:bottom w:val="single" w:color="auto" w:sz="4" w:space="0"/>
              <w:right w:val="single" w:color="auto" w:sz="4" w:space="0"/>
            </w:tcBorders>
            <w:vAlign w:val="center"/>
          </w:tcPr>
          <w:p w14:paraId="307EB3F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обеспечивать поиск клиник, врачей и услуг с фильтрацией по специализации, цене и расписанию.</w:t>
            </w:r>
          </w:p>
        </w:tc>
      </w:tr>
      <w:tr w14:paraId="63166893">
        <w:tc>
          <w:tcPr>
            <w:tcW w:w="1247" w:type="dxa"/>
            <w:tcBorders>
              <w:top w:val="single" w:color="auto" w:sz="4" w:space="0"/>
              <w:left w:val="single" w:color="auto" w:sz="4" w:space="0"/>
              <w:bottom w:val="single" w:color="auto" w:sz="4" w:space="0"/>
              <w:right w:val="single" w:color="auto" w:sz="4" w:space="0"/>
            </w:tcBorders>
            <w:vAlign w:val="center"/>
          </w:tcPr>
          <w:p w14:paraId="36C82D6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FR-08</w:t>
            </w:r>
          </w:p>
        </w:tc>
        <w:tc>
          <w:tcPr>
            <w:tcW w:w="8107" w:type="dxa"/>
            <w:tcBorders>
              <w:top w:val="single" w:color="auto" w:sz="4" w:space="0"/>
              <w:left w:val="single" w:color="auto" w:sz="4" w:space="0"/>
              <w:bottom w:val="single" w:color="auto" w:sz="4" w:space="0"/>
              <w:right w:val="single" w:color="auto" w:sz="4" w:space="0"/>
            </w:tcBorders>
            <w:vAlign w:val="center"/>
          </w:tcPr>
          <w:p w14:paraId="3881B55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отображать сроки гарантии на выполненные работы.</w:t>
            </w:r>
          </w:p>
        </w:tc>
      </w:tr>
      <w:tr w14:paraId="0CDF2FF8">
        <w:tc>
          <w:tcPr>
            <w:tcW w:w="1247" w:type="dxa"/>
            <w:tcBorders>
              <w:top w:val="single" w:color="auto" w:sz="4" w:space="0"/>
              <w:left w:val="single" w:color="auto" w:sz="4" w:space="0"/>
              <w:bottom w:val="single" w:color="auto" w:sz="4" w:space="0"/>
              <w:right w:val="single" w:color="auto" w:sz="4" w:space="0"/>
            </w:tcBorders>
            <w:vAlign w:val="center"/>
          </w:tcPr>
          <w:p w14:paraId="6DB6C26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FR-09</w:t>
            </w:r>
          </w:p>
        </w:tc>
        <w:tc>
          <w:tcPr>
            <w:tcW w:w="8107" w:type="dxa"/>
            <w:tcBorders>
              <w:top w:val="single" w:color="auto" w:sz="4" w:space="0"/>
              <w:left w:val="single" w:color="auto" w:sz="4" w:space="0"/>
              <w:bottom w:val="single" w:color="auto" w:sz="4" w:space="0"/>
              <w:right w:val="single" w:color="auto" w:sz="4" w:space="0"/>
            </w:tcBorders>
            <w:vAlign w:val="center"/>
          </w:tcPr>
          <w:p w14:paraId="174D55B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позволять вести профиль ребёнка в рамках основного аккаунта.</w:t>
            </w:r>
          </w:p>
        </w:tc>
      </w:tr>
      <w:tr w14:paraId="66B49C5F">
        <w:tc>
          <w:tcPr>
            <w:tcW w:w="1247" w:type="dxa"/>
            <w:tcBorders>
              <w:top w:val="single" w:color="auto" w:sz="4" w:space="0"/>
              <w:left w:val="single" w:color="auto" w:sz="4" w:space="0"/>
              <w:bottom w:val="single" w:color="auto" w:sz="4" w:space="0"/>
              <w:right w:val="single" w:color="auto" w:sz="4" w:space="0"/>
            </w:tcBorders>
            <w:vAlign w:val="center"/>
          </w:tcPr>
          <w:p w14:paraId="693FFDA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FR-10</w:t>
            </w:r>
          </w:p>
        </w:tc>
        <w:tc>
          <w:tcPr>
            <w:tcW w:w="8107" w:type="dxa"/>
            <w:tcBorders>
              <w:top w:val="single" w:color="auto" w:sz="4" w:space="0"/>
              <w:left w:val="single" w:color="auto" w:sz="4" w:space="0"/>
              <w:bottom w:val="single" w:color="auto" w:sz="4" w:space="0"/>
              <w:right w:val="single" w:color="auto" w:sz="4" w:space="0"/>
            </w:tcBorders>
            <w:vAlign w:val="center"/>
          </w:tcPr>
          <w:p w14:paraId="56F3EC1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позволять отменить запись не позднее чем за 2 часа до визита.</w:t>
            </w:r>
          </w:p>
        </w:tc>
      </w:tr>
      <w:tr w14:paraId="555CA0CB">
        <w:tc>
          <w:tcPr>
            <w:tcW w:w="1247" w:type="dxa"/>
            <w:tcBorders>
              <w:top w:val="single" w:color="auto" w:sz="4" w:space="0"/>
              <w:left w:val="single" w:color="auto" w:sz="4" w:space="0"/>
              <w:bottom w:val="single" w:color="auto" w:sz="4" w:space="0"/>
              <w:right w:val="single" w:color="auto" w:sz="4" w:space="0"/>
            </w:tcBorders>
            <w:vAlign w:val="center"/>
          </w:tcPr>
          <w:p w14:paraId="39DFD1F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FR-11</w:t>
            </w:r>
          </w:p>
        </w:tc>
        <w:tc>
          <w:tcPr>
            <w:tcW w:w="8107" w:type="dxa"/>
            <w:tcBorders>
              <w:top w:val="single" w:color="auto" w:sz="4" w:space="0"/>
              <w:left w:val="single" w:color="auto" w:sz="4" w:space="0"/>
              <w:bottom w:val="single" w:color="auto" w:sz="4" w:space="0"/>
              <w:right w:val="single" w:color="auto" w:sz="4" w:space="0"/>
            </w:tcBorders>
            <w:vAlign w:val="center"/>
          </w:tcPr>
          <w:p w14:paraId="5A85AD7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Система должна предлагать доступные слоты других врачей аналогичного профиля при отмене.</w:t>
            </w:r>
          </w:p>
        </w:tc>
      </w:tr>
      <w:tr w14:paraId="0A7F56DE">
        <w:tc>
          <w:tcPr>
            <w:tcW w:w="1247" w:type="dxa"/>
            <w:tcBorders>
              <w:top w:val="single" w:color="auto" w:sz="4" w:space="0"/>
              <w:left w:val="single" w:color="auto" w:sz="4" w:space="0"/>
              <w:bottom w:val="single" w:color="auto" w:sz="4" w:space="0"/>
              <w:right w:val="single" w:color="auto" w:sz="4" w:space="0"/>
            </w:tcBorders>
            <w:vAlign w:val="center"/>
          </w:tcPr>
          <w:p w14:paraId="5D91818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FR-12</w:t>
            </w:r>
          </w:p>
        </w:tc>
        <w:tc>
          <w:tcPr>
            <w:tcW w:w="8107" w:type="dxa"/>
            <w:tcBorders>
              <w:top w:val="single" w:color="auto" w:sz="4" w:space="0"/>
              <w:left w:val="single" w:color="auto" w:sz="4" w:space="0"/>
              <w:bottom w:val="single" w:color="auto" w:sz="4" w:space="0"/>
              <w:right w:val="single" w:color="auto" w:sz="4" w:space="0"/>
            </w:tcBorders>
            <w:vAlign w:val="center"/>
          </w:tcPr>
          <w:p w14:paraId="32232CE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Система должна использовать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OTP</w:t>
            </w:r>
            <w:r>
              <w:rPr>
                <w:rFonts w:ascii="Times New Roman" w:hAnsi="Times New Roman" w:eastAsia="Times New Roman" w:cs="Times New Roman"/>
                <w:color w:val="000000"/>
                <w:kern w:val="0"/>
                <w:sz w:val="24"/>
                <w:szCs w:val="24"/>
                <w:lang w:eastAsia="ru-RU"/>
                <w14:ligatures w14:val="none"/>
              </w:rPr>
              <w:t xml:space="preserve"> для первичной аутентификации пациента.</w:t>
            </w:r>
          </w:p>
        </w:tc>
      </w:tr>
    </w:tbl>
    <w:p w14:paraId="458A3F13">
      <w:pPr>
        <w:spacing w:before="0" w:after="0"/>
        <w:ind w:firstLine="709"/>
        <w:jc w:val="both"/>
      </w:pPr>
      <w:r>
        <w:rPr>
          <w:rFonts w:ascii="Times New Roman" w:hAnsi="Times New Roman"/>
          <w:b w:val="0"/>
          <w:sz w:val="28"/>
        </w:rPr>
        <w:t>В перечне зафиксировано 12 функциональных требований к мобильному приложению, каждому из которых присвоен уникальный код (FR-01 — FR-12). Требования охватывают запись на приём без звонка, SMS- и push-уведомления, единый профиль пациента, историю визитов, поиск по врачу и услуге, а также оформление заявки на налоговый вычет. Структура выдержана в соответствии с ГОСТ 34.602-89: каждое требование формулируется в виде «система должна», что обеспечивает однозначность проверки. Полнота набора требований подтверждена матрицей прослеживаемости (Таблица 31).</w:t>
      </w:r>
    </w:p>
    <w:p w14:paraId="52344329">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22 — Нефункциональные требования к MVP</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7"/>
        <w:gridCol w:w="2152"/>
        <w:gridCol w:w="5071"/>
      </w:tblGrid>
      <w:tr w14:paraId="140DC108">
        <w:tc>
          <w:tcPr>
            <w:tcW w:w="2041" w:type="dxa"/>
            <w:tcBorders>
              <w:top w:val="single" w:color="auto" w:sz="4" w:space="0"/>
              <w:left w:val="single" w:color="auto" w:sz="4" w:space="0"/>
              <w:bottom w:val="single" w:color="auto" w:sz="4" w:space="0"/>
              <w:right w:val="single" w:color="auto" w:sz="4" w:space="0"/>
            </w:tcBorders>
            <w:vAlign w:val="center"/>
          </w:tcPr>
          <w:p w14:paraId="3A0164C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Категория</w:t>
            </w:r>
          </w:p>
        </w:tc>
        <w:tc>
          <w:tcPr>
            <w:tcW w:w="2154" w:type="dxa"/>
            <w:tcBorders>
              <w:top w:val="single" w:color="auto" w:sz="4" w:space="0"/>
              <w:left w:val="single" w:color="auto" w:sz="4" w:space="0"/>
              <w:bottom w:val="single" w:color="auto" w:sz="4" w:space="0"/>
              <w:right w:val="single" w:color="auto" w:sz="4" w:space="0"/>
            </w:tcBorders>
            <w:vAlign w:val="center"/>
          </w:tcPr>
          <w:p w14:paraId="6284A4F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Метрика</w:t>
            </w:r>
          </w:p>
        </w:tc>
        <w:tc>
          <w:tcPr>
            <w:tcW w:w="5159" w:type="dxa"/>
            <w:tcBorders>
              <w:top w:val="single" w:color="auto" w:sz="4" w:space="0"/>
              <w:left w:val="single" w:color="auto" w:sz="4" w:space="0"/>
              <w:bottom w:val="single" w:color="auto" w:sz="4" w:space="0"/>
              <w:right w:val="single" w:color="auto" w:sz="4" w:space="0"/>
            </w:tcBorders>
            <w:vAlign w:val="center"/>
          </w:tcPr>
          <w:p w14:paraId="15B9CD8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Требование</w:t>
            </w:r>
          </w:p>
        </w:tc>
      </w:tr>
      <w:tr w14:paraId="6ED2DF3D">
        <w:tc>
          <w:tcPr>
            <w:tcW w:w="2041" w:type="dxa"/>
            <w:tcBorders>
              <w:top w:val="single" w:color="auto" w:sz="4" w:space="0"/>
              <w:left w:val="single" w:color="auto" w:sz="4" w:space="0"/>
              <w:bottom w:val="single" w:color="auto" w:sz="4" w:space="0"/>
              <w:right w:val="single" w:color="auto" w:sz="4" w:space="0"/>
            </w:tcBorders>
            <w:vAlign w:val="center"/>
          </w:tcPr>
          <w:p w14:paraId="6EB30A5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Производительность</w:t>
            </w:r>
          </w:p>
        </w:tc>
        <w:tc>
          <w:tcPr>
            <w:tcW w:w="2154" w:type="dxa"/>
            <w:tcBorders>
              <w:top w:val="single" w:color="auto" w:sz="4" w:space="0"/>
              <w:left w:val="single" w:color="auto" w:sz="4" w:space="0"/>
              <w:bottom w:val="single" w:color="auto" w:sz="4" w:space="0"/>
              <w:right w:val="single" w:color="auto" w:sz="4" w:space="0"/>
            </w:tcBorders>
            <w:vAlign w:val="center"/>
          </w:tcPr>
          <w:p w14:paraId="65A0EC3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Время отклика API</w:t>
            </w:r>
          </w:p>
        </w:tc>
        <w:tc>
          <w:tcPr>
            <w:tcW w:w="5159" w:type="dxa"/>
            <w:tcBorders>
              <w:top w:val="single" w:color="auto" w:sz="4" w:space="0"/>
              <w:left w:val="single" w:color="auto" w:sz="4" w:space="0"/>
              <w:bottom w:val="single" w:color="auto" w:sz="4" w:space="0"/>
              <w:right w:val="single" w:color="auto" w:sz="4" w:space="0"/>
            </w:tcBorders>
            <w:vAlign w:val="center"/>
          </w:tcPr>
          <w:p w14:paraId="699406B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Не более 500 мс для 95 % запросов при нагрузке до 100 </w:t>
            </w:r>
            <w:r>
              <w:rPr>
                <w:rFonts w:ascii="Times New Roman" w:hAnsi="Times New Roman" w:eastAsia="Times New Roman" w:cs="Times New Roman"/>
                <w:color w:val="000000"/>
                <w:kern w:val="0"/>
                <w:sz w:val="24"/>
                <w:szCs w:val="24"/>
                <w:lang w:val="en-US" w:eastAsia="ru-RU"/>
                <w14:ligatures w14:val="none"/>
              </w:rPr>
              <w:t>RPS</w:t>
            </w:r>
          </w:p>
        </w:tc>
      </w:tr>
      <w:tr w14:paraId="0B093118">
        <w:tc>
          <w:tcPr>
            <w:tcW w:w="2041" w:type="dxa"/>
            <w:tcBorders>
              <w:top w:val="single" w:color="auto" w:sz="4" w:space="0"/>
              <w:left w:val="single" w:color="auto" w:sz="4" w:space="0"/>
              <w:bottom w:val="single" w:color="auto" w:sz="4" w:space="0"/>
              <w:right w:val="single" w:color="auto" w:sz="4" w:space="0"/>
            </w:tcBorders>
            <w:vAlign w:val="center"/>
          </w:tcPr>
          <w:p w14:paraId="2ACB26E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Безопасность</w:t>
            </w:r>
          </w:p>
        </w:tc>
        <w:tc>
          <w:tcPr>
            <w:tcW w:w="2154" w:type="dxa"/>
            <w:tcBorders>
              <w:top w:val="single" w:color="auto" w:sz="4" w:space="0"/>
              <w:left w:val="single" w:color="auto" w:sz="4" w:space="0"/>
              <w:bottom w:val="single" w:color="auto" w:sz="4" w:space="0"/>
              <w:right w:val="single" w:color="auto" w:sz="4" w:space="0"/>
            </w:tcBorders>
            <w:vAlign w:val="center"/>
          </w:tcPr>
          <w:p w14:paraId="4EA0AD4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Защита персональных данных</w:t>
            </w:r>
          </w:p>
        </w:tc>
        <w:tc>
          <w:tcPr>
            <w:tcW w:w="5159" w:type="dxa"/>
            <w:tcBorders>
              <w:top w:val="single" w:color="auto" w:sz="4" w:space="0"/>
              <w:left w:val="single" w:color="auto" w:sz="4" w:space="0"/>
              <w:bottom w:val="single" w:color="auto" w:sz="4" w:space="0"/>
              <w:right w:val="single" w:color="auto" w:sz="4" w:space="0"/>
            </w:tcBorders>
            <w:vAlign w:val="center"/>
          </w:tcPr>
          <w:p w14:paraId="0525826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Хранение по уровню защищённости УЗ-3, шифрование </w:t>
            </w:r>
            <w:r>
              <w:rPr>
                <w:rFonts w:ascii="Times New Roman" w:hAnsi="Times New Roman" w:eastAsia="Times New Roman" w:cs="Times New Roman"/>
                <w:color w:val="000000"/>
                <w:kern w:val="0"/>
                <w:sz w:val="24"/>
                <w:szCs w:val="24"/>
                <w:lang w:val="en-US" w:eastAsia="ru-RU"/>
                <w14:ligatures w14:val="none"/>
              </w:rPr>
              <w:t>pgcrypto</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TLS</w:t>
            </w:r>
            <w:r>
              <w:rPr>
                <w:rFonts w:ascii="Times New Roman" w:hAnsi="Times New Roman" w:eastAsia="Times New Roman" w:cs="Times New Roman"/>
                <w:color w:val="000000"/>
                <w:kern w:val="0"/>
                <w:sz w:val="24"/>
                <w:szCs w:val="24"/>
                <w:lang w:eastAsia="ru-RU"/>
                <w14:ligatures w14:val="none"/>
              </w:rPr>
              <w:t xml:space="preserve"> 1.2+</w:t>
            </w:r>
          </w:p>
        </w:tc>
      </w:tr>
      <w:tr w14:paraId="59F9AD85">
        <w:tc>
          <w:tcPr>
            <w:tcW w:w="2041" w:type="dxa"/>
            <w:tcBorders>
              <w:top w:val="single" w:color="auto" w:sz="4" w:space="0"/>
              <w:left w:val="single" w:color="auto" w:sz="4" w:space="0"/>
              <w:bottom w:val="single" w:color="auto" w:sz="4" w:space="0"/>
              <w:right w:val="single" w:color="auto" w:sz="4" w:space="0"/>
            </w:tcBorders>
            <w:vAlign w:val="center"/>
          </w:tcPr>
          <w:p w14:paraId="7AAD209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Доступность сервиса</w:t>
            </w:r>
          </w:p>
        </w:tc>
        <w:tc>
          <w:tcPr>
            <w:tcW w:w="2154" w:type="dxa"/>
            <w:tcBorders>
              <w:top w:val="single" w:color="auto" w:sz="4" w:space="0"/>
              <w:left w:val="single" w:color="auto" w:sz="4" w:space="0"/>
              <w:bottom w:val="single" w:color="auto" w:sz="4" w:space="0"/>
              <w:right w:val="single" w:color="auto" w:sz="4" w:space="0"/>
            </w:tcBorders>
            <w:vAlign w:val="center"/>
          </w:tcPr>
          <w:p w14:paraId="5EC8F80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Целевой SLO</w:t>
            </w:r>
          </w:p>
        </w:tc>
        <w:tc>
          <w:tcPr>
            <w:tcW w:w="5159" w:type="dxa"/>
            <w:tcBorders>
              <w:top w:val="single" w:color="auto" w:sz="4" w:space="0"/>
              <w:left w:val="single" w:color="auto" w:sz="4" w:space="0"/>
              <w:bottom w:val="single" w:color="auto" w:sz="4" w:space="0"/>
              <w:right w:val="single" w:color="auto" w:sz="4" w:space="0"/>
            </w:tcBorders>
            <w:vAlign w:val="center"/>
          </w:tcPr>
          <w:p w14:paraId="5EE0326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99 % в режиме 24/7, плановое окно обслуживания не более 4 часов в месяц</w:t>
            </w:r>
          </w:p>
        </w:tc>
      </w:tr>
      <w:tr w14:paraId="3F5FCECD">
        <w:tc>
          <w:tcPr>
            <w:tcW w:w="2041" w:type="dxa"/>
            <w:tcBorders>
              <w:top w:val="single" w:color="auto" w:sz="4" w:space="0"/>
              <w:left w:val="single" w:color="auto" w:sz="4" w:space="0"/>
              <w:bottom w:val="single" w:color="auto" w:sz="4" w:space="0"/>
              <w:right w:val="single" w:color="auto" w:sz="4" w:space="0"/>
            </w:tcBorders>
            <w:vAlign w:val="center"/>
          </w:tcPr>
          <w:p w14:paraId="5A82B1F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Локализация</w:t>
            </w:r>
          </w:p>
        </w:tc>
        <w:tc>
          <w:tcPr>
            <w:tcW w:w="2154" w:type="dxa"/>
            <w:tcBorders>
              <w:top w:val="single" w:color="auto" w:sz="4" w:space="0"/>
              <w:left w:val="single" w:color="auto" w:sz="4" w:space="0"/>
              <w:bottom w:val="single" w:color="auto" w:sz="4" w:space="0"/>
              <w:right w:val="single" w:color="auto" w:sz="4" w:space="0"/>
            </w:tcBorders>
            <w:vAlign w:val="center"/>
          </w:tcPr>
          <w:p w14:paraId="62F1303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Язык и кодировка</w:t>
            </w:r>
          </w:p>
        </w:tc>
        <w:tc>
          <w:tcPr>
            <w:tcW w:w="5159" w:type="dxa"/>
            <w:tcBorders>
              <w:top w:val="single" w:color="auto" w:sz="4" w:space="0"/>
              <w:left w:val="single" w:color="auto" w:sz="4" w:space="0"/>
              <w:bottom w:val="single" w:color="auto" w:sz="4" w:space="0"/>
              <w:right w:val="single" w:color="auto" w:sz="4" w:space="0"/>
            </w:tcBorders>
            <w:vAlign w:val="center"/>
          </w:tcPr>
          <w:p w14:paraId="59D444CA">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Русский язык интерфейса, </w:t>
            </w:r>
            <w:r>
              <w:rPr>
                <w:rFonts w:ascii="Times New Roman" w:hAnsi="Times New Roman" w:eastAsia="Times New Roman" w:cs="Times New Roman"/>
                <w:color w:val="000000"/>
                <w:kern w:val="0"/>
                <w:sz w:val="24"/>
                <w:szCs w:val="24"/>
                <w:lang w:val="en-US" w:eastAsia="ru-RU"/>
                <w14:ligatures w14:val="none"/>
              </w:rPr>
              <w:t>UTF</w:t>
            </w:r>
            <w:r>
              <w:rPr>
                <w:rFonts w:ascii="Times New Roman" w:hAnsi="Times New Roman" w:eastAsia="Times New Roman" w:cs="Times New Roman"/>
                <w:color w:val="000000"/>
                <w:kern w:val="0"/>
                <w:sz w:val="24"/>
                <w:szCs w:val="24"/>
                <w:lang w:eastAsia="ru-RU"/>
                <w14:ligatures w14:val="none"/>
              </w:rPr>
              <w:t>-8, часовой пояс клиники</w:t>
            </w:r>
          </w:p>
        </w:tc>
      </w:tr>
      <w:tr w14:paraId="401A0C76">
        <w:tc>
          <w:tcPr>
            <w:tcW w:w="2041" w:type="dxa"/>
            <w:tcBorders>
              <w:top w:val="single" w:color="auto" w:sz="4" w:space="0"/>
              <w:left w:val="single" w:color="auto" w:sz="4" w:space="0"/>
              <w:bottom w:val="single" w:color="auto" w:sz="4" w:space="0"/>
              <w:right w:val="single" w:color="auto" w:sz="4" w:space="0"/>
            </w:tcBorders>
            <w:vAlign w:val="center"/>
          </w:tcPr>
          <w:p w14:paraId="598D6B0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Масштабируемость</w:t>
            </w:r>
          </w:p>
        </w:tc>
        <w:tc>
          <w:tcPr>
            <w:tcW w:w="2154" w:type="dxa"/>
            <w:tcBorders>
              <w:top w:val="single" w:color="auto" w:sz="4" w:space="0"/>
              <w:left w:val="single" w:color="auto" w:sz="4" w:space="0"/>
              <w:bottom w:val="single" w:color="auto" w:sz="4" w:space="0"/>
              <w:right w:val="single" w:color="auto" w:sz="4" w:space="0"/>
            </w:tcBorders>
            <w:vAlign w:val="center"/>
          </w:tcPr>
          <w:p w14:paraId="214F121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Горизонтальное масштабирование</w:t>
            </w:r>
          </w:p>
        </w:tc>
        <w:tc>
          <w:tcPr>
            <w:tcW w:w="5159" w:type="dxa"/>
            <w:tcBorders>
              <w:top w:val="single" w:color="auto" w:sz="4" w:space="0"/>
              <w:left w:val="single" w:color="auto" w:sz="4" w:space="0"/>
              <w:bottom w:val="single" w:color="auto" w:sz="4" w:space="0"/>
              <w:right w:val="single" w:color="auto" w:sz="4" w:space="0"/>
            </w:tcBorders>
            <w:vAlign w:val="center"/>
          </w:tcPr>
          <w:p w14:paraId="717567B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Добавление инстансов сервисов за балансировщиком без простоя</w:t>
            </w:r>
          </w:p>
        </w:tc>
      </w:tr>
      <w:tr w14:paraId="5BEEBD33">
        <w:tc>
          <w:tcPr>
            <w:tcW w:w="2041" w:type="dxa"/>
            <w:tcBorders>
              <w:top w:val="single" w:color="auto" w:sz="4" w:space="0"/>
              <w:left w:val="single" w:color="auto" w:sz="4" w:space="0"/>
              <w:bottom w:val="single" w:color="auto" w:sz="4" w:space="0"/>
              <w:right w:val="single" w:color="auto" w:sz="4" w:space="0"/>
            </w:tcBorders>
            <w:vAlign w:val="center"/>
          </w:tcPr>
          <w:p w14:paraId="425CF14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Совместимость</w:t>
            </w:r>
          </w:p>
        </w:tc>
        <w:tc>
          <w:tcPr>
            <w:tcW w:w="2154" w:type="dxa"/>
            <w:tcBorders>
              <w:top w:val="single" w:color="auto" w:sz="4" w:space="0"/>
              <w:left w:val="single" w:color="auto" w:sz="4" w:space="0"/>
              <w:bottom w:val="single" w:color="auto" w:sz="4" w:space="0"/>
              <w:right w:val="single" w:color="auto" w:sz="4" w:space="0"/>
            </w:tcBorders>
            <w:vAlign w:val="center"/>
          </w:tcPr>
          <w:p w14:paraId="02A1AFB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Поддерживаемые платформы</w:t>
            </w:r>
          </w:p>
        </w:tc>
        <w:tc>
          <w:tcPr>
            <w:tcW w:w="5159" w:type="dxa"/>
            <w:tcBorders>
              <w:top w:val="single" w:color="auto" w:sz="4" w:space="0"/>
              <w:left w:val="single" w:color="auto" w:sz="4" w:space="0"/>
              <w:bottom w:val="single" w:color="auto" w:sz="4" w:space="0"/>
              <w:right w:val="single" w:color="auto" w:sz="4" w:space="0"/>
            </w:tcBorders>
            <w:vAlign w:val="center"/>
          </w:tcPr>
          <w:p w14:paraId="0FDE3D9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iOS 14+, Android 10+, актуальные версии Chrome, Safari, Firefox</w:t>
            </w:r>
          </w:p>
        </w:tc>
      </w:tr>
      <w:tr w14:paraId="04735489">
        <w:tc>
          <w:tcPr>
            <w:tcW w:w="2041" w:type="dxa"/>
            <w:tcBorders>
              <w:top w:val="single" w:color="auto" w:sz="4" w:space="0"/>
              <w:left w:val="single" w:color="auto" w:sz="4" w:space="0"/>
              <w:bottom w:val="single" w:color="auto" w:sz="4" w:space="0"/>
              <w:right w:val="single" w:color="auto" w:sz="4" w:space="0"/>
            </w:tcBorders>
            <w:vAlign w:val="center"/>
          </w:tcPr>
          <w:p w14:paraId="70DD467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Доступность интерфейса</w:t>
            </w:r>
          </w:p>
        </w:tc>
        <w:tc>
          <w:tcPr>
            <w:tcW w:w="2154" w:type="dxa"/>
            <w:tcBorders>
              <w:top w:val="single" w:color="auto" w:sz="4" w:space="0"/>
              <w:left w:val="single" w:color="auto" w:sz="4" w:space="0"/>
              <w:bottom w:val="single" w:color="auto" w:sz="4" w:space="0"/>
              <w:right w:val="single" w:color="auto" w:sz="4" w:space="0"/>
            </w:tcBorders>
            <w:vAlign w:val="center"/>
          </w:tcPr>
          <w:p w14:paraId="73E4FD2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Уровень WCAG</w:t>
            </w:r>
          </w:p>
        </w:tc>
        <w:tc>
          <w:tcPr>
            <w:tcW w:w="5159" w:type="dxa"/>
            <w:tcBorders>
              <w:top w:val="single" w:color="auto" w:sz="4" w:space="0"/>
              <w:left w:val="single" w:color="auto" w:sz="4" w:space="0"/>
              <w:bottom w:val="single" w:color="auto" w:sz="4" w:space="0"/>
              <w:right w:val="single" w:color="auto" w:sz="4" w:space="0"/>
            </w:tcBorders>
            <w:vAlign w:val="center"/>
          </w:tcPr>
          <w:p w14:paraId="32D0846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Контраст не ниже </w:t>
            </w:r>
            <w:r>
              <w:rPr>
                <w:rFonts w:ascii="Times New Roman" w:hAnsi="Times New Roman" w:eastAsia="Times New Roman" w:cs="Times New Roman"/>
                <w:color w:val="000000"/>
                <w:kern w:val="0"/>
                <w:sz w:val="24"/>
                <w:szCs w:val="24"/>
                <w:lang w:val="en-US" w:eastAsia="ru-RU"/>
                <w14:ligatures w14:val="none"/>
              </w:rPr>
              <w:t>AA</w:t>
            </w:r>
            <w:r>
              <w:rPr>
                <w:rFonts w:ascii="Times New Roman" w:hAnsi="Times New Roman" w:eastAsia="Times New Roman" w:cs="Times New Roman"/>
                <w:color w:val="000000"/>
                <w:kern w:val="0"/>
                <w:sz w:val="24"/>
                <w:szCs w:val="24"/>
                <w:lang w:eastAsia="ru-RU"/>
                <w14:ligatures w14:val="none"/>
              </w:rPr>
              <w:t>, поддержка увеличенного шрифта (ГОСТ Р 52872-2019)</w:t>
            </w:r>
          </w:p>
        </w:tc>
      </w:tr>
    </w:tbl>
    <w:p w14:paraId="4DCEE819">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Роли построены от заинтересованных сторон, участвующих в записи, оказании услуги и документальном сопровождении визита. Для каждой роли указан набор ключевых сценариев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 Работа продукта описана четырьмя пользовательскими историями и тремя вариантами использования – они покрывают основные ветки маршрута пациента.</w:t>
      </w:r>
    </w:p>
    <w:p w14:paraId="15AAD77C">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23 — Роли пользователей приложения</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685"/>
        <w:gridCol w:w="3402"/>
      </w:tblGrid>
      <w:tr w14:paraId="01AAE2E1">
        <w:tc>
          <w:tcPr>
            <w:tcW w:w="2268" w:type="dxa"/>
            <w:tcBorders>
              <w:top w:val="single" w:color="auto" w:sz="4" w:space="0"/>
              <w:left w:val="single" w:color="auto" w:sz="4" w:space="0"/>
              <w:bottom w:val="single" w:color="auto" w:sz="4" w:space="0"/>
              <w:right w:val="single" w:color="auto" w:sz="4" w:space="0"/>
            </w:tcBorders>
            <w:vAlign w:val="center"/>
          </w:tcPr>
          <w:p w14:paraId="56195FB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Роль</w:t>
            </w:r>
          </w:p>
        </w:tc>
        <w:tc>
          <w:tcPr>
            <w:tcW w:w="3685" w:type="dxa"/>
            <w:tcBorders>
              <w:top w:val="single" w:color="auto" w:sz="4" w:space="0"/>
              <w:left w:val="single" w:color="auto" w:sz="4" w:space="0"/>
              <w:bottom w:val="single" w:color="auto" w:sz="4" w:space="0"/>
              <w:right w:val="single" w:color="auto" w:sz="4" w:space="0"/>
            </w:tcBorders>
            <w:vAlign w:val="center"/>
          </w:tcPr>
          <w:p w14:paraId="267943F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3402" w:type="dxa"/>
            <w:tcBorders>
              <w:top w:val="single" w:color="auto" w:sz="4" w:space="0"/>
              <w:left w:val="single" w:color="auto" w:sz="4" w:space="0"/>
              <w:bottom w:val="single" w:color="auto" w:sz="4" w:space="0"/>
              <w:right w:val="single" w:color="auto" w:sz="4" w:space="0"/>
            </w:tcBorders>
            <w:vAlign w:val="center"/>
          </w:tcPr>
          <w:p w14:paraId="153086A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Ключевые сценарии</w:t>
            </w:r>
          </w:p>
        </w:tc>
      </w:tr>
      <w:tr w14:paraId="080EB6B2">
        <w:tc>
          <w:tcPr>
            <w:tcW w:w="2268" w:type="dxa"/>
            <w:tcBorders>
              <w:top w:val="single" w:color="auto" w:sz="4" w:space="0"/>
              <w:left w:val="single" w:color="auto" w:sz="4" w:space="0"/>
              <w:bottom w:val="single" w:color="auto" w:sz="4" w:space="0"/>
              <w:right w:val="single" w:color="auto" w:sz="4" w:space="0"/>
            </w:tcBorders>
            <w:vAlign w:val="center"/>
          </w:tcPr>
          <w:p w14:paraId="13CE914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Пациент</w:t>
            </w:r>
          </w:p>
        </w:tc>
        <w:tc>
          <w:tcPr>
            <w:tcW w:w="3685" w:type="dxa"/>
            <w:tcBorders>
              <w:top w:val="single" w:color="auto" w:sz="4" w:space="0"/>
              <w:left w:val="single" w:color="auto" w:sz="4" w:space="0"/>
              <w:bottom w:val="single" w:color="auto" w:sz="4" w:space="0"/>
              <w:right w:val="single" w:color="auto" w:sz="4" w:space="0"/>
            </w:tcBorders>
            <w:vAlign w:val="center"/>
          </w:tcPr>
          <w:p w14:paraId="76A82BD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Совершеннолетний пользователь, самостоятельно записывается на приём, ведёт профиль (в том числе профиль ребёнка), просматривает историю визитов и оформляет налоговый вычет.</w:t>
            </w:r>
          </w:p>
        </w:tc>
        <w:tc>
          <w:tcPr>
            <w:tcW w:w="3402" w:type="dxa"/>
            <w:tcBorders>
              <w:top w:val="single" w:color="auto" w:sz="4" w:space="0"/>
              <w:left w:val="single" w:color="auto" w:sz="4" w:space="0"/>
              <w:bottom w:val="single" w:color="auto" w:sz="4" w:space="0"/>
              <w:right w:val="single" w:color="auto" w:sz="4" w:space="0"/>
            </w:tcBorders>
            <w:vAlign w:val="center"/>
          </w:tcPr>
          <w:p w14:paraId="2CA66F7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Запись на приём; управление профилем; просмотр истории и гарантий; заявка на налоговый вычет.</w:t>
            </w:r>
          </w:p>
        </w:tc>
      </w:tr>
      <w:tr w14:paraId="2D9BE82F">
        <w:tc>
          <w:tcPr>
            <w:tcW w:w="2268" w:type="dxa"/>
            <w:tcBorders>
              <w:top w:val="single" w:color="auto" w:sz="4" w:space="0"/>
              <w:left w:val="single" w:color="auto" w:sz="4" w:space="0"/>
              <w:bottom w:val="single" w:color="auto" w:sz="4" w:space="0"/>
              <w:right w:val="single" w:color="auto" w:sz="4" w:space="0"/>
            </w:tcBorders>
            <w:vAlign w:val="center"/>
          </w:tcPr>
          <w:p w14:paraId="3783805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Администратор клиники</w:t>
            </w:r>
          </w:p>
        </w:tc>
        <w:tc>
          <w:tcPr>
            <w:tcW w:w="3685" w:type="dxa"/>
            <w:tcBorders>
              <w:top w:val="single" w:color="auto" w:sz="4" w:space="0"/>
              <w:left w:val="single" w:color="auto" w:sz="4" w:space="0"/>
              <w:bottom w:val="single" w:color="auto" w:sz="4" w:space="0"/>
              <w:right w:val="single" w:color="auto" w:sz="4" w:space="0"/>
            </w:tcBorders>
            <w:vAlign w:val="center"/>
          </w:tcPr>
          <w:p w14:paraId="4ADE590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Сотрудник регистратуры филиала, принимает записи пациентов в интерфейсе МИС, подтверждает приход и перенос, формирует справки.</w:t>
            </w:r>
          </w:p>
        </w:tc>
        <w:tc>
          <w:tcPr>
            <w:tcW w:w="3402" w:type="dxa"/>
            <w:tcBorders>
              <w:top w:val="single" w:color="auto" w:sz="4" w:space="0"/>
              <w:left w:val="single" w:color="auto" w:sz="4" w:space="0"/>
              <w:bottom w:val="single" w:color="auto" w:sz="4" w:space="0"/>
              <w:right w:val="single" w:color="auto" w:sz="4" w:space="0"/>
            </w:tcBorders>
            <w:vAlign w:val="center"/>
          </w:tcPr>
          <w:p w14:paraId="4F0929F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Подтверждение записи; перенос и отмена визита; выдача справки по ЭДО.</w:t>
            </w:r>
          </w:p>
        </w:tc>
      </w:tr>
      <w:tr w14:paraId="526D3921">
        <w:tc>
          <w:tcPr>
            <w:tcW w:w="2268" w:type="dxa"/>
            <w:tcBorders>
              <w:top w:val="single" w:color="auto" w:sz="4" w:space="0"/>
              <w:left w:val="single" w:color="auto" w:sz="4" w:space="0"/>
              <w:bottom w:val="single" w:color="auto" w:sz="4" w:space="0"/>
              <w:right w:val="single" w:color="auto" w:sz="4" w:space="0"/>
            </w:tcBorders>
            <w:vAlign w:val="center"/>
          </w:tcPr>
          <w:p w14:paraId="51272BC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Супер-администратор сети</w:t>
            </w:r>
          </w:p>
        </w:tc>
        <w:tc>
          <w:tcPr>
            <w:tcW w:w="3685" w:type="dxa"/>
            <w:tcBorders>
              <w:top w:val="single" w:color="auto" w:sz="4" w:space="0"/>
              <w:left w:val="single" w:color="auto" w:sz="4" w:space="0"/>
              <w:bottom w:val="single" w:color="auto" w:sz="4" w:space="0"/>
              <w:right w:val="single" w:color="auto" w:sz="4" w:space="0"/>
            </w:tcBorders>
            <w:vAlign w:val="center"/>
          </w:tcPr>
          <w:p w14:paraId="66C7C09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Сотрудник управляющей компании сети клиник, ведёт каталог услуг, расписания, гарантийную политику и права доступа сотрудников.</w:t>
            </w:r>
          </w:p>
        </w:tc>
        <w:tc>
          <w:tcPr>
            <w:tcW w:w="3402" w:type="dxa"/>
            <w:tcBorders>
              <w:top w:val="single" w:color="auto" w:sz="4" w:space="0"/>
              <w:left w:val="single" w:color="auto" w:sz="4" w:space="0"/>
              <w:bottom w:val="single" w:color="auto" w:sz="4" w:space="0"/>
              <w:right w:val="single" w:color="auto" w:sz="4" w:space="0"/>
            </w:tcBorders>
            <w:vAlign w:val="center"/>
          </w:tcPr>
          <w:p w14:paraId="18355E3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Ведение каталога; управление филиалами и правами; отчётность по записям и </w:t>
            </w:r>
            <w:r>
              <w:rPr>
                <w:rFonts w:ascii="Times New Roman" w:hAnsi="Times New Roman" w:eastAsia="Times New Roman" w:cs="Times New Roman"/>
                <w:color w:val="000000"/>
                <w:kern w:val="0"/>
                <w:sz w:val="24"/>
                <w:szCs w:val="24"/>
                <w:lang w:val="en-US" w:eastAsia="ru-RU"/>
                <w14:ligatures w14:val="none"/>
              </w:rPr>
              <w:t>no</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show</w:t>
            </w:r>
            <w:r>
              <w:rPr>
                <w:rFonts w:ascii="Times New Roman" w:hAnsi="Times New Roman" w:eastAsia="Times New Roman" w:cs="Times New Roman"/>
                <w:color w:val="000000"/>
                <w:kern w:val="0"/>
                <w:sz w:val="24"/>
                <w:szCs w:val="24"/>
                <w:lang w:eastAsia="ru-RU"/>
                <w14:ligatures w14:val="none"/>
              </w:rPr>
              <w:t>.</w:t>
            </w:r>
          </w:p>
        </w:tc>
      </w:tr>
    </w:tbl>
    <w:p w14:paraId="4EE6E17A">
      <w:pPr>
        <w:spacing w:before="0" w:after="0"/>
        <w:ind w:firstLine="709"/>
        <w:jc w:val="both"/>
      </w:pPr>
      <w:r>
        <w:rPr>
          <w:rFonts w:ascii="Times New Roman" w:hAnsi="Times New Roman"/>
          <w:b w:val="0"/>
          <w:sz w:val="28"/>
        </w:rPr>
        <w:t>В системе предусмотрены три роли: пациент, администратор клиники и супер-администратор сети. Для каждой роли зафиксировано описание и перечень ключевых сценариев. Пациент взаимодействует с продуктом самостоятельно — записывается, управляет профилем, запрашивает документы. Администратор клиники работает в части управления расписанием и подтверждения визитов. Супер-администратор отвечает за ведение каталога врачей и услуг на уровне всей сети. Разделение ролей определяет модель разграничения доступа в системе.</w:t>
      </w:r>
    </w:p>
    <w:p w14:paraId="43358134">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24 — Пользовательская история US-1 «Запись на приём без звонка»</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2217F0E8">
        <w:tc>
          <w:tcPr>
            <w:tcW w:w="2551" w:type="dxa"/>
            <w:tcBorders>
              <w:top w:val="single" w:color="auto" w:sz="4" w:space="0"/>
              <w:left w:val="single" w:color="auto" w:sz="4" w:space="0"/>
              <w:bottom w:val="single" w:color="auto" w:sz="4" w:space="0"/>
              <w:right w:val="single" w:color="auto" w:sz="4" w:space="0"/>
            </w:tcBorders>
            <w:vAlign w:val="center"/>
          </w:tcPr>
          <w:p w14:paraId="76AA760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047F48C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00DD3E21">
        <w:tc>
          <w:tcPr>
            <w:tcW w:w="2551" w:type="dxa"/>
            <w:tcBorders>
              <w:top w:val="single" w:color="auto" w:sz="4" w:space="0"/>
              <w:left w:val="single" w:color="auto" w:sz="4" w:space="0"/>
              <w:bottom w:val="single" w:color="auto" w:sz="4" w:space="0"/>
              <w:right w:val="single" w:color="auto" w:sz="4" w:space="0"/>
            </w:tcBorders>
            <w:vAlign w:val="center"/>
          </w:tcPr>
          <w:p w14:paraId="0B81BC5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Наименование</w:t>
            </w:r>
          </w:p>
        </w:tc>
        <w:tc>
          <w:tcPr>
            <w:tcW w:w="6803" w:type="dxa"/>
            <w:tcBorders>
              <w:top w:val="single" w:color="auto" w:sz="4" w:space="0"/>
              <w:left w:val="single" w:color="auto" w:sz="4" w:space="0"/>
              <w:bottom w:val="single" w:color="auto" w:sz="4" w:space="0"/>
              <w:right w:val="single" w:color="auto" w:sz="4" w:space="0"/>
            </w:tcBorders>
            <w:vAlign w:val="center"/>
          </w:tcPr>
          <w:p w14:paraId="0B240B9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Запись на приём без звонка</w:t>
            </w:r>
          </w:p>
        </w:tc>
      </w:tr>
      <w:tr w14:paraId="494CA657">
        <w:tc>
          <w:tcPr>
            <w:tcW w:w="2551" w:type="dxa"/>
            <w:tcBorders>
              <w:top w:val="single" w:color="auto" w:sz="4" w:space="0"/>
              <w:left w:val="single" w:color="auto" w:sz="4" w:space="0"/>
              <w:bottom w:val="single" w:color="auto" w:sz="4" w:space="0"/>
              <w:right w:val="single" w:color="auto" w:sz="4" w:space="0"/>
            </w:tcBorders>
            <w:vAlign w:val="center"/>
          </w:tcPr>
          <w:p w14:paraId="42A53A2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Описание пользовательской истории</w:t>
            </w:r>
          </w:p>
        </w:tc>
        <w:tc>
          <w:tcPr>
            <w:tcW w:w="6803" w:type="dxa"/>
            <w:tcBorders>
              <w:top w:val="single" w:color="auto" w:sz="4" w:space="0"/>
              <w:left w:val="single" w:color="auto" w:sz="4" w:space="0"/>
              <w:bottom w:val="single" w:color="auto" w:sz="4" w:space="0"/>
              <w:right w:val="single" w:color="auto" w:sz="4" w:space="0"/>
            </w:tcBorders>
            <w:vAlign w:val="center"/>
          </w:tcPr>
          <w:p w14:paraId="57B4AC8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Как пациент сети стоматологических клиник,</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я хочу записаться на приём к выбранному врачу без телефонного звонка,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чтобы не ждать ответа регистратора и выбрать удобное время самостоятельно.</w:t>
            </w:r>
          </w:p>
        </w:tc>
      </w:tr>
      <w:tr w14:paraId="04F9BEDD">
        <w:tc>
          <w:tcPr>
            <w:tcW w:w="2551" w:type="dxa"/>
            <w:tcBorders>
              <w:top w:val="single" w:color="auto" w:sz="4" w:space="0"/>
              <w:left w:val="single" w:color="auto" w:sz="4" w:space="0"/>
              <w:bottom w:val="single" w:color="auto" w:sz="4" w:space="0"/>
              <w:right w:val="single" w:color="auto" w:sz="4" w:space="0"/>
            </w:tcBorders>
            <w:vAlign w:val="center"/>
          </w:tcPr>
          <w:p w14:paraId="1C9640E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Критерии приёмки</w:t>
            </w:r>
          </w:p>
        </w:tc>
        <w:tc>
          <w:tcPr>
            <w:tcW w:w="6803" w:type="dxa"/>
            <w:tcBorders>
              <w:top w:val="single" w:color="auto" w:sz="4" w:space="0"/>
              <w:left w:val="single" w:color="auto" w:sz="4" w:space="0"/>
              <w:bottom w:val="single" w:color="auto" w:sz="4" w:space="0"/>
              <w:right w:val="single" w:color="auto" w:sz="4" w:space="0"/>
            </w:tcBorders>
            <w:vAlign w:val="center"/>
          </w:tcPr>
          <w:p w14:paraId="4B43D972">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1. Маршрут записи занимает не более 90 секунд от открытия приложения до подтверждения.</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Пациент видит доступные слоты выбранного врача на 14 дней вперёд.</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После подтверждения запись появляется в разделе «Ближайшая запись» на главном экране.</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 xml:space="preserve">4.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-подтверждение приходит не позднее 30 секунд после подтверждения записи.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 Запись отображается во всех филиалах сети, где ведёт приём выбранный врач.</w:t>
            </w:r>
          </w:p>
        </w:tc>
      </w:tr>
    </w:tbl>
    <w:p w14:paraId="1BE22516">
      <w:pPr>
        <w:spacing w:before="0" w:after="0"/>
        <w:ind w:firstLine="709"/>
        <w:jc w:val="both"/>
      </w:pPr>
      <w:r>
        <w:rPr>
          <w:rFonts w:ascii="Times New Roman" w:hAnsi="Times New Roman"/>
          <w:b w:val="0"/>
          <w:sz w:val="28"/>
        </w:rPr>
        <w:t>Пользовательская история описывает основной сценарий: самостоятельная онлайн-запись без звонка в регистратуру. Критерии приёмки фиксируют, что весь маршрут от выбора услуги до подтверждения должен занимать не более 90 секунд, а подтверждение поступает немедленно. История US-1 закрывает ключевой барьер, выявленный на стадии привлечения пациента, — трудоёмкость телефонной записи.</w:t>
      </w:r>
    </w:p>
    <w:p w14:paraId="7C1BCC98">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25 — Пользовательская история US-2 «Единый профиль с документами и гарантиями»</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1199FC12">
        <w:tc>
          <w:tcPr>
            <w:tcW w:w="2551" w:type="dxa"/>
            <w:tcBorders>
              <w:top w:val="single" w:color="auto" w:sz="4" w:space="0"/>
              <w:left w:val="single" w:color="auto" w:sz="4" w:space="0"/>
              <w:bottom w:val="single" w:color="auto" w:sz="4" w:space="0"/>
              <w:right w:val="single" w:color="auto" w:sz="4" w:space="0"/>
            </w:tcBorders>
            <w:vAlign w:val="center"/>
          </w:tcPr>
          <w:p w14:paraId="5184D8C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707D4A5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49B58AA5">
        <w:tc>
          <w:tcPr>
            <w:tcW w:w="2551" w:type="dxa"/>
            <w:tcBorders>
              <w:top w:val="single" w:color="auto" w:sz="4" w:space="0"/>
              <w:left w:val="single" w:color="auto" w:sz="4" w:space="0"/>
              <w:bottom w:val="single" w:color="auto" w:sz="4" w:space="0"/>
              <w:right w:val="single" w:color="auto" w:sz="4" w:space="0"/>
            </w:tcBorders>
            <w:vAlign w:val="center"/>
          </w:tcPr>
          <w:p w14:paraId="5B67F9C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Наименование</w:t>
            </w:r>
          </w:p>
        </w:tc>
        <w:tc>
          <w:tcPr>
            <w:tcW w:w="6803" w:type="dxa"/>
            <w:tcBorders>
              <w:top w:val="single" w:color="auto" w:sz="4" w:space="0"/>
              <w:left w:val="single" w:color="auto" w:sz="4" w:space="0"/>
              <w:bottom w:val="single" w:color="auto" w:sz="4" w:space="0"/>
              <w:right w:val="single" w:color="auto" w:sz="4" w:space="0"/>
            </w:tcBorders>
            <w:vAlign w:val="center"/>
          </w:tcPr>
          <w:p w14:paraId="3EE747A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Единый профиль с документами и гарантиями</w:t>
            </w:r>
          </w:p>
        </w:tc>
      </w:tr>
      <w:tr w14:paraId="3E9520FA">
        <w:tc>
          <w:tcPr>
            <w:tcW w:w="2551" w:type="dxa"/>
            <w:tcBorders>
              <w:top w:val="single" w:color="auto" w:sz="4" w:space="0"/>
              <w:left w:val="single" w:color="auto" w:sz="4" w:space="0"/>
              <w:bottom w:val="single" w:color="auto" w:sz="4" w:space="0"/>
              <w:right w:val="single" w:color="auto" w:sz="4" w:space="0"/>
            </w:tcBorders>
            <w:vAlign w:val="center"/>
          </w:tcPr>
          <w:p w14:paraId="5494AAC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Описание пользовательской истории</w:t>
            </w:r>
          </w:p>
        </w:tc>
        <w:tc>
          <w:tcPr>
            <w:tcW w:w="6803" w:type="dxa"/>
            <w:tcBorders>
              <w:top w:val="single" w:color="auto" w:sz="4" w:space="0"/>
              <w:left w:val="single" w:color="auto" w:sz="4" w:space="0"/>
              <w:bottom w:val="single" w:color="auto" w:sz="4" w:space="0"/>
              <w:right w:val="single" w:color="auto" w:sz="4" w:space="0"/>
            </w:tcBorders>
            <w:vAlign w:val="center"/>
          </w:tcPr>
          <w:p w14:paraId="6667FE5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Как пациент сети,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я хочу иметь единый профиль с историей визитов, чеками и сроками гарантии,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чтобы не запрашивать документы в регистратуре и отслеживать действующие гарантии.</w:t>
            </w:r>
          </w:p>
        </w:tc>
      </w:tr>
      <w:tr w14:paraId="23BEB3EB">
        <w:tc>
          <w:tcPr>
            <w:tcW w:w="2551" w:type="dxa"/>
            <w:tcBorders>
              <w:top w:val="single" w:color="auto" w:sz="4" w:space="0"/>
              <w:left w:val="single" w:color="auto" w:sz="4" w:space="0"/>
              <w:bottom w:val="single" w:color="auto" w:sz="4" w:space="0"/>
              <w:right w:val="single" w:color="auto" w:sz="4" w:space="0"/>
            </w:tcBorders>
            <w:vAlign w:val="center"/>
          </w:tcPr>
          <w:p w14:paraId="7A1EFAB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Критерии приёмки</w:t>
            </w:r>
          </w:p>
        </w:tc>
        <w:tc>
          <w:tcPr>
            <w:tcW w:w="6803" w:type="dxa"/>
            <w:tcBorders>
              <w:top w:val="single" w:color="auto" w:sz="4" w:space="0"/>
              <w:left w:val="single" w:color="auto" w:sz="4" w:space="0"/>
              <w:bottom w:val="single" w:color="auto" w:sz="4" w:space="0"/>
              <w:right w:val="single" w:color="auto" w:sz="4" w:space="0"/>
            </w:tcBorders>
            <w:vAlign w:val="center"/>
          </w:tcPr>
          <w:p w14:paraId="118483B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1. В разделе «История» отображаются все визиты пациента во всех филиалах сети.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Для каждого визита доступны заключение врача, перечень услуг и электронная копия чека.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Для услуг с гарантией отображается дата окончания действия гарантии.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 Карточка визита открывается не дольше 1 секунды при стабильном соединении.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 В профиль можно добавить ребёнка и вести его историю визитов в той же учётной записи.</w:t>
            </w:r>
          </w:p>
        </w:tc>
      </w:tr>
    </w:tbl>
    <w:p w14:paraId="45FEFCC9">
      <w:pPr>
        <w:spacing w:before="0" w:after="0"/>
        <w:ind w:firstLine="709"/>
        <w:jc w:val="both"/>
      </w:pPr>
      <w:r>
        <w:rPr>
          <w:rFonts w:ascii="Times New Roman" w:hAnsi="Times New Roman"/>
          <w:b w:val="0"/>
          <w:sz w:val="28"/>
        </w:rPr>
        <w:t>История US-2 описывает потребность пациента в едином цифровом пространстве, где хранятся все визиты, гарантийные обязательства и медицинские документы. Критерии приёмки требуют, чтобы в разделе «История» отображались все завершённые визиты с привязкой к врачу, услуге и цене, а гарантийные талоны были доступны без обращения в регистратуру. История закрывает информационный барьер удержания пациента.</w:t>
      </w:r>
    </w:p>
    <w:p w14:paraId="6608F212">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26 — Пользовательская история US-3 «Быстрый поиск по врачу, клинике или услуге»</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5D0B6D72">
        <w:tc>
          <w:tcPr>
            <w:tcW w:w="2551" w:type="dxa"/>
            <w:tcBorders>
              <w:top w:val="single" w:color="auto" w:sz="4" w:space="0"/>
              <w:left w:val="single" w:color="auto" w:sz="4" w:space="0"/>
              <w:bottom w:val="single" w:color="auto" w:sz="4" w:space="0"/>
              <w:right w:val="single" w:color="auto" w:sz="4" w:space="0"/>
            </w:tcBorders>
            <w:vAlign w:val="center"/>
          </w:tcPr>
          <w:p w14:paraId="003B831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0621E2E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0A51B000">
        <w:tc>
          <w:tcPr>
            <w:tcW w:w="2551" w:type="dxa"/>
            <w:tcBorders>
              <w:top w:val="single" w:color="auto" w:sz="4" w:space="0"/>
              <w:left w:val="single" w:color="auto" w:sz="4" w:space="0"/>
              <w:bottom w:val="single" w:color="auto" w:sz="4" w:space="0"/>
              <w:right w:val="single" w:color="auto" w:sz="4" w:space="0"/>
            </w:tcBorders>
            <w:vAlign w:val="center"/>
          </w:tcPr>
          <w:p w14:paraId="1A72A45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Наименование</w:t>
            </w:r>
          </w:p>
        </w:tc>
        <w:tc>
          <w:tcPr>
            <w:tcW w:w="6803" w:type="dxa"/>
            <w:tcBorders>
              <w:top w:val="single" w:color="auto" w:sz="4" w:space="0"/>
              <w:left w:val="single" w:color="auto" w:sz="4" w:space="0"/>
              <w:bottom w:val="single" w:color="auto" w:sz="4" w:space="0"/>
              <w:right w:val="single" w:color="auto" w:sz="4" w:space="0"/>
            </w:tcBorders>
            <w:vAlign w:val="center"/>
          </w:tcPr>
          <w:p w14:paraId="3B175CD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Быстрый поиск по врачу, клинике или услуге</w:t>
            </w:r>
          </w:p>
        </w:tc>
      </w:tr>
      <w:tr w14:paraId="75C108D9">
        <w:tc>
          <w:tcPr>
            <w:tcW w:w="2551" w:type="dxa"/>
            <w:tcBorders>
              <w:top w:val="single" w:color="auto" w:sz="4" w:space="0"/>
              <w:left w:val="single" w:color="auto" w:sz="4" w:space="0"/>
              <w:bottom w:val="single" w:color="auto" w:sz="4" w:space="0"/>
              <w:right w:val="single" w:color="auto" w:sz="4" w:space="0"/>
            </w:tcBorders>
            <w:vAlign w:val="center"/>
          </w:tcPr>
          <w:p w14:paraId="7AD9A83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Описание пользовательской истории</w:t>
            </w:r>
          </w:p>
        </w:tc>
        <w:tc>
          <w:tcPr>
            <w:tcW w:w="6803" w:type="dxa"/>
            <w:tcBorders>
              <w:top w:val="single" w:color="auto" w:sz="4" w:space="0"/>
              <w:left w:val="single" w:color="auto" w:sz="4" w:space="0"/>
              <w:bottom w:val="single" w:color="auto" w:sz="4" w:space="0"/>
              <w:right w:val="single" w:color="auto" w:sz="4" w:space="0"/>
            </w:tcBorders>
            <w:vAlign w:val="center"/>
          </w:tcPr>
          <w:p w14:paraId="0B1668D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Как пациент, знающий желаемый тип услуги или конкретного врача,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я хочу найти подходящую клинику, врача и ближайший свободный слот по одному запросу,</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чтобы не изучать расписание каждого филиала сети вручную.</w:t>
            </w:r>
          </w:p>
        </w:tc>
      </w:tr>
      <w:tr w14:paraId="5848AC42">
        <w:tc>
          <w:tcPr>
            <w:tcW w:w="2551" w:type="dxa"/>
            <w:tcBorders>
              <w:top w:val="single" w:color="auto" w:sz="4" w:space="0"/>
              <w:left w:val="single" w:color="auto" w:sz="4" w:space="0"/>
              <w:bottom w:val="single" w:color="auto" w:sz="4" w:space="0"/>
              <w:right w:val="single" w:color="auto" w:sz="4" w:space="0"/>
            </w:tcBorders>
            <w:vAlign w:val="center"/>
          </w:tcPr>
          <w:p w14:paraId="097D59A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Критерии приёмки</w:t>
            </w:r>
          </w:p>
        </w:tc>
        <w:tc>
          <w:tcPr>
            <w:tcW w:w="6803" w:type="dxa"/>
            <w:tcBorders>
              <w:top w:val="single" w:color="auto" w:sz="4" w:space="0"/>
              <w:left w:val="single" w:color="auto" w:sz="4" w:space="0"/>
              <w:bottom w:val="single" w:color="auto" w:sz="4" w:space="0"/>
              <w:right w:val="single" w:color="auto" w:sz="4" w:space="0"/>
            </w:tcBorders>
            <w:vAlign w:val="center"/>
          </w:tcPr>
          <w:p w14:paraId="28E4457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1. Поиск находит врачей, клиники и услуги по одной поисковой строке с автодополнением.</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Результаты упорядочены по расстоянию до пациента и по ближайшему свободному слоту.</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У каждого результата отображается ближайший свободный слот записи.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 Фильтры по цене, специализации и рейтингу применяются без перезагрузки экрана.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 Переход от результата поиска к оформлению записи занимает не более двух нажатий.</w:t>
            </w:r>
          </w:p>
        </w:tc>
      </w:tr>
    </w:tbl>
    <w:p w14:paraId="3143507F">
      <w:pPr>
        <w:spacing w:before="0" w:after="0"/>
        <w:ind w:firstLine="709"/>
        <w:jc w:val="both"/>
      </w:pPr>
      <w:r>
        <w:rPr>
          <w:rFonts w:ascii="Times New Roman" w:hAnsi="Times New Roman"/>
          <w:b w:val="0"/>
          <w:sz w:val="28"/>
        </w:rPr>
        <w:t>История US-3 формулирует требование к поисковому модулю: пациент находит нужного врача, клинику или услугу по ключевому слову с немедленным отображением доступных слотов. Критерии приёмки предусматривают, что поиск охватывает все три объекта и занимает не более одного действия от главного экрана. История снижает сервисный барьер при выборе специалиста.</w:t>
      </w:r>
    </w:p>
    <w:p w14:paraId="77054042">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27 — Пользовательская история US-4 «Заявка на справку о налоговом вычете»</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4D58961F">
        <w:tc>
          <w:tcPr>
            <w:tcW w:w="2551" w:type="dxa"/>
            <w:tcBorders>
              <w:top w:val="single" w:color="auto" w:sz="4" w:space="0"/>
              <w:left w:val="single" w:color="auto" w:sz="4" w:space="0"/>
              <w:bottom w:val="single" w:color="auto" w:sz="4" w:space="0"/>
              <w:right w:val="single" w:color="auto" w:sz="4" w:space="0"/>
            </w:tcBorders>
            <w:vAlign w:val="center"/>
          </w:tcPr>
          <w:p w14:paraId="1F7F0D7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6834D19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78DD0AF0">
        <w:tc>
          <w:tcPr>
            <w:tcW w:w="2551" w:type="dxa"/>
            <w:tcBorders>
              <w:top w:val="single" w:color="auto" w:sz="4" w:space="0"/>
              <w:left w:val="single" w:color="auto" w:sz="4" w:space="0"/>
              <w:bottom w:val="single" w:color="auto" w:sz="4" w:space="0"/>
              <w:right w:val="single" w:color="auto" w:sz="4" w:space="0"/>
            </w:tcBorders>
            <w:vAlign w:val="center"/>
          </w:tcPr>
          <w:p w14:paraId="5A83F30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Наименование</w:t>
            </w:r>
          </w:p>
        </w:tc>
        <w:tc>
          <w:tcPr>
            <w:tcW w:w="6803" w:type="dxa"/>
            <w:tcBorders>
              <w:top w:val="single" w:color="auto" w:sz="4" w:space="0"/>
              <w:left w:val="single" w:color="auto" w:sz="4" w:space="0"/>
              <w:bottom w:val="single" w:color="auto" w:sz="4" w:space="0"/>
              <w:right w:val="single" w:color="auto" w:sz="4" w:space="0"/>
            </w:tcBorders>
            <w:vAlign w:val="center"/>
          </w:tcPr>
          <w:p w14:paraId="1310717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Заявка на справку о налоговом вычете</w:t>
            </w:r>
          </w:p>
        </w:tc>
      </w:tr>
      <w:tr w14:paraId="5397185A">
        <w:tc>
          <w:tcPr>
            <w:tcW w:w="2551" w:type="dxa"/>
            <w:tcBorders>
              <w:top w:val="single" w:color="auto" w:sz="4" w:space="0"/>
              <w:left w:val="single" w:color="auto" w:sz="4" w:space="0"/>
              <w:bottom w:val="single" w:color="auto" w:sz="4" w:space="0"/>
              <w:right w:val="single" w:color="auto" w:sz="4" w:space="0"/>
            </w:tcBorders>
            <w:vAlign w:val="center"/>
          </w:tcPr>
          <w:p w14:paraId="52F981F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Описание пользовательской истории</w:t>
            </w:r>
          </w:p>
        </w:tc>
        <w:tc>
          <w:tcPr>
            <w:tcW w:w="6803" w:type="dxa"/>
            <w:tcBorders>
              <w:top w:val="single" w:color="auto" w:sz="4" w:space="0"/>
              <w:left w:val="single" w:color="auto" w:sz="4" w:space="0"/>
              <w:bottom w:val="single" w:color="auto" w:sz="4" w:space="0"/>
              <w:right w:val="single" w:color="auto" w:sz="4" w:space="0"/>
            </w:tcBorders>
            <w:vAlign w:val="center"/>
          </w:tcPr>
          <w:p w14:paraId="48FAABA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Как пациент, оплативший стоматологические услуги за календарный год,</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я хочу подать заявку на справку об оплате медицинских услуг, не посещая регистратуру,</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чтобы приложить её к декларации 3-НДФЛ и получить налоговый вычет.</w:t>
            </w:r>
          </w:p>
        </w:tc>
      </w:tr>
      <w:tr w14:paraId="2946479B">
        <w:tc>
          <w:tcPr>
            <w:tcW w:w="2551" w:type="dxa"/>
            <w:tcBorders>
              <w:top w:val="single" w:color="auto" w:sz="4" w:space="0"/>
              <w:left w:val="single" w:color="auto" w:sz="4" w:space="0"/>
              <w:bottom w:val="single" w:color="auto" w:sz="4" w:space="0"/>
              <w:right w:val="single" w:color="auto" w:sz="4" w:space="0"/>
            </w:tcBorders>
            <w:vAlign w:val="center"/>
          </w:tcPr>
          <w:p w14:paraId="668E1ED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Критерии приёмки</w:t>
            </w:r>
          </w:p>
        </w:tc>
        <w:tc>
          <w:tcPr>
            <w:tcW w:w="6803" w:type="dxa"/>
            <w:tcBorders>
              <w:top w:val="single" w:color="auto" w:sz="4" w:space="0"/>
              <w:left w:val="single" w:color="auto" w:sz="4" w:space="0"/>
              <w:bottom w:val="single" w:color="auto" w:sz="4" w:space="0"/>
              <w:right w:val="single" w:color="auto" w:sz="4" w:space="0"/>
            </w:tcBorders>
            <w:vAlign w:val="center"/>
          </w:tcPr>
          <w:p w14:paraId="7543133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1. Пациент выбирает период, получателя (налогоплательщик или родственник) и указывает ИНН.</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Приложение валидирует 12-значный ИНН до отправки заявки.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После отправки заявка отображается в разделе «Документы» со статусом обработки.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 Справка направляется по электронному документообороту и доступна для скачивания в приложении.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val="en-US" w:eastAsia="ru-RU"/>
                <w14:ligatures w14:val="none"/>
              </w:rPr>
              <w:t>5. Срок рассмотрения заявки не превышает 5 рабочих дней.</w:t>
            </w:r>
          </w:p>
        </w:tc>
      </w:tr>
    </w:tbl>
    <w:p w14:paraId="64232343">
      <w:pPr>
        <w:spacing w:before="0" w:after="0"/>
        <w:ind w:firstLine="709"/>
        <w:jc w:val="both"/>
      </w:pPr>
      <w:r>
        <w:rPr>
          <w:rFonts w:ascii="Times New Roman" w:hAnsi="Times New Roman"/>
          <w:b w:val="0"/>
          <w:sz w:val="28"/>
        </w:rPr>
        <w:t>История US-4 описывает сценарий, при котором пациент, оплативший стоматологические услуги, самостоятельно оформляет через приложение заявку на справку для налогового вычета по НДФЛ. Пациент выбирает налоговый период и получателя, вводит ИНН и электронную почту; система формирует и направляет документы через ЭДО. История устраняет информационный барьер на этапе пост-визитного взаимодействия с клиникой.</w:t>
      </w:r>
    </w:p>
    <w:p w14:paraId="0835D88F">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28 — Вариант использования UC-1 «Оформление записи»</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27A6B580">
        <w:tc>
          <w:tcPr>
            <w:tcW w:w="2551" w:type="dxa"/>
            <w:tcBorders>
              <w:top w:val="single" w:color="auto" w:sz="4" w:space="0"/>
              <w:left w:val="single" w:color="auto" w:sz="4" w:space="0"/>
              <w:bottom w:val="single" w:color="auto" w:sz="4" w:space="0"/>
              <w:right w:val="single" w:color="auto" w:sz="4" w:space="0"/>
            </w:tcBorders>
            <w:vAlign w:val="center"/>
          </w:tcPr>
          <w:p w14:paraId="14C191D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6105695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2600A55E">
        <w:tc>
          <w:tcPr>
            <w:tcW w:w="2551" w:type="dxa"/>
            <w:tcBorders>
              <w:top w:val="single" w:color="auto" w:sz="4" w:space="0"/>
              <w:left w:val="single" w:color="auto" w:sz="4" w:space="0"/>
              <w:bottom w:val="single" w:color="auto" w:sz="4" w:space="0"/>
              <w:right w:val="single" w:color="auto" w:sz="4" w:space="0"/>
            </w:tcBorders>
            <w:vAlign w:val="center"/>
          </w:tcPr>
          <w:p w14:paraId="418DBE4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Название</w:t>
            </w:r>
          </w:p>
        </w:tc>
        <w:tc>
          <w:tcPr>
            <w:tcW w:w="6803" w:type="dxa"/>
            <w:tcBorders>
              <w:top w:val="single" w:color="auto" w:sz="4" w:space="0"/>
              <w:left w:val="single" w:color="auto" w:sz="4" w:space="0"/>
              <w:bottom w:val="single" w:color="auto" w:sz="4" w:space="0"/>
              <w:right w:val="single" w:color="auto" w:sz="4" w:space="0"/>
            </w:tcBorders>
            <w:vAlign w:val="center"/>
          </w:tcPr>
          <w:p w14:paraId="75C8736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Оформление записи</w:t>
            </w:r>
          </w:p>
        </w:tc>
      </w:tr>
      <w:tr w14:paraId="30C4FA4A">
        <w:tc>
          <w:tcPr>
            <w:tcW w:w="2551" w:type="dxa"/>
            <w:tcBorders>
              <w:top w:val="single" w:color="auto" w:sz="4" w:space="0"/>
              <w:left w:val="single" w:color="auto" w:sz="4" w:space="0"/>
              <w:bottom w:val="single" w:color="auto" w:sz="4" w:space="0"/>
              <w:right w:val="single" w:color="auto" w:sz="4" w:space="0"/>
            </w:tcBorders>
            <w:vAlign w:val="center"/>
          </w:tcPr>
          <w:p w14:paraId="01D4C45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Акторы</w:t>
            </w:r>
          </w:p>
        </w:tc>
        <w:tc>
          <w:tcPr>
            <w:tcW w:w="6803" w:type="dxa"/>
            <w:tcBorders>
              <w:top w:val="single" w:color="auto" w:sz="4" w:space="0"/>
              <w:left w:val="single" w:color="auto" w:sz="4" w:space="0"/>
              <w:bottom w:val="single" w:color="auto" w:sz="4" w:space="0"/>
              <w:right w:val="single" w:color="auto" w:sz="4" w:space="0"/>
            </w:tcBorders>
            <w:vAlign w:val="center"/>
          </w:tcPr>
          <w:p w14:paraId="5A7E0CF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система записи, МИС клиники</w:t>
            </w:r>
          </w:p>
        </w:tc>
      </w:tr>
      <w:tr w14:paraId="43793167">
        <w:tc>
          <w:tcPr>
            <w:tcW w:w="2551" w:type="dxa"/>
            <w:tcBorders>
              <w:top w:val="single" w:color="auto" w:sz="4" w:space="0"/>
              <w:left w:val="single" w:color="auto" w:sz="4" w:space="0"/>
              <w:bottom w:val="single" w:color="auto" w:sz="4" w:space="0"/>
              <w:right w:val="single" w:color="auto" w:sz="4" w:space="0"/>
            </w:tcBorders>
            <w:vAlign w:val="center"/>
          </w:tcPr>
          <w:p w14:paraId="0FC2B21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Предусловия</w:t>
            </w:r>
          </w:p>
        </w:tc>
        <w:tc>
          <w:tcPr>
            <w:tcW w:w="6803" w:type="dxa"/>
            <w:tcBorders>
              <w:top w:val="single" w:color="auto" w:sz="4" w:space="0"/>
              <w:left w:val="single" w:color="auto" w:sz="4" w:space="0"/>
              <w:bottom w:val="single" w:color="auto" w:sz="4" w:space="0"/>
              <w:right w:val="single" w:color="auto" w:sz="4" w:space="0"/>
            </w:tcBorders>
            <w:vAlign w:val="center"/>
          </w:tcPr>
          <w:p w14:paraId="3B36E19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Пациент авторизован в приложении по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OTP</w:t>
            </w:r>
            <w:r>
              <w:rPr>
                <w:rFonts w:ascii="Times New Roman" w:hAnsi="Times New Roman" w:eastAsia="Times New Roman" w:cs="Times New Roman"/>
                <w:color w:val="000000"/>
                <w:kern w:val="0"/>
                <w:sz w:val="24"/>
                <w:szCs w:val="24"/>
                <w:lang w:eastAsia="ru-RU"/>
                <w14:ligatures w14:val="none"/>
              </w:rPr>
              <w:t>. Каталог клиник, врачей и услуг загружен.</w:t>
            </w:r>
          </w:p>
        </w:tc>
      </w:tr>
      <w:tr w14:paraId="05BA110C">
        <w:tc>
          <w:tcPr>
            <w:tcW w:w="2551" w:type="dxa"/>
            <w:tcBorders>
              <w:top w:val="single" w:color="auto" w:sz="4" w:space="0"/>
              <w:left w:val="single" w:color="auto" w:sz="4" w:space="0"/>
              <w:bottom w:val="single" w:color="auto" w:sz="4" w:space="0"/>
              <w:right w:val="single" w:color="auto" w:sz="4" w:space="0"/>
            </w:tcBorders>
            <w:vAlign w:val="center"/>
          </w:tcPr>
          <w:p w14:paraId="1B69043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Постусловие</w:t>
            </w:r>
          </w:p>
        </w:tc>
        <w:tc>
          <w:tcPr>
            <w:tcW w:w="6803" w:type="dxa"/>
            <w:tcBorders>
              <w:top w:val="single" w:color="auto" w:sz="4" w:space="0"/>
              <w:left w:val="single" w:color="auto" w:sz="4" w:space="0"/>
              <w:bottom w:val="single" w:color="auto" w:sz="4" w:space="0"/>
              <w:right w:val="single" w:color="auto" w:sz="4" w:space="0"/>
            </w:tcBorders>
            <w:vAlign w:val="center"/>
          </w:tcPr>
          <w:p w14:paraId="26D2F2D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 расписании врача появляется новая запись. Пациент получает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-подтверждение, запись отображается на главном экране.</w:t>
            </w:r>
          </w:p>
        </w:tc>
      </w:tr>
      <w:tr w14:paraId="24950BA8">
        <w:tc>
          <w:tcPr>
            <w:tcW w:w="2551" w:type="dxa"/>
            <w:tcBorders>
              <w:top w:val="single" w:color="auto" w:sz="4" w:space="0"/>
              <w:left w:val="single" w:color="auto" w:sz="4" w:space="0"/>
              <w:bottom w:val="single" w:color="auto" w:sz="4" w:space="0"/>
              <w:right w:val="single" w:color="auto" w:sz="4" w:space="0"/>
            </w:tcBorders>
            <w:vAlign w:val="center"/>
          </w:tcPr>
          <w:p w14:paraId="4E2CBA0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Триггер</w:t>
            </w:r>
          </w:p>
        </w:tc>
        <w:tc>
          <w:tcPr>
            <w:tcW w:w="6803" w:type="dxa"/>
            <w:tcBorders>
              <w:top w:val="single" w:color="auto" w:sz="4" w:space="0"/>
              <w:left w:val="single" w:color="auto" w:sz="4" w:space="0"/>
              <w:bottom w:val="single" w:color="auto" w:sz="4" w:space="0"/>
              <w:right w:val="single" w:color="auto" w:sz="4" w:space="0"/>
            </w:tcBorders>
            <w:vAlign w:val="center"/>
          </w:tcPr>
          <w:p w14:paraId="24E948A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нажимает «Записаться» на главном экране приложения.</w:t>
            </w:r>
          </w:p>
        </w:tc>
      </w:tr>
      <w:tr w14:paraId="21671EA8">
        <w:tc>
          <w:tcPr>
            <w:tcW w:w="2551" w:type="dxa"/>
            <w:tcBorders>
              <w:top w:val="single" w:color="auto" w:sz="4" w:space="0"/>
              <w:left w:val="single" w:color="auto" w:sz="4" w:space="0"/>
              <w:bottom w:val="single" w:color="auto" w:sz="4" w:space="0"/>
              <w:right w:val="single" w:color="auto" w:sz="4" w:space="0"/>
            </w:tcBorders>
            <w:vAlign w:val="center"/>
          </w:tcPr>
          <w:p w14:paraId="04ECEF7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Нормальный сценарий</w:t>
            </w:r>
          </w:p>
        </w:tc>
        <w:tc>
          <w:tcPr>
            <w:tcW w:w="6803" w:type="dxa"/>
            <w:tcBorders>
              <w:top w:val="single" w:color="auto" w:sz="4" w:space="0"/>
              <w:left w:val="single" w:color="auto" w:sz="4" w:space="0"/>
              <w:bottom w:val="single" w:color="auto" w:sz="4" w:space="0"/>
              <w:right w:val="single" w:color="auto" w:sz="4" w:space="0"/>
            </w:tcBorders>
            <w:vAlign w:val="center"/>
          </w:tcPr>
          <w:p w14:paraId="10AB945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1. Пациент выбирает услугу.</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Приложение предлагает подходящие клиники и врачей.</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Пациент выбирает врача и видит свободные слоты на 14 дней.</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 Пациент выбирает слот и подтверждает запись.</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 Система бронирует слот в МИС клиники и сохраняет запись в БД.</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 xml:space="preserve">6. </w:t>
            </w:r>
            <w:r>
              <w:rPr>
                <w:rFonts w:ascii="Times New Roman" w:hAnsi="Times New Roman" w:eastAsia="Times New Roman" w:cs="Times New Roman"/>
                <w:color w:val="000000"/>
                <w:kern w:val="0"/>
                <w:sz w:val="24"/>
                <w:szCs w:val="24"/>
                <w:lang w:val="en-US" w:eastAsia="ru-RU"/>
                <w14:ligatures w14:val="none"/>
              </w:rPr>
              <w:t>Пациенту приходит SMS-подтверждение; запись появляется на главном экране.</w:t>
            </w:r>
          </w:p>
        </w:tc>
      </w:tr>
      <w:tr w14:paraId="0A3C036F">
        <w:tc>
          <w:tcPr>
            <w:tcW w:w="2551" w:type="dxa"/>
            <w:tcBorders>
              <w:top w:val="single" w:color="auto" w:sz="4" w:space="0"/>
              <w:left w:val="single" w:color="auto" w:sz="4" w:space="0"/>
              <w:bottom w:val="single" w:color="auto" w:sz="4" w:space="0"/>
              <w:right w:val="single" w:color="auto" w:sz="4" w:space="0"/>
            </w:tcBorders>
            <w:vAlign w:val="center"/>
          </w:tcPr>
          <w:p w14:paraId="0C0FE45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Альтернативный сценарий 1</w:t>
            </w:r>
          </w:p>
        </w:tc>
        <w:tc>
          <w:tcPr>
            <w:tcW w:w="6803" w:type="dxa"/>
            <w:tcBorders>
              <w:top w:val="single" w:color="auto" w:sz="4" w:space="0"/>
              <w:left w:val="single" w:color="auto" w:sz="4" w:space="0"/>
              <w:bottom w:val="single" w:color="auto" w:sz="4" w:space="0"/>
              <w:right w:val="single" w:color="auto" w:sz="4" w:space="0"/>
            </w:tcBorders>
            <w:vAlign w:val="center"/>
          </w:tcPr>
          <w:p w14:paraId="58B7476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3а. Выбранный слот занят другим пациентом.</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3а.1. Система блокирует подтверждение и предлагает ближайшие альтернативные слоты.</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val="en-US" w:eastAsia="ru-RU"/>
                <w14:ligatures w14:val="none"/>
              </w:rPr>
              <w:t>3а.2. Пациент выбирает другой слот и возвращается к шагу 4.</w:t>
            </w:r>
          </w:p>
        </w:tc>
      </w:tr>
      <w:tr w14:paraId="1B16381F">
        <w:tc>
          <w:tcPr>
            <w:tcW w:w="2551" w:type="dxa"/>
            <w:tcBorders>
              <w:top w:val="single" w:color="auto" w:sz="4" w:space="0"/>
              <w:left w:val="single" w:color="auto" w:sz="4" w:space="0"/>
              <w:bottom w:val="single" w:color="auto" w:sz="4" w:space="0"/>
              <w:right w:val="single" w:color="auto" w:sz="4" w:space="0"/>
            </w:tcBorders>
            <w:vAlign w:val="center"/>
          </w:tcPr>
          <w:p w14:paraId="3B5C5CD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Альтернативный сценарий 2</w:t>
            </w:r>
          </w:p>
        </w:tc>
        <w:tc>
          <w:tcPr>
            <w:tcW w:w="6803" w:type="dxa"/>
            <w:tcBorders>
              <w:top w:val="single" w:color="auto" w:sz="4" w:space="0"/>
              <w:left w:val="single" w:color="auto" w:sz="4" w:space="0"/>
              <w:bottom w:val="single" w:color="auto" w:sz="4" w:space="0"/>
              <w:right w:val="single" w:color="auto" w:sz="4" w:space="0"/>
            </w:tcBorders>
            <w:vAlign w:val="center"/>
          </w:tcPr>
          <w:p w14:paraId="616281B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5а. МИС клиники недоступна.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5а.1. Система сохраняет запись в очереди и показывает пациенту статус «Подтверждается».</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 xml:space="preserve">5а.2. После восстановления связи запись синхронизируется с МИС, пациенту приходит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-подтверждение.</w:t>
            </w:r>
          </w:p>
        </w:tc>
      </w:tr>
    </w:tbl>
    <w:p w14:paraId="54992B49">
      <w:pPr>
        <w:spacing w:before="0" w:after="0"/>
        <w:ind w:firstLine="709"/>
        <w:jc w:val="both"/>
      </w:pPr>
      <w:r>
        <w:rPr>
          <w:rFonts w:ascii="Times New Roman" w:hAnsi="Times New Roman"/>
          <w:b w:val="0"/>
          <w:sz w:val="28"/>
        </w:rPr>
        <w:t>Вариант использования UC-1 представлен в формате стандартной спецификации: акторы, предусловия, постусловие, триггер, нормальный сценарий и альтернативные ветки. Акторами выступают пациент, система записи и МИС клиники. Нормальный сценарий предполагает выбор услуги, врача и временного слота, подтверждение и получение push-уведомления; при недоступности выбранного слота предусмотрен альтернативный путь. UC-1 реализует функциональные требования FR-01, FR-02 и FR-07.</w:t>
      </w:r>
    </w:p>
    <w:p w14:paraId="3E73C86A">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29 — Вариант использования UC-2 «Поиск врача и просмотр окон записи»</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0A7D5772">
        <w:tc>
          <w:tcPr>
            <w:tcW w:w="2551" w:type="dxa"/>
            <w:tcBorders>
              <w:top w:val="single" w:color="auto" w:sz="4" w:space="0"/>
              <w:left w:val="single" w:color="auto" w:sz="4" w:space="0"/>
              <w:bottom w:val="single" w:color="auto" w:sz="4" w:space="0"/>
              <w:right w:val="single" w:color="auto" w:sz="4" w:space="0"/>
            </w:tcBorders>
            <w:vAlign w:val="center"/>
          </w:tcPr>
          <w:p w14:paraId="7ADC6B7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75138FB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1219C59C">
        <w:tc>
          <w:tcPr>
            <w:tcW w:w="2551" w:type="dxa"/>
            <w:tcBorders>
              <w:top w:val="single" w:color="auto" w:sz="4" w:space="0"/>
              <w:left w:val="single" w:color="auto" w:sz="4" w:space="0"/>
              <w:bottom w:val="single" w:color="auto" w:sz="4" w:space="0"/>
              <w:right w:val="single" w:color="auto" w:sz="4" w:space="0"/>
            </w:tcBorders>
            <w:vAlign w:val="center"/>
          </w:tcPr>
          <w:p w14:paraId="05905C8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Название</w:t>
            </w:r>
          </w:p>
        </w:tc>
        <w:tc>
          <w:tcPr>
            <w:tcW w:w="6803" w:type="dxa"/>
            <w:tcBorders>
              <w:top w:val="single" w:color="auto" w:sz="4" w:space="0"/>
              <w:left w:val="single" w:color="auto" w:sz="4" w:space="0"/>
              <w:bottom w:val="single" w:color="auto" w:sz="4" w:space="0"/>
              <w:right w:val="single" w:color="auto" w:sz="4" w:space="0"/>
            </w:tcBorders>
            <w:vAlign w:val="center"/>
          </w:tcPr>
          <w:p w14:paraId="0E3B402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Поиск врача и просмотр окон записи</w:t>
            </w:r>
          </w:p>
        </w:tc>
      </w:tr>
      <w:tr w14:paraId="1F364242">
        <w:tc>
          <w:tcPr>
            <w:tcW w:w="2551" w:type="dxa"/>
            <w:tcBorders>
              <w:top w:val="single" w:color="auto" w:sz="4" w:space="0"/>
              <w:left w:val="single" w:color="auto" w:sz="4" w:space="0"/>
              <w:bottom w:val="single" w:color="auto" w:sz="4" w:space="0"/>
              <w:right w:val="single" w:color="auto" w:sz="4" w:space="0"/>
            </w:tcBorders>
            <w:vAlign w:val="center"/>
          </w:tcPr>
          <w:p w14:paraId="01BE9B3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Акторы</w:t>
            </w:r>
          </w:p>
        </w:tc>
        <w:tc>
          <w:tcPr>
            <w:tcW w:w="6803" w:type="dxa"/>
            <w:tcBorders>
              <w:top w:val="single" w:color="auto" w:sz="4" w:space="0"/>
              <w:left w:val="single" w:color="auto" w:sz="4" w:space="0"/>
              <w:bottom w:val="single" w:color="auto" w:sz="4" w:space="0"/>
              <w:right w:val="single" w:color="auto" w:sz="4" w:space="0"/>
            </w:tcBorders>
            <w:vAlign w:val="center"/>
          </w:tcPr>
          <w:p w14:paraId="085425A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поисковый сервис, сервис расписаний</w:t>
            </w:r>
          </w:p>
        </w:tc>
      </w:tr>
      <w:tr w14:paraId="757E89D8">
        <w:tc>
          <w:tcPr>
            <w:tcW w:w="2551" w:type="dxa"/>
            <w:tcBorders>
              <w:top w:val="single" w:color="auto" w:sz="4" w:space="0"/>
              <w:left w:val="single" w:color="auto" w:sz="4" w:space="0"/>
              <w:bottom w:val="single" w:color="auto" w:sz="4" w:space="0"/>
              <w:right w:val="single" w:color="auto" w:sz="4" w:space="0"/>
            </w:tcBorders>
            <w:vAlign w:val="center"/>
          </w:tcPr>
          <w:p w14:paraId="7F98915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Предусловия</w:t>
            </w:r>
          </w:p>
        </w:tc>
        <w:tc>
          <w:tcPr>
            <w:tcW w:w="6803" w:type="dxa"/>
            <w:tcBorders>
              <w:top w:val="single" w:color="auto" w:sz="4" w:space="0"/>
              <w:left w:val="single" w:color="auto" w:sz="4" w:space="0"/>
              <w:bottom w:val="single" w:color="auto" w:sz="4" w:space="0"/>
              <w:right w:val="single" w:color="auto" w:sz="4" w:space="0"/>
            </w:tcBorders>
            <w:vAlign w:val="center"/>
          </w:tcPr>
          <w:p w14:paraId="1B0DA4F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авторизован. Приложение имеет доступ к интернету.</w:t>
            </w:r>
          </w:p>
        </w:tc>
      </w:tr>
      <w:tr w14:paraId="0A50C4E5">
        <w:tc>
          <w:tcPr>
            <w:tcW w:w="2551" w:type="dxa"/>
            <w:tcBorders>
              <w:top w:val="single" w:color="auto" w:sz="4" w:space="0"/>
              <w:left w:val="single" w:color="auto" w:sz="4" w:space="0"/>
              <w:bottom w:val="single" w:color="auto" w:sz="4" w:space="0"/>
              <w:right w:val="single" w:color="auto" w:sz="4" w:space="0"/>
            </w:tcBorders>
            <w:vAlign w:val="center"/>
          </w:tcPr>
          <w:p w14:paraId="127B15D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Постусловие</w:t>
            </w:r>
          </w:p>
        </w:tc>
        <w:tc>
          <w:tcPr>
            <w:tcW w:w="6803" w:type="dxa"/>
            <w:tcBorders>
              <w:top w:val="single" w:color="auto" w:sz="4" w:space="0"/>
              <w:left w:val="single" w:color="auto" w:sz="4" w:space="0"/>
              <w:bottom w:val="single" w:color="auto" w:sz="4" w:space="0"/>
              <w:right w:val="single" w:color="auto" w:sz="4" w:space="0"/>
            </w:tcBorders>
            <w:vAlign w:val="center"/>
          </w:tcPr>
          <w:p w14:paraId="1700873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На экране отображается список врачей с ближайшими свободными слотами; выбор врача ведёт к оформлению записи.</w:t>
            </w:r>
          </w:p>
        </w:tc>
      </w:tr>
      <w:tr w14:paraId="0DD1A04A">
        <w:tc>
          <w:tcPr>
            <w:tcW w:w="2551" w:type="dxa"/>
            <w:tcBorders>
              <w:top w:val="single" w:color="auto" w:sz="4" w:space="0"/>
              <w:left w:val="single" w:color="auto" w:sz="4" w:space="0"/>
              <w:bottom w:val="single" w:color="auto" w:sz="4" w:space="0"/>
              <w:right w:val="single" w:color="auto" w:sz="4" w:space="0"/>
            </w:tcBorders>
            <w:vAlign w:val="center"/>
          </w:tcPr>
          <w:p w14:paraId="579E2C3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Триггер</w:t>
            </w:r>
          </w:p>
        </w:tc>
        <w:tc>
          <w:tcPr>
            <w:tcW w:w="6803" w:type="dxa"/>
            <w:tcBorders>
              <w:top w:val="single" w:color="auto" w:sz="4" w:space="0"/>
              <w:left w:val="single" w:color="auto" w:sz="4" w:space="0"/>
              <w:bottom w:val="single" w:color="auto" w:sz="4" w:space="0"/>
              <w:right w:val="single" w:color="auto" w:sz="4" w:space="0"/>
            </w:tcBorders>
            <w:vAlign w:val="center"/>
          </w:tcPr>
          <w:p w14:paraId="6A139F42">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открывает поиск на главном экране и вводит имя врача или специализацию.</w:t>
            </w:r>
          </w:p>
        </w:tc>
      </w:tr>
      <w:tr w14:paraId="295E9CD9">
        <w:tc>
          <w:tcPr>
            <w:tcW w:w="2551" w:type="dxa"/>
            <w:tcBorders>
              <w:top w:val="single" w:color="auto" w:sz="4" w:space="0"/>
              <w:left w:val="single" w:color="auto" w:sz="4" w:space="0"/>
              <w:bottom w:val="single" w:color="auto" w:sz="4" w:space="0"/>
              <w:right w:val="single" w:color="auto" w:sz="4" w:space="0"/>
            </w:tcBorders>
            <w:vAlign w:val="center"/>
          </w:tcPr>
          <w:p w14:paraId="3DFEED4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Нормальный сценарий</w:t>
            </w:r>
          </w:p>
        </w:tc>
        <w:tc>
          <w:tcPr>
            <w:tcW w:w="6803" w:type="dxa"/>
            <w:tcBorders>
              <w:top w:val="single" w:color="auto" w:sz="4" w:space="0"/>
              <w:left w:val="single" w:color="auto" w:sz="4" w:space="0"/>
              <w:bottom w:val="single" w:color="auto" w:sz="4" w:space="0"/>
              <w:right w:val="single" w:color="auto" w:sz="4" w:space="0"/>
            </w:tcBorders>
            <w:vAlign w:val="center"/>
          </w:tcPr>
          <w:p w14:paraId="77E1B80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1. Пациент вводит запрос в поисковой строке.</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Приложение показывает подсказки автодополнения.</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Пациент выбирает нужный результат (врач, клиника, услуга).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 Система отображает карточку врача с рейтингом, специализацией и ближайшим свободным слотом.</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val="en-US" w:eastAsia="ru-RU"/>
                <w14:ligatures w14:val="none"/>
              </w:rPr>
              <w:t>5. Пациент переходит к оформлению записи по варианту использования 1.</w:t>
            </w:r>
          </w:p>
        </w:tc>
      </w:tr>
      <w:tr w14:paraId="2492AD88">
        <w:tc>
          <w:tcPr>
            <w:tcW w:w="2551" w:type="dxa"/>
            <w:tcBorders>
              <w:top w:val="single" w:color="auto" w:sz="4" w:space="0"/>
              <w:left w:val="single" w:color="auto" w:sz="4" w:space="0"/>
              <w:bottom w:val="single" w:color="auto" w:sz="4" w:space="0"/>
              <w:right w:val="single" w:color="auto" w:sz="4" w:space="0"/>
            </w:tcBorders>
            <w:vAlign w:val="center"/>
          </w:tcPr>
          <w:p w14:paraId="2DB3E74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Альтернативный сценарий 1</w:t>
            </w:r>
          </w:p>
        </w:tc>
        <w:tc>
          <w:tcPr>
            <w:tcW w:w="6803" w:type="dxa"/>
            <w:tcBorders>
              <w:top w:val="single" w:color="auto" w:sz="4" w:space="0"/>
              <w:left w:val="single" w:color="auto" w:sz="4" w:space="0"/>
              <w:bottom w:val="single" w:color="auto" w:sz="4" w:space="0"/>
              <w:right w:val="single" w:color="auto" w:sz="4" w:space="0"/>
            </w:tcBorders>
            <w:vAlign w:val="center"/>
          </w:tcPr>
          <w:p w14:paraId="69BD773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1а. Пациент не уверен в точной специализации врача.</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1а.1. Пациент открывает каталог услуг и выбирает категорию.</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val="en-US" w:eastAsia="ru-RU"/>
                <w14:ligatures w14:val="none"/>
              </w:rPr>
              <w:t>1а.2. Приложение отображает врачей соответствующей специализации с ближайшими слотами.</w:t>
            </w:r>
          </w:p>
        </w:tc>
      </w:tr>
      <w:tr w14:paraId="553CCA66">
        <w:tc>
          <w:tcPr>
            <w:tcW w:w="2551" w:type="dxa"/>
            <w:tcBorders>
              <w:top w:val="single" w:color="auto" w:sz="4" w:space="0"/>
              <w:left w:val="single" w:color="auto" w:sz="4" w:space="0"/>
              <w:bottom w:val="single" w:color="auto" w:sz="4" w:space="0"/>
              <w:right w:val="single" w:color="auto" w:sz="4" w:space="0"/>
            </w:tcBorders>
            <w:vAlign w:val="center"/>
          </w:tcPr>
          <w:p w14:paraId="2A17F14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Альтернативный сценарий 2</w:t>
            </w:r>
          </w:p>
        </w:tc>
        <w:tc>
          <w:tcPr>
            <w:tcW w:w="6803" w:type="dxa"/>
            <w:tcBorders>
              <w:top w:val="single" w:color="auto" w:sz="4" w:space="0"/>
              <w:left w:val="single" w:color="auto" w:sz="4" w:space="0"/>
              <w:bottom w:val="single" w:color="auto" w:sz="4" w:space="0"/>
              <w:right w:val="single" w:color="auto" w:sz="4" w:space="0"/>
            </w:tcBorders>
            <w:vAlign w:val="center"/>
          </w:tcPr>
          <w:p w14:paraId="738F22F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4а. У выбранного врача нет свободных слотов на 14 дней.</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4а.1. Система предлагает врачей с аналогичной специализацией в той же клинике.</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val="en-US" w:eastAsia="ru-RU"/>
                <w14:ligatures w14:val="none"/>
              </w:rPr>
              <w:t>4а.2. Пациент выбирает альтернативного врача и возвращается к шагу 4.</w:t>
            </w:r>
          </w:p>
        </w:tc>
      </w:tr>
    </w:tbl>
    <w:p w14:paraId="36384AD7">
      <w:pPr>
        <w:spacing w:before="0" w:after="0"/>
        <w:ind w:firstLine="709"/>
        <w:jc w:val="both"/>
      </w:pPr>
      <w:r>
        <w:rPr>
          <w:rFonts w:ascii="Times New Roman" w:hAnsi="Times New Roman"/>
          <w:b w:val="0"/>
          <w:sz w:val="28"/>
        </w:rPr>
        <w:t>UC-2 описывает сценарий поиска врача с отображением ближайших свободных слотов в расписании. Акторами выступают пациент, поисковый сервис и сервис расписания. Предусловие — авторизованный пользователь с подключением к сети; постусловием является отображение списка врачей с актуальными слотами. Вариант использования реализует требования FR-07 и FR-12, обеспечивая самостоятельный поиск без звонка в регистратуру.</w:t>
      </w:r>
    </w:p>
    <w:p w14:paraId="182D8A4B">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30 — Вариант использования UC-3 «Оформление заявки на налоговый вычет»</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11194AAD">
        <w:tc>
          <w:tcPr>
            <w:tcW w:w="2551" w:type="dxa"/>
            <w:tcBorders>
              <w:top w:val="single" w:color="auto" w:sz="4" w:space="0"/>
              <w:left w:val="single" w:color="auto" w:sz="4" w:space="0"/>
              <w:bottom w:val="single" w:color="auto" w:sz="4" w:space="0"/>
              <w:right w:val="single" w:color="auto" w:sz="4" w:space="0"/>
            </w:tcBorders>
            <w:vAlign w:val="center"/>
          </w:tcPr>
          <w:p w14:paraId="261F0D8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6803" w:type="dxa"/>
            <w:tcBorders>
              <w:top w:val="single" w:color="auto" w:sz="4" w:space="0"/>
              <w:left w:val="single" w:color="auto" w:sz="4" w:space="0"/>
              <w:bottom w:val="single" w:color="auto" w:sz="4" w:space="0"/>
              <w:right w:val="single" w:color="auto" w:sz="4" w:space="0"/>
            </w:tcBorders>
            <w:vAlign w:val="center"/>
          </w:tcPr>
          <w:p w14:paraId="1057BDC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Содержание</w:t>
            </w:r>
          </w:p>
        </w:tc>
      </w:tr>
      <w:tr w14:paraId="290E1DBB">
        <w:tc>
          <w:tcPr>
            <w:tcW w:w="2551" w:type="dxa"/>
            <w:tcBorders>
              <w:top w:val="single" w:color="auto" w:sz="4" w:space="0"/>
              <w:left w:val="single" w:color="auto" w:sz="4" w:space="0"/>
              <w:bottom w:val="single" w:color="auto" w:sz="4" w:space="0"/>
              <w:right w:val="single" w:color="auto" w:sz="4" w:space="0"/>
            </w:tcBorders>
            <w:vAlign w:val="center"/>
          </w:tcPr>
          <w:p w14:paraId="1252833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Название</w:t>
            </w:r>
          </w:p>
        </w:tc>
        <w:tc>
          <w:tcPr>
            <w:tcW w:w="6803" w:type="dxa"/>
            <w:tcBorders>
              <w:top w:val="single" w:color="auto" w:sz="4" w:space="0"/>
              <w:left w:val="single" w:color="auto" w:sz="4" w:space="0"/>
              <w:bottom w:val="single" w:color="auto" w:sz="4" w:space="0"/>
              <w:right w:val="single" w:color="auto" w:sz="4" w:space="0"/>
            </w:tcBorders>
            <w:vAlign w:val="center"/>
          </w:tcPr>
          <w:p w14:paraId="0280FA4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Оформление заявки на налоговый вычет</w:t>
            </w:r>
          </w:p>
        </w:tc>
      </w:tr>
      <w:tr w14:paraId="7B1B2B04">
        <w:tc>
          <w:tcPr>
            <w:tcW w:w="2551" w:type="dxa"/>
            <w:tcBorders>
              <w:top w:val="single" w:color="auto" w:sz="4" w:space="0"/>
              <w:left w:val="single" w:color="auto" w:sz="4" w:space="0"/>
              <w:bottom w:val="single" w:color="auto" w:sz="4" w:space="0"/>
              <w:right w:val="single" w:color="auto" w:sz="4" w:space="0"/>
            </w:tcBorders>
            <w:vAlign w:val="center"/>
          </w:tcPr>
          <w:p w14:paraId="1D9761A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Акторы</w:t>
            </w:r>
          </w:p>
        </w:tc>
        <w:tc>
          <w:tcPr>
            <w:tcW w:w="6803" w:type="dxa"/>
            <w:tcBorders>
              <w:top w:val="single" w:color="auto" w:sz="4" w:space="0"/>
              <w:left w:val="single" w:color="auto" w:sz="4" w:space="0"/>
              <w:bottom w:val="single" w:color="auto" w:sz="4" w:space="0"/>
              <w:right w:val="single" w:color="auto" w:sz="4" w:space="0"/>
            </w:tcBorders>
            <w:vAlign w:val="center"/>
          </w:tcPr>
          <w:p w14:paraId="538A48E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сервис документов, ЭДО клиники</w:t>
            </w:r>
          </w:p>
        </w:tc>
      </w:tr>
      <w:tr w14:paraId="04FCCE7C">
        <w:tc>
          <w:tcPr>
            <w:tcW w:w="2551" w:type="dxa"/>
            <w:tcBorders>
              <w:top w:val="single" w:color="auto" w:sz="4" w:space="0"/>
              <w:left w:val="single" w:color="auto" w:sz="4" w:space="0"/>
              <w:bottom w:val="single" w:color="auto" w:sz="4" w:space="0"/>
              <w:right w:val="single" w:color="auto" w:sz="4" w:space="0"/>
            </w:tcBorders>
            <w:vAlign w:val="center"/>
          </w:tcPr>
          <w:p w14:paraId="5C4E30A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Предусловия</w:t>
            </w:r>
          </w:p>
        </w:tc>
        <w:tc>
          <w:tcPr>
            <w:tcW w:w="6803" w:type="dxa"/>
            <w:tcBorders>
              <w:top w:val="single" w:color="auto" w:sz="4" w:space="0"/>
              <w:left w:val="single" w:color="auto" w:sz="4" w:space="0"/>
              <w:bottom w:val="single" w:color="auto" w:sz="4" w:space="0"/>
              <w:right w:val="single" w:color="auto" w:sz="4" w:space="0"/>
            </w:tcBorders>
            <w:vAlign w:val="center"/>
          </w:tcPr>
          <w:p w14:paraId="3EACC48B">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авторизован. В учётной записи есть оплаченные визиты за выбранный период.</w:t>
            </w:r>
          </w:p>
        </w:tc>
      </w:tr>
      <w:tr w14:paraId="2AD3D18C">
        <w:tc>
          <w:tcPr>
            <w:tcW w:w="2551" w:type="dxa"/>
            <w:tcBorders>
              <w:top w:val="single" w:color="auto" w:sz="4" w:space="0"/>
              <w:left w:val="single" w:color="auto" w:sz="4" w:space="0"/>
              <w:bottom w:val="single" w:color="auto" w:sz="4" w:space="0"/>
              <w:right w:val="single" w:color="auto" w:sz="4" w:space="0"/>
            </w:tcBorders>
            <w:vAlign w:val="center"/>
          </w:tcPr>
          <w:p w14:paraId="718A112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Постусловие</w:t>
            </w:r>
          </w:p>
        </w:tc>
        <w:tc>
          <w:tcPr>
            <w:tcW w:w="6803" w:type="dxa"/>
            <w:tcBorders>
              <w:top w:val="single" w:color="auto" w:sz="4" w:space="0"/>
              <w:left w:val="single" w:color="auto" w:sz="4" w:space="0"/>
              <w:bottom w:val="single" w:color="auto" w:sz="4" w:space="0"/>
              <w:right w:val="single" w:color="auto" w:sz="4" w:space="0"/>
            </w:tcBorders>
            <w:vAlign w:val="center"/>
          </w:tcPr>
          <w:p w14:paraId="58C2235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Заявка зарегистрирована, справка об оплате медицинских услуг по ст. 219 НК РФ направлена пациенту по ЭДО.</w:t>
            </w:r>
          </w:p>
        </w:tc>
      </w:tr>
      <w:tr w14:paraId="569E19B6">
        <w:tc>
          <w:tcPr>
            <w:tcW w:w="2551" w:type="dxa"/>
            <w:tcBorders>
              <w:top w:val="single" w:color="auto" w:sz="4" w:space="0"/>
              <w:left w:val="single" w:color="auto" w:sz="4" w:space="0"/>
              <w:bottom w:val="single" w:color="auto" w:sz="4" w:space="0"/>
              <w:right w:val="single" w:color="auto" w:sz="4" w:space="0"/>
            </w:tcBorders>
            <w:vAlign w:val="center"/>
          </w:tcPr>
          <w:p w14:paraId="1B1AC02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Триггер</w:t>
            </w:r>
          </w:p>
        </w:tc>
        <w:tc>
          <w:tcPr>
            <w:tcW w:w="6803" w:type="dxa"/>
            <w:tcBorders>
              <w:top w:val="single" w:color="auto" w:sz="4" w:space="0"/>
              <w:left w:val="single" w:color="auto" w:sz="4" w:space="0"/>
              <w:bottom w:val="single" w:color="auto" w:sz="4" w:space="0"/>
              <w:right w:val="single" w:color="auto" w:sz="4" w:space="0"/>
            </w:tcBorders>
            <w:vAlign w:val="center"/>
          </w:tcPr>
          <w:p w14:paraId="6C49646A">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Пациент открывает раздел «Документы» и нажимает «Получить справку для налогового вычета».</w:t>
            </w:r>
          </w:p>
        </w:tc>
      </w:tr>
      <w:tr w14:paraId="45A73EAF">
        <w:tc>
          <w:tcPr>
            <w:tcW w:w="2551" w:type="dxa"/>
            <w:tcBorders>
              <w:top w:val="single" w:color="auto" w:sz="4" w:space="0"/>
              <w:left w:val="single" w:color="auto" w:sz="4" w:space="0"/>
              <w:bottom w:val="single" w:color="auto" w:sz="4" w:space="0"/>
              <w:right w:val="single" w:color="auto" w:sz="4" w:space="0"/>
            </w:tcBorders>
            <w:vAlign w:val="center"/>
          </w:tcPr>
          <w:p w14:paraId="0A4D47D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Нормальный сценарий</w:t>
            </w:r>
          </w:p>
        </w:tc>
        <w:tc>
          <w:tcPr>
            <w:tcW w:w="6803" w:type="dxa"/>
            <w:tcBorders>
              <w:top w:val="single" w:color="auto" w:sz="4" w:space="0"/>
              <w:left w:val="single" w:color="auto" w:sz="4" w:space="0"/>
              <w:bottom w:val="single" w:color="auto" w:sz="4" w:space="0"/>
              <w:right w:val="single" w:color="auto" w:sz="4" w:space="0"/>
            </w:tcBorders>
            <w:vAlign w:val="center"/>
          </w:tcPr>
          <w:p w14:paraId="51C9CC1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1. Пациент выбирает налоговый период (год).</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2. Пациент указывает получателя (налогоплательщик или родственник) и вводит ИНН.</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 Приложение проверяет формат ИНН и наличие оплаченных визитов в выбранном периоде.</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4. Пациент подтверждает отправку заявки.</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 Сервис документов формирует справку установленной формы и направляет её по ЭДО.</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6. Заявка переходит в статус «Готово», справка доступна для скачивания в приложении.</w:t>
            </w:r>
          </w:p>
        </w:tc>
      </w:tr>
      <w:tr w14:paraId="11E9C43F">
        <w:tc>
          <w:tcPr>
            <w:tcW w:w="2551" w:type="dxa"/>
            <w:tcBorders>
              <w:top w:val="single" w:color="auto" w:sz="4" w:space="0"/>
              <w:left w:val="single" w:color="auto" w:sz="4" w:space="0"/>
              <w:bottom w:val="single" w:color="auto" w:sz="4" w:space="0"/>
              <w:right w:val="single" w:color="auto" w:sz="4" w:space="0"/>
            </w:tcBorders>
            <w:vAlign w:val="center"/>
          </w:tcPr>
          <w:p w14:paraId="3C1C9F7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Альтернативный сценарий 1</w:t>
            </w:r>
          </w:p>
        </w:tc>
        <w:tc>
          <w:tcPr>
            <w:tcW w:w="6803" w:type="dxa"/>
            <w:tcBorders>
              <w:top w:val="single" w:color="auto" w:sz="4" w:space="0"/>
              <w:left w:val="single" w:color="auto" w:sz="4" w:space="0"/>
              <w:bottom w:val="single" w:color="auto" w:sz="4" w:space="0"/>
              <w:right w:val="single" w:color="auto" w:sz="4" w:space="0"/>
            </w:tcBorders>
            <w:vAlign w:val="center"/>
          </w:tcPr>
          <w:p w14:paraId="311F1EB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3а. В выбранном периоде нет оплаченных визитов.</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3а.1. Приложение сообщает пациенту об отсутствии данных для справки и предлагает выбрать другой период.</w:t>
            </w:r>
          </w:p>
        </w:tc>
      </w:tr>
      <w:tr w14:paraId="1CE6FF90">
        <w:tc>
          <w:tcPr>
            <w:tcW w:w="2551" w:type="dxa"/>
            <w:tcBorders>
              <w:top w:val="single" w:color="auto" w:sz="4" w:space="0"/>
              <w:left w:val="single" w:color="auto" w:sz="4" w:space="0"/>
              <w:bottom w:val="single" w:color="auto" w:sz="4" w:space="0"/>
              <w:right w:val="single" w:color="auto" w:sz="4" w:space="0"/>
            </w:tcBorders>
            <w:vAlign w:val="center"/>
          </w:tcPr>
          <w:p w14:paraId="501A6B1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Альтернативный сценарий 2</w:t>
            </w:r>
          </w:p>
        </w:tc>
        <w:tc>
          <w:tcPr>
            <w:tcW w:w="6803" w:type="dxa"/>
            <w:tcBorders>
              <w:top w:val="single" w:color="auto" w:sz="4" w:space="0"/>
              <w:left w:val="single" w:color="auto" w:sz="4" w:space="0"/>
              <w:bottom w:val="single" w:color="auto" w:sz="4" w:space="0"/>
              <w:right w:val="single" w:color="auto" w:sz="4" w:space="0"/>
            </w:tcBorders>
            <w:vAlign w:val="center"/>
          </w:tcPr>
          <w:p w14:paraId="208B592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5а. Канал ЭДО временно недоступен.</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5а.1. Система сохраняет заявку в очереди и информирует пациента о статусе «В обработке».</w:t>
            </w:r>
            <w:r>
              <w:rPr>
                <w:rFonts w:ascii="Times New Roman" w:hAnsi="Times New Roman" w:eastAsia="Times New Roman" w:cs="Times New Roman"/>
                <w:color w:val="000000"/>
                <w:kern w:val="0"/>
                <w:sz w:val="24"/>
                <w:szCs w:val="24"/>
                <w:lang w:eastAsia="ru-RU"/>
                <w14:ligatures w14:val="none"/>
              </w:rPr>
              <w:br w:type="textWrapping"/>
            </w:r>
            <w:r>
              <w:rPr>
                <w:rFonts w:ascii="Times New Roman" w:hAnsi="Times New Roman" w:eastAsia="Times New Roman" w:cs="Times New Roman"/>
                <w:color w:val="000000"/>
                <w:kern w:val="0"/>
                <w:sz w:val="24"/>
                <w:szCs w:val="24"/>
                <w:lang w:eastAsia="ru-RU"/>
                <w14:ligatures w14:val="none"/>
              </w:rPr>
              <w:t xml:space="preserve">5а.2. После восстановления канала справка отправляется автоматически, пациенту приходит </w:t>
            </w:r>
            <w:r>
              <w:rPr>
                <w:rFonts w:ascii="Times New Roman" w:hAnsi="Times New Roman" w:eastAsia="Times New Roman" w:cs="Times New Roman"/>
                <w:color w:val="000000"/>
                <w:kern w:val="0"/>
                <w:sz w:val="24"/>
                <w:szCs w:val="24"/>
                <w:lang w:val="en-US" w:eastAsia="ru-RU"/>
                <w14:ligatures w14:val="none"/>
              </w:rPr>
              <w:t>push</w:t>
            </w:r>
            <w:r>
              <w:rPr>
                <w:rFonts w:ascii="Times New Roman" w:hAnsi="Times New Roman" w:eastAsia="Times New Roman" w:cs="Times New Roman"/>
                <w:color w:val="000000"/>
                <w:kern w:val="0"/>
                <w:sz w:val="24"/>
                <w:szCs w:val="24"/>
                <w:lang w:eastAsia="ru-RU"/>
                <w14:ligatures w14:val="none"/>
              </w:rPr>
              <w:t>-уведомление.</w:t>
            </w:r>
          </w:p>
        </w:tc>
      </w:tr>
    </w:tbl>
    <w:p w14:paraId="4E5F6841">
      <w:pPr>
        <w:spacing w:before="0" w:after="0"/>
        <w:ind w:firstLine="709"/>
        <w:jc w:val="both"/>
      </w:pPr>
      <w:r>
        <w:rPr>
          <w:rFonts w:ascii="Times New Roman" w:hAnsi="Times New Roman"/>
          <w:b w:val="0"/>
          <w:sz w:val="28"/>
        </w:rPr>
        <w:t>Каждый из восьми барьеров, зафиксированных в Таблице 13, имеет прямое соответствие в наборе функциональных требований MVP. Таблица 31 показывает, какое именно требование снимает барьер и за счёт чего это происходит. Такое сопоставление позволяет убедиться, что ни одно проявление управленческой проблемы не осталось без проектного ответа, а состав MVP не включает требований, не привязанных к реальному барьеру пути пациента.</w:t>
      </w:r>
    </w:p>
    <w:p w14:paraId="4CCC9418">
      <w:pPr>
        <w:spacing w:before="0" w:after="0"/>
        <w:jc w:val="left"/>
      </w:pPr>
      <w:r>
        <w:rPr>
          <w:rFonts w:ascii="Times New Roman" w:hAnsi="Times New Roman"/>
          <w:b w:val="0"/>
          <w:sz w:val="28"/>
        </w:rPr>
        <w:t>Таблица 31 — Матрица прослеживаемости: барьеры — функциональные требования</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44701B3B">
        <w:tc>
          <w:tcPr>
            <w:tcW w:w="3118" w:type="dxa"/>
          </w:tcPr>
          <w:p w14:paraId="13152CA2">
            <w:pPr>
              <w:spacing w:before="0" w:after="0" w:line="240" w:lineRule="auto"/>
              <w:ind w:firstLine="0"/>
              <w:jc w:val="both"/>
              <w:rPr>
                <w:kern w:val="0"/>
                <w14:ligatures w14:val="none"/>
              </w:rPr>
            </w:pPr>
            <w:r>
              <w:rPr>
                <w:rFonts w:ascii="Times New Roman" w:hAnsi="Times New Roman"/>
                <w:b/>
                <w:kern w:val="0"/>
                <w:sz w:val="24"/>
                <w14:ligatures w14:val="none"/>
              </w:rPr>
              <w:t>Проявление / барьер (Таблица 13)</w:t>
            </w:r>
          </w:p>
        </w:tc>
        <w:tc>
          <w:tcPr>
            <w:tcW w:w="3118" w:type="dxa"/>
          </w:tcPr>
          <w:p w14:paraId="48BBAE5C">
            <w:pPr>
              <w:spacing w:before="0" w:after="0" w:line="240" w:lineRule="auto"/>
              <w:ind w:firstLine="0"/>
              <w:jc w:val="both"/>
              <w:rPr>
                <w:kern w:val="0"/>
                <w14:ligatures w14:val="none"/>
              </w:rPr>
            </w:pPr>
            <w:r>
              <w:rPr>
                <w:rFonts w:ascii="Times New Roman" w:hAnsi="Times New Roman"/>
                <w:b/>
                <w:kern w:val="0"/>
                <w:sz w:val="24"/>
                <w14:ligatures w14:val="none"/>
              </w:rPr>
              <w:t>Функциональное требование</w:t>
            </w:r>
          </w:p>
        </w:tc>
        <w:tc>
          <w:tcPr>
            <w:tcW w:w="3118" w:type="dxa"/>
          </w:tcPr>
          <w:p w14:paraId="4670DE20">
            <w:pPr>
              <w:spacing w:before="0" w:after="0" w:line="240" w:lineRule="auto"/>
              <w:ind w:firstLine="0"/>
              <w:jc w:val="both"/>
              <w:rPr>
                <w:kern w:val="0"/>
                <w14:ligatures w14:val="none"/>
              </w:rPr>
            </w:pPr>
            <w:r>
              <w:rPr>
                <w:rFonts w:ascii="Times New Roman" w:hAnsi="Times New Roman"/>
                <w:b/>
                <w:kern w:val="0"/>
                <w:sz w:val="24"/>
                <w14:ligatures w14:val="none"/>
              </w:rPr>
              <w:t>Как требование снимает барьер</w:t>
            </w:r>
          </w:p>
        </w:tc>
      </w:tr>
      <w:tr w14:paraId="013DD91A">
        <w:tc>
          <w:tcPr>
            <w:tcW w:w="3118" w:type="dxa"/>
          </w:tcPr>
          <w:p w14:paraId="37D6AB03">
            <w:pPr>
              <w:spacing w:before="0" w:after="0" w:line="240" w:lineRule="auto"/>
              <w:ind w:firstLine="0"/>
              <w:jc w:val="both"/>
              <w:rPr>
                <w:kern w:val="0"/>
                <w14:ligatures w14:val="none"/>
              </w:rPr>
            </w:pPr>
            <w:r>
              <w:rPr>
                <w:rFonts w:ascii="Times New Roman" w:hAnsi="Times New Roman"/>
                <w:b w:val="0"/>
                <w:kern w:val="0"/>
                <w:sz w:val="24"/>
                <w14:ligatures w14:val="none"/>
              </w:rPr>
              <w:t>Низкая конверсия первичного трафика сайта в записи</w:t>
            </w:r>
          </w:p>
        </w:tc>
        <w:tc>
          <w:tcPr>
            <w:tcW w:w="3118" w:type="dxa"/>
          </w:tcPr>
          <w:p w14:paraId="305C0508">
            <w:pPr>
              <w:spacing w:before="0" w:after="0" w:line="240" w:lineRule="auto"/>
              <w:ind w:firstLine="0"/>
              <w:jc w:val="both"/>
              <w:rPr>
                <w:kern w:val="0"/>
                <w14:ligatures w14:val="none"/>
              </w:rPr>
            </w:pPr>
            <w:r>
              <w:rPr>
                <w:rFonts w:ascii="Times New Roman" w:hAnsi="Times New Roman"/>
                <w:b w:val="0"/>
                <w:kern w:val="0"/>
                <w:sz w:val="24"/>
                <w14:ligatures w14:val="none"/>
              </w:rPr>
              <w:t>FR-01, FR-07, FR-12</w:t>
            </w:r>
          </w:p>
        </w:tc>
        <w:tc>
          <w:tcPr>
            <w:tcW w:w="3118" w:type="dxa"/>
          </w:tcPr>
          <w:p w14:paraId="609736A6">
            <w:pPr>
              <w:spacing w:before="0" w:after="0" w:line="240" w:lineRule="auto"/>
              <w:ind w:firstLine="0"/>
              <w:jc w:val="both"/>
              <w:rPr>
                <w:kern w:val="0"/>
                <w14:ligatures w14:val="none"/>
              </w:rPr>
            </w:pPr>
            <w:r>
              <w:rPr>
                <w:rFonts w:ascii="Times New Roman" w:hAnsi="Times New Roman"/>
                <w:b w:val="0"/>
                <w:kern w:val="0"/>
                <w:sz w:val="24"/>
                <w14:ligatures w14:val="none"/>
              </w:rPr>
              <w:t>FR-01 даёт пациенту форму самозаписи с выбором услуги, клиники, врача и слота без звонка — основное препятствие первичного обращения устраняется. FR-07 обеспечивает поиск с фильтрацией, поэтому пациент быстро находит нужного врача. FR-12 закрывает вход через SMS-OTP, снижая трение при первой регистрации.</w:t>
            </w:r>
          </w:p>
        </w:tc>
      </w:tr>
      <w:tr w14:paraId="0364C7C8">
        <w:tc>
          <w:tcPr>
            <w:tcW w:w="3118" w:type="dxa"/>
          </w:tcPr>
          <w:p w14:paraId="738C3166">
            <w:pPr>
              <w:spacing w:before="0" w:after="0" w:line="240" w:lineRule="auto"/>
              <w:ind w:firstLine="0"/>
              <w:jc w:val="both"/>
              <w:rPr>
                <w:kern w:val="0"/>
                <w14:ligatures w14:val="none"/>
              </w:rPr>
            </w:pPr>
            <w:r>
              <w:rPr>
                <w:rFonts w:ascii="Times New Roman" w:hAnsi="Times New Roman"/>
                <w:b w:val="0"/>
                <w:kern w:val="0"/>
                <w:sz w:val="24"/>
                <w14:ligatures w14:val="none"/>
              </w:rPr>
              <w:t>Рост числа неявок на записанные приёмы</w:t>
            </w:r>
          </w:p>
        </w:tc>
        <w:tc>
          <w:tcPr>
            <w:tcW w:w="3118" w:type="dxa"/>
          </w:tcPr>
          <w:p w14:paraId="10B30DB4">
            <w:pPr>
              <w:spacing w:before="0" w:after="0" w:line="240" w:lineRule="auto"/>
              <w:ind w:firstLine="0"/>
              <w:jc w:val="both"/>
              <w:rPr>
                <w:kern w:val="0"/>
                <w14:ligatures w14:val="none"/>
              </w:rPr>
            </w:pPr>
            <w:r>
              <w:rPr>
                <w:rFonts w:ascii="Times New Roman" w:hAnsi="Times New Roman"/>
                <w:b w:val="0"/>
                <w:kern w:val="0"/>
                <w:sz w:val="24"/>
                <w14:ligatures w14:val="none"/>
              </w:rPr>
              <w:t>FR-02</w:t>
            </w:r>
          </w:p>
        </w:tc>
        <w:tc>
          <w:tcPr>
            <w:tcW w:w="3118" w:type="dxa"/>
          </w:tcPr>
          <w:p w14:paraId="2A9C2A01">
            <w:pPr>
              <w:spacing w:before="0" w:after="0" w:line="240" w:lineRule="auto"/>
              <w:ind w:firstLine="0"/>
              <w:jc w:val="both"/>
              <w:rPr>
                <w:kern w:val="0"/>
                <w14:ligatures w14:val="none"/>
              </w:rPr>
            </w:pPr>
            <w:r>
              <w:rPr>
                <w:rFonts w:ascii="Times New Roman" w:hAnsi="Times New Roman"/>
                <w:b w:val="0"/>
                <w:kern w:val="0"/>
                <w:sz w:val="24"/>
                <w14:ligatures w14:val="none"/>
              </w:rPr>
              <w:t>FR-02 обязывает систему отправлять SMS- и push-напоминания за 24 часа и за 2 часа до визита. По данным мета-анализа, применённого в расчёте раздела 3.3, напоминания снижают уровень неявок на 29 %. Барьер поведенческой природы устраняется автоматическим триггером без участия персонала.</w:t>
            </w:r>
          </w:p>
        </w:tc>
      </w:tr>
      <w:tr w14:paraId="6F6D7FD7">
        <w:tc>
          <w:tcPr>
            <w:tcW w:w="3118" w:type="dxa"/>
          </w:tcPr>
          <w:p w14:paraId="1FB5504F">
            <w:pPr>
              <w:spacing w:before="0" w:after="0" w:line="240" w:lineRule="auto"/>
              <w:ind w:firstLine="0"/>
              <w:jc w:val="both"/>
              <w:rPr>
                <w:kern w:val="0"/>
                <w14:ligatures w14:val="none"/>
              </w:rPr>
            </w:pPr>
            <w:r>
              <w:rPr>
                <w:rFonts w:ascii="Times New Roman" w:hAnsi="Times New Roman"/>
                <w:b w:val="0"/>
                <w:kern w:val="0"/>
                <w:sz w:val="24"/>
                <w14:ligatures w14:val="none"/>
              </w:rPr>
              <w:t>Отказы из-за трудоёмкости переноса записи</w:t>
            </w:r>
          </w:p>
        </w:tc>
        <w:tc>
          <w:tcPr>
            <w:tcW w:w="3118" w:type="dxa"/>
          </w:tcPr>
          <w:p w14:paraId="0EA06D29">
            <w:pPr>
              <w:spacing w:before="0" w:after="0" w:line="240" w:lineRule="auto"/>
              <w:ind w:firstLine="0"/>
              <w:jc w:val="both"/>
              <w:rPr>
                <w:kern w:val="0"/>
                <w14:ligatures w14:val="none"/>
              </w:rPr>
            </w:pPr>
            <w:r>
              <w:rPr>
                <w:rFonts w:ascii="Times New Roman" w:hAnsi="Times New Roman"/>
                <w:b w:val="0"/>
                <w:kern w:val="0"/>
                <w:sz w:val="24"/>
                <w14:ligatures w14:val="none"/>
              </w:rPr>
              <w:t>FR-10, FR-11</w:t>
            </w:r>
          </w:p>
        </w:tc>
        <w:tc>
          <w:tcPr>
            <w:tcW w:w="3118" w:type="dxa"/>
          </w:tcPr>
          <w:p w14:paraId="2A5BE3E3">
            <w:pPr>
              <w:spacing w:before="0" w:after="0" w:line="240" w:lineRule="auto"/>
              <w:ind w:firstLine="0"/>
              <w:jc w:val="both"/>
              <w:rPr>
                <w:kern w:val="0"/>
                <w14:ligatures w14:val="none"/>
              </w:rPr>
            </w:pPr>
            <w:r>
              <w:rPr>
                <w:rFonts w:ascii="Times New Roman" w:hAnsi="Times New Roman"/>
                <w:b w:val="0"/>
                <w:kern w:val="0"/>
                <w:sz w:val="24"/>
                <w14:ligatures w14:val="none"/>
              </w:rPr>
              <w:t>FR-10 позволяет пациенту самостоятельно отменить визит не позднее чем за 2 часа, убирая необходимость звонить в клинику. FR-11 дополняет отмену предложением альтернативных слотов у врачей аналогичного профиля, что удерживает пациента внутри воронки вместо ухода к конкурентам.</w:t>
            </w:r>
          </w:p>
        </w:tc>
      </w:tr>
      <w:tr w14:paraId="45D6FE4F">
        <w:tc>
          <w:tcPr>
            <w:tcW w:w="3118" w:type="dxa"/>
          </w:tcPr>
          <w:p w14:paraId="0885E0BF">
            <w:pPr>
              <w:spacing w:before="0" w:after="0" w:line="240" w:lineRule="auto"/>
              <w:ind w:firstLine="0"/>
              <w:jc w:val="both"/>
              <w:rPr>
                <w:kern w:val="0"/>
                <w14:ligatures w14:val="none"/>
              </w:rPr>
            </w:pPr>
            <w:r>
              <w:rPr>
                <w:rFonts w:ascii="Times New Roman" w:hAnsi="Times New Roman"/>
                <w:b w:val="0"/>
                <w:kern w:val="0"/>
                <w:sz w:val="24"/>
                <w14:ligatures w14:val="none"/>
              </w:rPr>
              <w:t>Отток на этапе пост-диагностики</w:t>
            </w:r>
          </w:p>
        </w:tc>
        <w:tc>
          <w:tcPr>
            <w:tcW w:w="3118" w:type="dxa"/>
          </w:tcPr>
          <w:p w14:paraId="6C23F2CF">
            <w:pPr>
              <w:spacing w:before="0" w:after="0" w:line="240" w:lineRule="auto"/>
              <w:ind w:firstLine="0"/>
              <w:jc w:val="both"/>
              <w:rPr>
                <w:kern w:val="0"/>
                <w14:ligatures w14:val="none"/>
              </w:rPr>
            </w:pPr>
            <w:r>
              <w:rPr>
                <w:rFonts w:ascii="Times New Roman" w:hAnsi="Times New Roman"/>
                <w:b w:val="0"/>
                <w:kern w:val="0"/>
                <w:sz w:val="24"/>
                <w14:ligatures w14:val="none"/>
              </w:rPr>
              <w:t>FR-04, FR-08</w:t>
            </w:r>
          </w:p>
        </w:tc>
        <w:tc>
          <w:tcPr>
            <w:tcW w:w="3118" w:type="dxa"/>
          </w:tcPr>
          <w:p w14:paraId="25886711">
            <w:pPr>
              <w:spacing w:before="0" w:after="0" w:line="240" w:lineRule="auto"/>
              <w:ind w:firstLine="0"/>
              <w:jc w:val="both"/>
              <w:rPr>
                <w:kern w:val="0"/>
                <w14:ligatures w14:val="none"/>
              </w:rPr>
            </w:pPr>
            <w:r>
              <w:rPr>
                <w:rFonts w:ascii="Times New Roman" w:hAnsi="Times New Roman"/>
                <w:b w:val="0"/>
                <w:kern w:val="0"/>
                <w:sz w:val="24"/>
                <w14:ligatures w14:val="none"/>
              </w:rPr>
              <w:t>FR-04 сохраняет историю визитов с привязкой к врачу и клинике — это тот цифровой канал плана лечения, отсутствие которого классифицировано как информационный барьер. FR-08 отображает сроки гарантии на выполненные работы, создавая дополнительный мотив вернуться в ту же клинику по гарантийному вопросу.</w:t>
            </w:r>
          </w:p>
        </w:tc>
      </w:tr>
      <w:tr w14:paraId="08DAA9FE">
        <w:tc>
          <w:tcPr>
            <w:tcW w:w="3118" w:type="dxa"/>
          </w:tcPr>
          <w:p w14:paraId="21C706BA">
            <w:pPr>
              <w:spacing w:before="0" w:after="0" w:line="240" w:lineRule="auto"/>
              <w:ind w:firstLine="0"/>
              <w:jc w:val="both"/>
              <w:rPr>
                <w:kern w:val="0"/>
                <w14:ligatures w14:val="none"/>
              </w:rPr>
            </w:pPr>
            <w:r>
              <w:rPr>
                <w:rFonts w:ascii="Times New Roman" w:hAnsi="Times New Roman"/>
                <w:b w:val="0"/>
                <w:kern w:val="0"/>
                <w:sz w:val="24"/>
                <w14:ligatures w14:val="none"/>
              </w:rPr>
              <w:t>Нагрузка регистратуры по запросам истории</w:t>
            </w:r>
          </w:p>
        </w:tc>
        <w:tc>
          <w:tcPr>
            <w:tcW w:w="3118" w:type="dxa"/>
          </w:tcPr>
          <w:p w14:paraId="0464AD61">
            <w:pPr>
              <w:spacing w:before="0" w:after="0" w:line="240" w:lineRule="auto"/>
              <w:ind w:firstLine="0"/>
              <w:jc w:val="both"/>
              <w:rPr>
                <w:kern w:val="0"/>
                <w14:ligatures w14:val="none"/>
              </w:rPr>
            </w:pPr>
            <w:r>
              <w:rPr>
                <w:rFonts w:ascii="Times New Roman" w:hAnsi="Times New Roman"/>
                <w:b w:val="0"/>
                <w:kern w:val="0"/>
                <w:sz w:val="24"/>
                <w14:ligatures w14:val="none"/>
              </w:rPr>
              <w:t>FR-03, FR-04</w:t>
            </w:r>
          </w:p>
        </w:tc>
        <w:tc>
          <w:tcPr>
            <w:tcW w:w="3118" w:type="dxa"/>
          </w:tcPr>
          <w:p w14:paraId="79460635">
            <w:pPr>
              <w:spacing w:before="0" w:after="0" w:line="240" w:lineRule="auto"/>
              <w:ind w:firstLine="0"/>
              <w:jc w:val="both"/>
              <w:rPr>
                <w:kern w:val="0"/>
                <w14:ligatures w14:val="none"/>
              </w:rPr>
            </w:pPr>
            <w:r>
              <w:rPr>
                <w:rFonts w:ascii="Times New Roman" w:hAnsi="Times New Roman"/>
                <w:b w:val="0"/>
                <w:kern w:val="0"/>
                <w:sz w:val="24"/>
                <w14:ligatures w14:val="none"/>
              </w:rPr>
              <w:t>FR-03 обеспечивает единый профиль пациента во всех филиалах сети, так что сотрудник любой клиники видит общую историю без запроса данных у коллег. FR-04 хранит историю визитов непосредственно в профиле пациента, снимая с регистратуры обязанность отвечать на повторяющиеся звонки и запросы.</w:t>
            </w:r>
          </w:p>
        </w:tc>
      </w:tr>
      <w:tr w14:paraId="3E1DDD38">
        <w:tc>
          <w:tcPr>
            <w:tcW w:w="3118" w:type="dxa"/>
          </w:tcPr>
          <w:p w14:paraId="68C588FC">
            <w:pPr>
              <w:spacing w:before="0" w:after="0" w:line="240" w:lineRule="auto"/>
              <w:ind w:firstLine="0"/>
              <w:jc w:val="both"/>
              <w:rPr>
                <w:kern w:val="0"/>
                <w14:ligatures w14:val="none"/>
              </w:rPr>
            </w:pPr>
            <w:r>
              <w:rPr>
                <w:rFonts w:ascii="Times New Roman" w:hAnsi="Times New Roman"/>
                <w:b w:val="0"/>
                <w:kern w:val="0"/>
                <w:sz w:val="24"/>
                <w14:ligatures w14:val="none"/>
              </w:rPr>
              <w:t>Снижение частоты профилактических визитов</w:t>
            </w:r>
          </w:p>
        </w:tc>
        <w:tc>
          <w:tcPr>
            <w:tcW w:w="3118" w:type="dxa"/>
          </w:tcPr>
          <w:p w14:paraId="36102065">
            <w:pPr>
              <w:spacing w:before="0" w:after="0" w:line="240" w:lineRule="auto"/>
              <w:ind w:firstLine="0"/>
              <w:jc w:val="both"/>
              <w:rPr>
                <w:kern w:val="0"/>
                <w14:ligatures w14:val="none"/>
              </w:rPr>
            </w:pPr>
            <w:r>
              <w:rPr>
                <w:rFonts w:ascii="Times New Roman" w:hAnsi="Times New Roman"/>
                <w:b w:val="0"/>
                <w:kern w:val="0"/>
                <w:sz w:val="24"/>
                <w14:ligatures w14:val="none"/>
              </w:rPr>
              <w:t>FR-02, FR-04</w:t>
            </w:r>
          </w:p>
        </w:tc>
        <w:tc>
          <w:tcPr>
            <w:tcW w:w="3118" w:type="dxa"/>
          </w:tcPr>
          <w:p w14:paraId="614BDCCD">
            <w:pPr>
              <w:spacing w:before="0" w:after="0" w:line="240" w:lineRule="auto"/>
              <w:ind w:firstLine="0"/>
              <w:jc w:val="both"/>
              <w:rPr>
                <w:kern w:val="0"/>
                <w14:ligatures w14:val="none"/>
              </w:rPr>
            </w:pPr>
            <w:r>
              <w:rPr>
                <w:rFonts w:ascii="Times New Roman" w:hAnsi="Times New Roman"/>
                <w:b w:val="0"/>
                <w:kern w:val="0"/>
                <w:sz w:val="24"/>
                <w14:ligatures w14:val="none"/>
              </w:rPr>
              <w:t>FR-02 служит технической базой для триггерных коммуникаций по истечении рекомендованного межвизитного интервала. FR-04 хранит дату последнего визита, на основе которой система рассчитывает момент отправки напоминания о профилактическом осмотре.</w:t>
            </w:r>
          </w:p>
        </w:tc>
      </w:tr>
      <w:tr w14:paraId="2ED76651">
        <w:tc>
          <w:tcPr>
            <w:tcW w:w="3118" w:type="dxa"/>
          </w:tcPr>
          <w:p w14:paraId="745D1590">
            <w:pPr>
              <w:spacing w:before="0" w:after="0" w:line="240" w:lineRule="auto"/>
              <w:ind w:firstLine="0"/>
              <w:jc w:val="both"/>
              <w:rPr>
                <w:kern w:val="0"/>
                <w14:ligatures w14:val="none"/>
              </w:rPr>
            </w:pPr>
            <w:r>
              <w:rPr>
                <w:rFonts w:ascii="Times New Roman" w:hAnsi="Times New Roman"/>
                <w:b w:val="0"/>
                <w:kern w:val="0"/>
                <w:sz w:val="24"/>
                <w14:ligatures w14:val="none"/>
              </w:rPr>
              <w:t>Невозможность ретаргетинга и повторных коммуникаций</w:t>
            </w:r>
          </w:p>
        </w:tc>
        <w:tc>
          <w:tcPr>
            <w:tcW w:w="3118" w:type="dxa"/>
          </w:tcPr>
          <w:p w14:paraId="16BC90C0">
            <w:pPr>
              <w:spacing w:before="0" w:after="0" w:line="240" w:lineRule="auto"/>
              <w:ind w:firstLine="0"/>
              <w:jc w:val="both"/>
              <w:rPr>
                <w:kern w:val="0"/>
                <w14:ligatures w14:val="none"/>
              </w:rPr>
            </w:pPr>
            <w:r>
              <w:rPr>
                <w:rFonts w:ascii="Times New Roman" w:hAnsi="Times New Roman"/>
                <w:b w:val="0"/>
                <w:kern w:val="0"/>
                <w:sz w:val="24"/>
                <w14:ligatures w14:val="none"/>
              </w:rPr>
              <w:t>FR-12, FR-03</w:t>
            </w:r>
          </w:p>
        </w:tc>
        <w:tc>
          <w:tcPr>
            <w:tcW w:w="3118" w:type="dxa"/>
          </w:tcPr>
          <w:p w14:paraId="713AEEF6">
            <w:pPr>
              <w:spacing w:before="0" w:after="0" w:line="240" w:lineRule="auto"/>
              <w:ind w:firstLine="0"/>
              <w:jc w:val="both"/>
              <w:rPr>
                <w:kern w:val="0"/>
                <w14:ligatures w14:val="none"/>
              </w:rPr>
            </w:pPr>
            <w:r>
              <w:rPr>
                <w:rFonts w:ascii="Times New Roman" w:hAnsi="Times New Roman"/>
                <w:b w:val="0"/>
                <w:kern w:val="0"/>
                <w:sz w:val="24"/>
                <w14:ligatures w14:val="none"/>
              </w:rPr>
              <w:t>FR-12 идентифицирует пациента через верифицированный номер телефона при первой аутентификации — именно этот контакт становится основой для персонализированных коммуникаций. FR-03 привязывает контакт к единому профилю сети, что делает ретаргетинг в собственных каналах клиники возможным без сторонних рекламных платформ.</w:t>
            </w:r>
          </w:p>
        </w:tc>
      </w:tr>
      <w:tr w14:paraId="1A94EC85">
        <w:tc>
          <w:tcPr>
            <w:tcW w:w="3118" w:type="dxa"/>
          </w:tcPr>
          <w:p w14:paraId="5B41B220">
            <w:pPr>
              <w:spacing w:before="0" w:after="0" w:line="240" w:lineRule="auto"/>
              <w:ind w:firstLine="0"/>
              <w:jc w:val="both"/>
              <w:rPr>
                <w:kern w:val="0"/>
                <w14:ligatures w14:val="none"/>
              </w:rPr>
            </w:pPr>
            <w:r>
              <w:rPr>
                <w:rFonts w:ascii="Times New Roman" w:hAnsi="Times New Roman"/>
                <w:b w:val="0"/>
                <w:kern w:val="0"/>
                <w:sz w:val="24"/>
                <w14:ligatures w14:val="none"/>
              </w:rPr>
              <w:t>Зависимость от единственного канала записи</w:t>
            </w:r>
          </w:p>
        </w:tc>
        <w:tc>
          <w:tcPr>
            <w:tcW w:w="3118" w:type="dxa"/>
          </w:tcPr>
          <w:p w14:paraId="621C5AC3">
            <w:pPr>
              <w:spacing w:before="0" w:after="0" w:line="240" w:lineRule="auto"/>
              <w:ind w:firstLine="0"/>
              <w:jc w:val="both"/>
              <w:rPr>
                <w:kern w:val="0"/>
                <w14:ligatures w14:val="none"/>
              </w:rPr>
            </w:pPr>
            <w:r>
              <w:rPr>
                <w:rFonts w:ascii="Times New Roman" w:hAnsi="Times New Roman"/>
                <w:b w:val="0"/>
                <w:kern w:val="0"/>
                <w:sz w:val="24"/>
                <w14:ligatures w14:val="none"/>
              </w:rPr>
              <w:t>FR-01, FR-06</w:t>
            </w:r>
          </w:p>
        </w:tc>
        <w:tc>
          <w:tcPr>
            <w:tcW w:w="3118" w:type="dxa"/>
          </w:tcPr>
          <w:p w14:paraId="4D894ACA">
            <w:pPr>
              <w:spacing w:before="0" w:after="0" w:line="240" w:lineRule="auto"/>
              <w:ind w:firstLine="0"/>
              <w:jc w:val="both"/>
              <w:rPr>
                <w:kern w:val="0"/>
                <w14:ligatures w14:val="none"/>
              </w:rPr>
            </w:pPr>
            <w:r>
              <w:rPr>
                <w:rFonts w:ascii="Times New Roman" w:hAnsi="Times New Roman"/>
                <w:b w:val="0"/>
                <w:kern w:val="0"/>
                <w:sz w:val="24"/>
                <w14:ligatures w14:val="none"/>
              </w:rPr>
              <w:t>FR-01 создаёт независимый цифровой канал самозаписи параллельно телефонной линии, устраняя операционный риск единственной точки отказа. FR-06 добавляет встроенную оплату через ЮKassa и СБП, закрепляя мобильный канал как полноценный и достаточный путь к записанному визиту.</w:t>
            </w:r>
          </w:p>
        </w:tc>
      </w:tr>
    </w:tbl>
    <w:p w14:paraId="2B32DD94">
      <w:pPr>
        <w:spacing w:before="0" w:after="0" w:line="360" w:lineRule="auto"/>
        <w:ind w:firstLine="709"/>
        <w:rPr>
          <w:rFonts w:ascii="Times New Roman" w:hAnsi="Times New Roman" w:eastAsia="Times New Roman" w:cs="Times New Roman"/>
          <w:b/>
          <w:color w:val="000000"/>
          <w:kern w:val="0"/>
          <w:sz w:val="28"/>
          <w:szCs w:val="22"/>
          <w14:ligatures w14:val="none"/>
        </w:rPr>
        <w:sectPr>
          <w:footerReference r:id="rId12" w:type="default"/>
          <w:pgSz w:w="11906" w:h="16838"/>
          <w:pgMar w:top="1134" w:right="851" w:bottom="1134" w:left="1701" w:header="709" w:footer="709" w:gutter="0"/>
          <w:cols w:space="708" w:num="1"/>
          <w:docGrid w:linePitch="360" w:charSpace="0"/>
        </w:sectPr>
      </w:pPr>
    </w:p>
    <w:p w14:paraId="0A962FE0">
      <w:pPr>
        <w:pStyle w:val="3"/>
        <w:spacing w:before="0" w:after="0" w:line="360" w:lineRule="auto"/>
        <w:ind w:firstLine="709"/>
        <w:jc w:val="both"/>
        <w:rPr>
          <w:rFonts w:ascii="Times New Roman" w:hAnsi="Times New Roman" w:eastAsia="Times New Roman" w:cs="Times New Roman"/>
          <w:color w:val="000000"/>
          <w:kern w:val="0"/>
          <w:sz w:val="28"/>
          <w:szCs w:val="22"/>
          <w14:ligatures w14:val="none"/>
        </w:rPr>
      </w:pPr>
      <w:bookmarkStart w:id="19" w:name="_Toc866745841"/>
      <w:r>
        <w:rPr>
          <w:rFonts w:ascii="Times New Roman" w:hAnsi="Times New Roman" w:eastAsia="Times New Roman" w:cs="Times New Roman"/>
          <w:color w:val="000000"/>
          <w:kern w:val="0"/>
          <w:sz w:val="28"/>
          <w:szCs w:val="22"/>
          <w14:ligatures w14:val="none"/>
        </w:rPr>
        <w:drawing>
          <wp:anchor distT="0" distB="0" distL="114300" distR="114300" simplePos="0" relativeHeight="251674624" behindDoc="0" locked="0" layoutInCell="1" allowOverlap="1">
            <wp:simplePos x="0" y="0"/>
            <wp:positionH relativeFrom="column">
              <wp:posOffset>22225</wp:posOffset>
            </wp:positionH>
            <wp:positionV relativeFrom="paragraph">
              <wp:posOffset>702945</wp:posOffset>
            </wp:positionV>
            <wp:extent cx="9165590" cy="2380615"/>
            <wp:effectExtent l="0" t="0" r="0" b="635"/>
            <wp:wrapSquare wrapText="bothSides"/>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9165590" cy="2380615"/>
                    </a:xfrm>
                    <a:prstGeom prst="rect">
                      <a:avLst/>
                    </a:prstGeom>
                    <a:noFill/>
                    <a:ln>
                      <a:noFill/>
                    </a:ln>
                  </pic:spPr>
                </pic:pic>
              </a:graphicData>
            </a:graphic>
          </wp:anchor>
        </w:drawing>
      </w:r>
      <w:r>
        <w:rPr>
          <w:rFonts w:ascii="Times New Roman" w:hAnsi="Times New Roman" w:eastAsia="Times New Roman" w:cs="Times New Roman"/>
          <w:b/>
          <w:color w:val="000000"/>
          <w:kern w:val="0"/>
          <w:sz w:val="28"/>
          <w:szCs w:val="22"/>
          <w14:ligatures w14:val="none"/>
        </w:rPr>
        <w:t>3.2 Моделирование будущего бизнес-процесса записи клиента на прием, описание архитектуры решения и технологического стека</w:t>
      </w:r>
      <w:bookmarkEnd w:id="19"/>
    </w:p>
    <w:p w14:paraId="6A73DDC5">
      <w:pPr>
        <w:spacing w:before="0" w:after="0" w:line="360" w:lineRule="auto"/>
        <w:ind w:firstLine="709"/>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20 — AS TO BE</w:t>
      </w:r>
    </w:p>
    <w:p w14:paraId="3EB765B6">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Целевая архитектура разделяет ответственность между клиентским слоем, шлюзом </w:t>
      </w:r>
      <w:r>
        <w:rPr>
          <w:rFonts w:ascii="Times New Roman" w:hAnsi="Times New Roman" w:eastAsia="Times New Roman" w:cs="Times New Roman"/>
          <w:color w:val="000000"/>
          <w:kern w:val="0"/>
          <w:sz w:val="28"/>
          <w:szCs w:val="22"/>
          <w:lang w:val="en-US"/>
          <w14:ligatures w14:val="none"/>
        </w:rPr>
        <w:t>API</w:t>
      </w:r>
      <w:r>
        <w:rPr>
          <w:rFonts w:ascii="Times New Roman" w:hAnsi="Times New Roman" w:eastAsia="Times New Roman" w:cs="Times New Roman"/>
          <w:color w:val="000000"/>
          <w:kern w:val="0"/>
          <w:sz w:val="28"/>
          <w:szCs w:val="22"/>
          <w14:ligatures w14:val="none"/>
        </w:rPr>
        <w:t xml:space="preserve">, доменными сервисами и слоем хранения. Клиенты системы – мобильные приложения </w:t>
      </w:r>
      <w:r>
        <w:rPr>
          <w:rFonts w:ascii="Times New Roman" w:hAnsi="Times New Roman" w:eastAsia="Times New Roman" w:cs="Times New Roman"/>
          <w:color w:val="000000"/>
          <w:kern w:val="0"/>
          <w:sz w:val="28"/>
          <w:szCs w:val="22"/>
          <w:lang w:val="en-US"/>
          <w14:ligatures w14:val="none"/>
        </w:rPr>
        <w:t>iOS</w:t>
      </w:r>
      <w:r>
        <w:rPr>
          <w:rFonts w:ascii="Times New Roman" w:hAnsi="Times New Roman" w:eastAsia="Times New Roman" w:cs="Times New Roman"/>
          <w:color w:val="000000"/>
          <w:kern w:val="0"/>
          <w:sz w:val="28"/>
          <w:szCs w:val="22"/>
          <w14:ligatures w14:val="none"/>
        </w:rPr>
        <w:t xml:space="preserve"> и </w:t>
      </w:r>
      <w:r>
        <w:rPr>
          <w:rFonts w:ascii="Times New Roman" w:hAnsi="Times New Roman" w:eastAsia="Times New Roman" w:cs="Times New Roman"/>
          <w:color w:val="000000"/>
          <w:kern w:val="0"/>
          <w:sz w:val="28"/>
          <w:szCs w:val="22"/>
          <w:lang w:val="en-US"/>
          <w14:ligatures w14:val="none"/>
        </w:rPr>
        <w:t>Android</w:t>
      </w:r>
      <w:r>
        <w:rPr>
          <w:rFonts w:ascii="Times New Roman" w:hAnsi="Times New Roman" w:eastAsia="Times New Roman" w:cs="Times New Roman"/>
          <w:color w:val="000000"/>
          <w:kern w:val="0"/>
          <w:sz w:val="28"/>
          <w:szCs w:val="22"/>
          <w14:ligatures w14:val="none"/>
        </w:rPr>
        <w:t xml:space="preserve"> и веб-клиент административного контура. Запросы проходят через шлюз </w:t>
      </w:r>
      <w:r>
        <w:rPr>
          <w:rFonts w:ascii="Times New Roman" w:hAnsi="Times New Roman" w:eastAsia="Times New Roman" w:cs="Times New Roman"/>
          <w:color w:val="000000"/>
          <w:kern w:val="0"/>
          <w:sz w:val="28"/>
          <w:szCs w:val="22"/>
          <w:lang w:val="en-US"/>
          <w14:ligatures w14:val="none"/>
        </w:rPr>
        <w:t>Nginx</w:t>
      </w:r>
      <w:r>
        <w:rPr>
          <w:rFonts w:ascii="Times New Roman" w:hAnsi="Times New Roman" w:eastAsia="Times New Roman" w:cs="Times New Roman"/>
          <w:color w:val="000000"/>
          <w:kern w:val="0"/>
          <w:sz w:val="28"/>
          <w:szCs w:val="22"/>
          <w14:ligatures w14:val="none"/>
        </w:rPr>
        <w:t xml:space="preserve"> с терминацией </w:t>
      </w:r>
      <w:r>
        <w:rPr>
          <w:rFonts w:ascii="Times New Roman" w:hAnsi="Times New Roman" w:eastAsia="Times New Roman" w:cs="Times New Roman"/>
          <w:color w:val="000000"/>
          <w:kern w:val="0"/>
          <w:sz w:val="28"/>
          <w:szCs w:val="22"/>
          <w:lang w:val="en-US"/>
          <w14:ligatures w14:val="none"/>
        </w:rPr>
        <w:t>TLS</w:t>
      </w:r>
      <w:r>
        <w:rPr>
          <w:rFonts w:ascii="Times New Roman" w:hAnsi="Times New Roman" w:eastAsia="Times New Roman" w:cs="Times New Roman"/>
          <w:color w:val="000000"/>
          <w:kern w:val="0"/>
          <w:sz w:val="28"/>
          <w:szCs w:val="22"/>
          <w14:ligatures w14:val="none"/>
        </w:rPr>
        <w:t xml:space="preserve"> 1.2+. За шлюзом работают доменные сервисы: аутентификация и </w:t>
      </w:r>
      <w:r>
        <w:rPr>
          <w:rFonts w:ascii="Times New Roman" w:hAnsi="Times New Roman" w:eastAsia="Times New Roman" w:cs="Times New Roman"/>
          <w:color w:val="000000"/>
          <w:kern w:val="0"/>
          <w:sz w:val="28"/>
          <w:szCs w:val="22"/>
          <w:lang w:val="en-US"/>
          <w14:ligatures w14:val="none"/>
        </w:rPr>
        <w:t>SMS</w:t>
      </w:r>
      <w:r>
        <w:rPr>
          <w:rFonts w:ascii="Times New Roman" w:hAnsi="Times New Roman" w:eastAsia="Times New Roman" w:cs="Times New Roman"/>
          <w:color w:val="000000"/>
          <w:kern w:val="0"/>
          <w:sz w:val="28"/>
          <w:szCs w:val="22"/>
          <w14:ligatures w14:val="none"/>
        </w:rPr>
        <w:t>-</w:t>
      </w:r>
      <w:r>
        <w:rPr>
          <w:rFonts w:ascii="Times New Roman" w:hAnsi="Times New Roman" w:eastAsia="Times New Roman" w:cs="Times New Roman"/>
          <w:color w:val="000000"/>
          <w:kern w:val="0"/>
          <w:sz w:val="28"/>
          <w:szCs w:val="22"/>
          <w:lang w:val="en-US"/>
          <w14:ligatures w14:val="none"/>
        </w:rPr>
        <w:t>OTP</w:t>
      </w:r>
      <w:r>
        <w:rPr>
          <w:rFonts w:ascii="Times New Roman" w:hAnsi="Times New Roman" w:eastAsia="Times New Roman" w:cs="Times New Roman"/>
          <w:color w:val="000000"/>
          <w:kern w:val="0"/>
          <w:sz w:val="28"/>
          <w:szCs w:val="22"/>
          <w14:ligatures w14:val="none"/>
        </w:rPr>
        <w:t>, профиль пациента, запись на приём, уведомления, документы и платежи.</w:t>
      </w:r>
    </w:p>
    <w:p w14:paraId="085A6C36">
      <w:pPr>
        <w:spacing w:before="0" w:after="0"/>
        <w:ind w:firstLine="709"/>
        <w:jc w:val="both"/>
        <w:rPr>
          <w:rFonts w:ascii="Times New Roman" w:hAnsi="Times New Roman" w:eastAsia="Times New Roman" w:cs="Times New Roman"/>
          <w:color w:val="000000"/>
          <w:kern w:val="0"/>
          <w:sz w:val="28"/>
          <w:szCs w:val="22"/>
          <w14:ligatures w14:val="none"/>
        </w:rPr>
        <w:sectPr>
          <w:footerReference r:id="rId13" w:type="default"/>
          <w:pgSz w:w="16838" w:h="11906" w:orient="landscape"/>
          <w:pgMar w:top="1701" w:right="1134" w:bottom="851" w:left="1134" w:header="709" w:footer="709" w:gutter="0"/>
          <w:cols w:space="708" w:num="1"/>
          <w:docGrid w:linePitch="360" w:charSpace="0"/>
        </w:sectPr>
      </w:pPr>
      <w:r>
        <w:rPr>
          <w:rFonts w:ascii="Times New Roman" w:hAnsi="Times New Roman" w:eastAsia="Times New Roman" w:cs="Times New Roman"/>
          <w:color w:val="000000"/>
          <w:kern w:val="0"/>
          <w:sz w:val="28"/>
          <w:szCs w:val="22"/>
          <w14:ligatures w14:val="none"/>
        </w:rPr>
        <w:t xml:space="preserve">Хранилища первого уровня – </w:t>
      </w:r>
      <w:r>
        <w:rPr>
          <w:rFonts w:ascii="Times New Roman" w:hAnsi="Times New Roman" w:eastAsia="Times New Roman" w:cs="Times New Roman"/>
          <w:color w:val="000000"/>
          <w:kern w:val="0"/>
          <w:sz w:val="28"/>
          <w:szCs w:val="22"/>
          <w:lang w:val="en-US"/>
          <w14:ligatures w14:val="none"/>
        </w:rPr>
        <w:t>PostgreSQL</w:t>
      </w:r>
      <w:r>
        <w:rPr>
          <w:rFonts w:ascii="Times New Roman" w:hAnsi="Times New Roman" w:eastAsia="Times New Roman" w:cs="Times New Roman"/>
          <w:color w:val="000000"/>
          <w:kern w:val="0"/>
          <w:sz w:val="28"/>
          <w:szCs w:val="22"/>
          <w14:ligatures w14:val="none"/>
        </w:rPr>
        <w:t xml:space="preserve"> 16 с политиками </w:t>
      </w:r>
      <w:r>
        <w:rPr>
          <w:rFonts w:ascii="Times New Roman" w:hAnsi="Times New Roman" w:eastAsia="Times New Roman" w:cs="Times New Roman"/>
          <w:color w:val="000000"/>
          <w:kern w:val="0"/>
          <w:sz w:val="28"/>
          <w:szCs w:val="22"/>
          <w:lang w:val="en-US"/>
          <w14:ligatures w14:val="none"/>
        </w:rPr>
        <w:t>Row</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Level</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Security</w:t>
      </w:r>
      <w:r>
        <w:rPr>
          <w:rFonts w:ascii="Times New Roman" w:hAnsi="Times New Roman" w:eastAsia="Times New Roman" w:cs="Times New Roman"/>
          <w:color w:val="000000"/>
          <w:kern w:val="0"/>
          <w:sz w:val="28"/>
          <w:szCs w:val="22"/>
          <w14:ligatures w14:val="none"/>
        </w:rPr>
        <w:t xml:space="preserve"> для разграничения доступа между клиниками [5], </w:t>
      </w:r>
      <w:r>
        <w:rPr>
          <w:rFonts w:ascii="Times New Roman" w:hAnsi="Times New Roman" w:eastAsia="Times New Roman" w:cs="Times New Roman"/>
          <w:color w:val="000000"/>
          <w:kern w:val="0"/>
          <w:sz w:val="28"/>
          <w:szCs w:val="22"/>
          <w:lang w:val="en-US"/>
          <w14:ligatures w14:val="none"/>
        </w:rPr>
        <w:t>Redis</w:t>
      </w:r>
      <w:r>
        <w:rPr>
          <w:rFonts w:ascii="Times New Roman" w:hAnsi="Times New Roman" w:eastAsia="Times New Roman" w:cs="Times New Roman"/>
          <w:color w:val="000000"/>
          <w:kern w:val="0"/>
          <w:sz w:val="28"/>
          <w:szCs w:val="22"/>
          <w14:ligatures w14:val="none"/>
        </w:rPr>
        <w:t xml:space="preserve"> для распределённой блокировки слотов при одновременной записи [6] и </w:t>
      </w:r>
      <w:r>
        <w:rPr>
          <w:rFonts w:ascii="Times New Roman" w:hAnsi="Times New Roman" w:eastAsia="Times New Roman" w:cs="Times New Roman"/>
          <w:color w:val="000000"/>
          <w:kern w:val="0"/>
          <w:sz w:val="28"/>
          <w:szCs w:val="22"/>
          <w:lang w:val="en-US"/>
          <w14:ligatures w14:val="none"/>
        </w:rPr>
        <w:t>S</w:t>
      </w:r>
      <w:r>
        <w:rPr>
          <w:rFonts w:ascii="Times New Roman" w:hAnsi="Times New Roman" w:eastAsia="Times New Roman" w:cs="Times New Roman"/>
          <w:color w:val="000000"/>
          <w:kern w:val="0"/>
          <w:sz w:val="28"/>
          <w:szCs w:val="22"/>
          <w14:ligatures w14:val="none"/>
        </w:rPr>
        <w:t xml:space="preserve">3-совместимое объектное </w:t>
      </w:r>
    </w:p>
    <w:p w14:paraId="1CC5DFF2">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хранилище для чеков и справок. Отправка </w:t>
      </w:r>
      <w:r>
        <w:rPr>
          <w:rFonts w:ascii="Times New Roman" w:hAnsi="Times New Roman" w:eastAsia="Times New Roman" w:cs="Times New Roman"/>
          <w:color w:val="000000"/>
          <w:kern w:val="0"/>
          <w:sz w:val="28"/>
          <w:szCs w:val="22"/>
          <w:lang w:val="en-US"/>
          <w14:ligatures w14:val="none"/>
        </w:rPr>
        <w:t>SMS</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push</w:t>
      </w:r>
      <w:r>
        <w:rPr>
          <w:rFonts w:ascii="Times New Roman" w:hAnsi="Times New Roman" w:eastAsia="Times New Roman" w:cs="Times New Roman"/>
          <w:color w:val="000000"/>
          <w:kern w:val="0"/>
          <w:sz w:val="28"/>
          <w:szCs w:val="22"/>
          <w14:ligatures w14:val="none"/>
        </w:rPr>
        <w:t xml:space="preserve">-уведомлений и обмен с ЭДО вынесены в фоновую очередь. За счёт этого доменные сервисы остаются слабо связанными, а пиковые нагрузки не ломают </w:t>
      </w:r>
      <w:r>
        <w:rPr>
          <w:rFonts w:ascii="Times New Roman" w:hAnsi="Times New Roman" w:eastAsia="Times New Roman" w:cs="Times New Roman"/>
          <w:color w:val="000000"/>
          <w:kern w:val="0"/>
          <w:sz w:val="28"/>
          <w:szCs w:val="22"/>
          <w:lang w:val="en-US"/>
          <w14:ligatures w14:val="none"/>
        </w:rPr>
        <w:t>API</w:t>
      </w:r>
      <w:r>
        <w:rPr>
          <w:rFonts w:ascii="Times New Roman" w:hAnsi="Times New Roman" w:eastAsia="Times New Roman" w:cs="Times New Roman"/>
          <w:color w:val="000000"/>
          <w:kern w:val="0"/>
          <w:sz w:val="28"/>
          <w:szCs w:val="22"/>
          <w14:ligatures w14:val="none"/>
        </w:rPr>
        <w:t xml:space="preserve"> записи на приём.</w:t>
      </w:r>
    </w:p>
    <w:p w14:paraId="6E2CFECF">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5762625" cy="5443855"/>
            <wp:effectExtent l="0" t="0" r="9525" b="444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762625" cy="5443855"/>
                    </a:xfrm>
                    <a:prstGeom prst="rect">
                      <a:avLst/>
                    </a:prstGeom>
                    <a:noFill/>
                    <a:ln>
                      <a:noFill/>
                    </a:ln>
                  </pic:spPr>
                </pic:pic>
              </a:graphicData>
            </a:graphic>
          </wp:inline>
        </w:drawing>
      </w:r>
    </w:p>
    <w:p w14:paraId="4F38385F">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21 — Архитектура целевого продукта</w:t>
      </w:r>
    </w:p>
    <w:p w14:paraId="69B48F2E">
      <w:pPr>
        <w:spacing w:before="0" w:after="0"/>
        <w:ind w:firstLine="709"/>
        <w:jc w:val="both"/>
      </w:pPr>
      <w:r>
        <w:rPr>
          <w:rFonts w:ascii="Times New Roman" w:hAnsi="Times New Roman"/>
          <w:b w:val="0"/>
          <w:sz w:val="28"/>
        </w:rPr>
        <w:t>Схема отображает четырёхуровневую архитектуру мобильного приложения: клиентский уровень (iOS/Android), API-шлюз, уровень микросервисов (запись, профили, документы, уведомления) и уровень хранилищ (PostgreSQL 16, S3). Асинхронные задачи вынесены в фоновую очередь. Политики Row Level Security на уровне базы данных разграничивают доступ между клиниками сети. Архитектурное решение обеспечивает горизонтальное масштабирование при подключении новых филиалов.</w:t>
      </w:r>
    </w:p>
    <w:p w14:paraId="3AD76104">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32 — Технологический стек по слоям</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381"/>
        <w:gridCol w:w="4819"/>
      </w:tblGrid>
      <w:tr w14:paraId="2408BC71">
        <w:tc>
          <w:tcPr>
            <w:tcW w:w="2154" w:type="dxa"/>
            <w:tcBorders>
              <w:top w:val="single" w:color="auto" w:sz="4" w:space="0"/>
              <w:left w:val="single" w:color="auto" w:sz="4" w:space="0"/>
              <w:bottom w:val="single" w:color="auto" w:sz="4" w:space="0"/>
              <w:right w:val="single" w:color="auto" w:sz="4" w:space="0"/>
            </w:tcBorders>
            <w:vAlign w:val="center"/>
          </w:tcPr>
          <w:p w14:paraId="73B19B6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Слой</w:t>
            </w:r>
          </w:p>
        </w:tc>
        <w:tc>
          <w:tcPr>
            <w:tcW w:w="2381" w:type="dxa"/>
            <w:tcBorders>
              <w:top w:val="single" w:color="auto" w:sz="4" w:space="0"/>
              <w:left w:val="single" w:color="auto" w:sz="4" w:space="0"/>
              <w:bottom w:val="single" w:color="auto" w:sz="4" w:space="0"/>
              <w:right w:val="single" w:color="auto" w:sz="4" w:space="0"/>
            </w:tcBorders>
            <w:vAlign w:val="center"/>
          </w:tcPr>
          <w:p w14:paraId="7FA302F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Технология</w:t>
            </w:r>
          </w:p>
        </w:tc>
        <w:tc>
          <w:tcPr>
            <w:tcW w:w="4819" w:type="dxa"/>
            <w:tcBorders>
              <w:top w:val="single" w:color="auto" w:sz="4" w:space="0"/>
              <w:left w:val="single" w:color="auto" w:sz="4" w:space="0"/>
              <w:bottom w:val="single" w:color="auto" w:sz="4" w:space="0"/>
              <w:right w:val="single" w:color="auto" w:sz="4" w:space="0"/>
            </w:tcBorders>
            <w:vAlign w:val="center"/>
          </w:tcPr>
          <w:p w14:paraId="2BB6EF5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Обоснование выбора</w:t>
            </w:r>
          </w:p>
        </w:tc>
      </w:tr>
      <w:tr w14:paraId="565F4D28">
        <w:tc>
          <w:tcPr>
            <w:tcW w:w="2154" w:type="dxa"/>
            <w:tcBorders>
              <w:top w:val="single" w:color="auto" w:sz="4" w:space="0"/>
              <w:left w:val="single" w:color="auto" w:sz="4" w:space="0"/>
              <w:bottom w:val="single" w:color="auto" w:sz="4" w:space="0"/>
              <w:right w:val="single" w:color="auto" w:sz="4" w:space="0"/>
            </w:tcBorders>
            <w:vAlign w:val="center"/>
          </w:tcPr>
          <w:p w14:paraId="7E31FAB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Мобильный клиент</w:t>
            </w:r>
          </w:p>
        </w:tc>
        <w:tc>
          <w:tcPr>
            <w:tcW w:w="2381" w:type="dxa"/>
            <w:tcBorders>
              <w:top w:val="single" w:color="auto" w:sz="4" w:space="0"/>
              <w:left w:val="single" w:color="auto" w:sz="4" w:space="0"/>
              <w:bottom w:val="single" w:color="auto" w:sz="4" w:space="0"/>
              <w:right w:val="single" w:color="auto" w:sz="4" w:space="0"/>
            </w:tcBorders>
            <w:vAlign w:val="center"/>
          </w:tcPr>
          <w:p w14:paraId="5E6D0DA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React Native 0.74 (TypeScript)</w:t>
            </w:r>
          </w:p>
        </w:tc>
        <w:tc>
          <w:tcPr>
            <w:tcW w:w="4819" w:type="dxa"/>
            <w:tcBorders>
              <w:top w:val="single" w:color="auto" w:sz="4" w:space="0"/>
              <w:left w:val="single" w:color="auto" w:sz="4" w:space="0"/>
              <w:bottom w:val="single" w:color="auto" w:sz="4" w:space="0"/>
              <w:right w:val="single" w:color="auto" w:sz="4" w:space="0"/>
            </w:tcBorders>
            <w:vAlign w:val="center"/>
          </w:tcPr>
          <w:p w14:paraId="18B0EC2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Единая кодовая база для </w:t>
            </w:r>
            <w:r>
              <w:rPr>
                <w:rFonts w:ascii="Times New Roman" w:hAnsi="Times New Roman" w:eastAsia="Times New Roman" w:cs="Times New Roman"/>
                <w:color w:val="000000"/>
                <w:kern w:val="0"/>
                <w:sz w:val="24"/>
                <w:szCs w:val="24"/>
                <w:lang w:val="en-US" w:eastAsia="ru-RU"/>
                <w14:ligatures w14:val="none"/>
              </w:rPr>
              <w:t>iOS</w:t>
            </w:r>
            <w:r>
              <w:rPr>
                <w:rFonts w:ascii="Times New Roman" w:hAnsi="Times New Roman" w:eastAsia="Times New Roman" w:cs="Times New Roman"/>
                <w:color w:val="000000"/>
                <w:kern w:val="0"/>
                <w:sz w:val="24"/>
                <w:szCs w:val="24"/>
                <w:lang w:eastAsia="ru-RU"/>
                <w14:ligatures w14:val="none"/>
              </w:rPr>
              <w:t xml:space="preserve"> и </w:t>
            </w:r>
            <w:r>
              <w:rPr>
                <w:rFonts w:ascii="Times New Roman" w:hAnsi="Times New Roman" w:eastAsia="Times New Roman" w:cs="Times New Roman"/>
                <w:color w:val="000000"/>
                <w:kern w:val="0"/>
                <w:sz w:val="24"/>
                <w:szCs w:val="24"/>
                <w:lang w:val="en-US" w:eastAsia="ru-RU"/>
                <w14:ligatures w14:val="none"/>
              </w:rPr>
              <w:t>Android</w:t>
            </w:r>
            <w:r>
              <w:rPr>
                <w:rFonts w:ascii="Times New Roman" w:hAnsi="Times New Roman" w:eastAsia="Times New Roman" w:cs="Times New Roman"/>
                <w:color w:val="000000"/>
                <w:kern w:val="0"/>
                <w:sz w:val="24"/>
                <w:szCs w:val="24"/>
                <w:lang w:eastAsia="ru-RU"/>
                <w14:ligatures w14:val="none"/>
              </w:rPr>
              <w:t xml:space="preserve"> сокращает трудоёмкость поддержки двух платформ при сохранении нативной производительности [7].</w:t>
            </w:r>
          </w:p>
        </w:tc>
      </w:tr>
      <w:tr w14:paraId="1285C4DB">
        <w:tc>
          <w:tcPr>
            <w:tcW w:w="2154" w:type="dxa"/>
            <w:tcBorders>
              <w:top w:val="single" w:color="auto" w:sz="4" w:space="0"/>
              <w:left w:val="single" w:color="auto" w:sz="4" w:space="0"/>
              <w:bottom w:val="single" w:color="auto" w:sz="4" w:space="0"/>
              <w:right w:val="single" w:color="auto" w:sz="4" w:space="0"/>
            </w:tcBorders>
            <w:vAlign w:val="center"/>
          </w:tcPr>
          <w:p w14:paraId="211FE6F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Веб-клиент</w:t>
            </w:r>
          </w:p>
        </w:tc>
        <w:tc>
          <w:tcPr>
            <w:tcW w:w="2381" w:type="dxa"/>
            <w:tcBorders>
              <w:top w:val="single" w:color="auto" w:sz="4" w:space="0"/>
              <w:left w:val="single" w:color="auto" w:sz="4" w:space="0"/>
              <w:bottom w:val="single" w:color="auto" w:sz="4" w:space="0"/>
              <w:right w:val="single" w:color="auto" w:sz="4" w:space="0"/>
            </w:tcBorders>
            <w:vAlign w:val="center"/>
          </w:tcPr>
          <w:p w14:paraId="5FEBD5F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Next.js 14 (TypeScript)</w:t>
            </w:r>
          </w:p>
        </w:tc>
        <w:tc>
          <w:tcPr>
            <w:tcW w:w="4819" w:type="dxa"/>
            <w:tcBorders>
              <w:top w:val="single" w:color="auto" w:sz="4" w:space="0"/>
              <w:left w:val="single" w:color="auto" w:sz="4" w:space="0"/>
              <w:bottom w:val="single" w:color="auto" w:sz="4" w:space="0"/>
              <w:right w:val="single" w:color="auto" w:sz="4" w:space="0"/>
            </w:tcBorders>
            <w:vAlign w:val="center"/>
          </w:tcPr>
          <w:p w14:paraId="757B33F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Серверный рендеринг обеспечивает быструю отрисовку страниц записи и карточек врачей, а также упрощает </w:t>
            </w:r>
            <w:r>
              <w:rPr>
                <w:rFonts w:ascii="Times New Roman" w:hAnsi="Times New Roman" w:eastAsia="Times New Roman" w:cs="Times New Roman"/>
                <w:color w:val="000000"/>
                <w:kern w:val="0"/>
                <w:sz w:val="24"/>
                <w:szCs w:val="24"/>
                <w:lang w:val="en-US" w:eastAsia="ru-RU"/>
                <w14:ligatures w14:val="none"/>
              </w:rPr>
              <w:t>SEO</w:t>
            </w:r>
            <w:r>
              <w:rPr>
                <w:rFonts w:ascii="Times New Roman" w:hAnsi="Times New Roman" w:eastAsia="Times New Roman" w:cs="Times New Roman"/>
                <w:color w:val="000000"/>
                <w:kern w:val="0"/>
                <w:sz w:val="24"/>
                <w:szCs w:val="24"/>
                <w:lang w:eastAsia="ru-RU"/>
                <w14:ligatures w14:val="none"/>
              </w:rPr>
              <w:t xml:space="preserve"> публичного каталога.</w:t>
            </w:r>
          </w:p>
        </w:tc>
      </w:tr>
      <w:tr w14:paraId="3B4B350E">
        <w:tc>
          <w:tcPr>
            <w:tcW w:w="2154" w:type="dxa"/>
            <w:tcBorders>
              <w:top w:val="single" w:color="auto" w:sz="4" w:space="0"/>
              <w:left w:val="single" w:color="auto" w:sz="4" w:space="0"/>
              <w:bottom w:val="single" w:color="auto" w:sz="4" w:space="0"/>
              <w:right w:val="single" w:color="auto" w:sz="4" w:space="0"/>
            </w:tcBorders>
            <w:vAlign w:val="center"/>
          </w:tcPr>
          <w:p w14:paraId="30DDC08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API Gateway</w:t>
            </w:r>
          </w:p>
        </w:tc>
        <w:tc>
          <w:tcPr>
            <w:tcW w:w="2381" w:type="dxa"/>
            <w:tcBorders>
              <w:top w:val="single" w:color="auto" w:sz="4" w:space="0"/>
              <w:left w:val="single" w:color="auto" w:sz="4" w:space="0"/>
              <w:bottom w:val="single" w:color="auto" w:sz="4" w:space="0"/>
              <w:right w:val="single" w:color="auto" w:sz="4" w:space="0"/>
            </w:tcBorders>
            <w:vAlign w:val="center"/>
          </w:tcPr>
          <w:p w14:paraId="462FD30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Nginx с TLS 1.2+</w:t>
            </w:r>
          </w:p>
        </w:tc>
        <w:tc>
          <w:tcPr>
            <w:tcW w:w="4819" w:type="dxa"/>
            <w:tcBorders>
              <w:top w:val="single" w:color="auto" w:sz="4" w:space="0"/>
              <w:left w:val="single" w:color="auto" w:sz="4" w:space="0"/>
              <w:bottom w:val="single" w:color="auto" w:sz="4" w:space="0"/>
              <w:right w:val="single" w:color="auto" w:sz="4" w:space="0"/>
            </w:tcBorders>
            <w:vAlign w:val="center"/>
          </w:tcPr>
          <w:p w14:paraId="33BED702">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Проверенный открытый шлюз с возможностью маршрутизации, </w:t>
            </w:r>
            <w:r>
              <w:rPr>
                <w:rFonts w:ascii="Times New Roman" w:hAnsi="Times New Roman" w:eastAsia="Times New Roman" w:cs="Times New Roman"/>
                <w:color w:val="000000"/>
                <w:kern w:val="0"/>
                <w:sz w:val="24"/>
                <w:szCs w:val="24"/>
                <w:lang w:val="en-US" w:eastAsia="ru-RU"/>
                <w14:ligatures w14:val="none"/>
              </w:rPr>
              <w:t>rate</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limiting</w:t>
            </w:r>
            <w:r>
              <w:rPr>
                <w:rFonts w:ascii="Times New Roman" w:hAnsi="Times New Roman" w:eastAsia="Times New Roman" w:cs="Times New Roman"/>
                <w:color w:val="000000"/>
                <w:kern w:val="0"/>
                <w:sz w:val="24"/>
                <w:szCs w:val="24"/>
                <w:lang w:eastAsia="ru-RU"/>
                <w14:ligatures w14:val="none"/>
              </w:rPr>
              <w:t xml:space="preserve"> и кеширования ответов публичного каталога.</w:t>
            </w:r>
          </w:p>
        </w:tc>
      </w:tr>
      <w:tr w14:paraId="0FD9AE75">
        <w:tc>
          <w:tcPr>
            <w:tcW w:w="2154" w:type="dxa"/>
            <w:tcBorders>
              <w:top w:val="single" w:color="auto" w:sz="4" w:space="0"/>
              <w:left w:val="single" w:color="auto" w:sz="4" w:space="0"/>
              <w:bottom w:val="single" w:color="auto" w:sz="4" w:space="0"/>
              <w:right w:val="single" w:color="auto" w:sz="4" w:space="0"/>
            </w:tcBorders>
            <w:vAlign w:val="center"/>
          </w:tcPr>
          <w:p w14:paraId="4F3F1EF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Доменные сервисы</w:t>
            </w:r>
          </w:p>
        </w:tc>
        <w:tc>
          <w:tcPr>
            <w:tcW w:w="2381" w:type="dxa"/>
            <w:tcBorders>
              <w:top w:val="single" w:color="auto" w:sz="4" w:space="0"/>
              <w:left w:val="single" w:color="auto" w:sz="4" w:space="0"/>
              <w:bottom w:val="single" w:color="auto" w:sz="4" w:space="0"/>
              <w:right w:val="single" w:color="auto" w:sz="4" w:space="0"/>
            </w:tcBorders>
            <w:vAlign w:val="center"/>
          </w:tcPr>
          <w:p w14:paraId="439300F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NestJS 10 на Node.js 20</w:t>
            </w:r>
          </w:p>
        </w:tc>
        <w:tc>
          <w:tcPr>
            <w:tcW w:w="4819" w:type="dxa"/>
            <w:tcBorders>
              <w:top w:val="single" w:color="auto" w:sz="4" w:space="0"/>
              <w:left w:val="single" w:color="auto" w:sz="4" w:space="0"/>
              <w:bottom w:val="single" w:color="auto" w:sz="4" w:space="0"/>
              <w:right w:val="single" w:color="auto" w:sz="4" w:space="0"/>
            </w:tcBorders>
            <w:vAlign w:val="center"/>
          </w:tcPr>
          <w:p w14:paraId="7999799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Модульная архитектура, встроенное </w:t>
            </w:r>
            <w:r>
              <w:rPr>
                <w:rFonts w:ascii="Times New Roman" w:hAnsi="Times New Roman" w:eastAsia="Times New Roman" w:cs="Times New Roman"/>
                <w:color w:val="000000"/>
                <w:kern w:val="0"/>
                <w:sz w:val="24"/>
                <w:szCs w:val="24"/>
                <w:lang w:val="en-US" w:eastAsia="ru-RU"/>
                <w14:ligatures w14:val="none"/>
              </w:rPr>
              <w:t>DI</w:t>
            </w:r>
            <w:r>
              <w:rPr>
                <w:rFonts w:ascii="Times New Roman" w:hAnsi="Times New Roman" w:eastAsia="Times New Roman" w:cs="Times New Roman"/>
                <w:color w:val="000000"/>
                <w:kern w:val="0"/>
                <w:sz w:val="24"/>
                <w:szCs w:val="24"/>
                <w:lang w:eastAsia="ru-RU"/>
                <w14:ligatures w14:val="none"/>
              </w:rPr>
              <w:t xml:space="preserve">-контейнерное решение и типобезопасность по </w:t>
            </w:r>
            <w:r>
              <w:rPr>
                <w:rFonts w:ascii="Times New Roman" w:hAnsi="Times New Roman" w:eastAsia="Times New Roman" w:cs="Times New Roman"/>
                <w:color w:val="000000"/>
                <w:kern w:val="0"/>
                <w:sz w:val="24"/>
                <w:szCs w:val="24"/>
                <w:lang w:val="en-US" w:eastAsia="ru-RU"/>
                <w14:ligatures w14:val="none"/>
              </w:rPr>
              <w:t>TypeScript</w:t>
            </w:r>
            <w:r>
              <w:rPr>
                <w:rFonts w:ascii="Times New Roman" w:hAnsi="Times New Roman" w:eastAsia="Times New Roman" w:cs="Times New Roman"/>
                <w:color w:val="000000"/>
                <w:kern w:val="0"/>
                <w:sz w:val="24"/>
                <w:szCs w:val="24"/>
                <w:lang w:eastAsia="ru-RU"/>
                <w14:ligatures w14:val="none"/>
              </w:rPr>
              <w:t xml:space="preserve"> облегчают декомпозицию доменов [8].</w:t>
            </w:r>
          </w:p>
        </w:tc>
      </w:tr>
      <w:tr w14:paraId="2D807074">
        <w:tc>
          <w:tcPr>
            <w:tcW w:w="2154" w:type="dxa"/>
            <w:tcBorders>
              <w:top w:val="single" w:color="auto" w:sz="4" w:space="0"/>
              <w:left w:val="single" w:color="auto" w:sz="4" w:space="0"/>
              <w:bottom w:val="single" w:color="auto" w:sz="4" w:space="0"/>
              <w:right w:val="single" w:color="auto" w:sz="4" w:space="0"/>
            </w:tcBorders>
            <w:vAlign w:val="center"/>
          </w:tcPr>
          <w:p w14:paraId="2D067ED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Очередь задач</w:t>
            </w:r>
          </w:p>
        </w:tc>
        <w:tc>
          <w:tcPr>
            <w:tcW w:w="2381" w:type="dxa"/>
            <w:tcBorders>
              <w:top w:val="single" w:color="auto" w:sz="4" w:space="0"/>
              <w:left w:val="single" w:color="auto" w:sz="4" w:space="0"/>
              <w:bottom w:val="single" w:color="auto" w:sz="4" w:space="0"/>
              <w:right w:val="single" w:color="auto" w:sz="4" w:space="0"/>
            </w:tcBorders>
            <w:vAlign w:val="center"/>
          </w:tcPr>
          <w:p w14:paraId="6D3DE59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BullMQ на Redis</w:t>
            </w:r>
          </w:p>
        </w:tc>
        <w:tc>
          <w:tcPr>
            <w:tcW w:w="4819" w:type="dxa"/>
            <w:tcBorders>
              <w:top w:val="single" w:color="auto" w:sz="4" w:space="0"/>
              <w:left w:val="single" w:color="auto" w:sz="4" w:space="0"/>
              <w:bottom w:val="single" w:color="auto" w:sz="4" w:space="0"/>
              <w:right w:val="single" w:color="auto" w:sz="4" w:space="0"/>
            </w:tcBorders>
            <w:vAlign w:val="center"/>
          </w:tcPr>
          <w:p w14:paraId="7A9E7F2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Очередь с приоритетами и отложенным выполнением позволяет планировать напоминания за 24 часа и за 2 часа до визита.</w:t>
            </w:r>
          </w:p>
        </w:tc>
      </w:tr>
      <w:tr w14:paraId="31995258">
        <w:tc>
          <w:tcPr>
            <w:tcW w:w="2154" w:type="dxa"/>
            <w:tcBorders>
              <w:top w:val="single" w:color="auto" w:sz="4" w:space="0"/>
              <w:left w:val="single" w:color="auto" w:sz="4" w:space="0"/>
              <w:bottom w:val="single" w:color="auto" w:sz="4" w:space="0"/>
              <w:right w:val="single" w:color="auto" w:sz="4" w:space="0"/>
            </w:tcBorders>
            <w:vAlign w:val="center"/>
          </w:tcPr>
          <w:p w14:paraId="3366ED0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Хранилище данных</w:t>
            </w:r>
          </w:p>
        </w:tc>
        <w:tc>
          <w:tcPr>
            <w:tcW w:w="2381" w:type="dxa"/>
            <w:tcBorders>
              <w:top w:val="single" w:color="auto" w:sz="4" w:space="0"/>
              <w:left w:val="single" w:color="auto" w:sz="4" w:space="0"/>
              <w:bottom w:val="single" w:color="auto" w:sz="4" w:space="0"/>
              <w:right w:val="single" w:color="auto" w:sz="4" w:space="0"/>
            </w:tcBorders>
            <w:vAlign w:val="center"/>
          </w:tcPr>
          <w:p w14:paraId="0EA00C0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PostgreSQL</w:t>
            </w:r>
            <w:r>
              <w:rPr>
                <w:rFonts w:ascii="Times New Roman" w:hAnsi="Times New Roman" w:eastAsia="Times New Roman" w:cs="Times New Roman"/>
                <w:color w:val="000000"/>
                <w:kern w:val="0"/>
                <w:sz w:val="24"/>
                <w:szCs w:val="24"/>
                <w:lang w:eastAsia="ru-RU"/>
                <w14:ligatures w14:val="none"/>
              </w:rPr>
              <w:t xml:space="preserve"> 16, </w:t>
            </w:r>
            <w:r>
              <w:rPr>
                <w:rFonts w:ascii="Times New Roman" w:hAnsi="Times New Roman" w:eastAsia="Times New Roman" w:cs="Times New Roman"/>
                <w:color w:val="000000"/>
                <w:kern w:val="0"/>
                <w:sz w:val="24"/>
                <w:szCs w:val="24"/>
                <w:lang w:val="en-US" w:eastAsia="ru-RU"/>
                <w14:ligatures w14:val="none"/>
              </w:rPr>
              <w:t>Redis</w:t>
            </w:r>
            <w:r>
              <w:rPr>
                <w:rFonts w:ascii="Times New Roman" w:hAnsi="Times New Roman" w:eastAsia="Times New Roman" w:cs="Times New Roman"/>
                <w:color w:val="000000"/>
                <w:kern w:val="0"/>
                <w:sz w:val="24"/>
                <w:szCs w:val="24"/>
                <w:lang w:eastAsia="ru-RU"/>
                <w14:ligatures w14:val="none"/>
              </w:rPr>
              <w:t xml:space="preserve"> 7, </w:t>
            </w:r>
            <w:r>
              <w:rPr>
                <w:rFonts w:ascii="Times New Roman" w:hAnsi="Times New Roman" w:eastAsia="Times New Roman" w:cs="Times New Roman"/>
                <w:color w:val="000000"/>
                <w:kern w:val="0"/>
                <w:sz w:val="24"/>
                <w:szCs w:val="24"/>
                <w:lang w:val="en-US" w:eastAsia="ru-RU"/>
                <w14:ligatures w14:val="none"/>
              </w:rPr>
              <w:t>S</w:t>
            </w:r>
            <w:r>
              <w:rPr>
                <w:rFonts w:ascii="Times New Roman" w:hAnsi="Times New Roman" w:eastAsia="Times New Roman" w:cs="Times New Roman"/>
                <w:color w:val="000000"/>
                <w:kern w:val="0"/>
                <w:sz w:val="24"/>
                <w:szCs w:val="24"/>
                <w:lang w:eastAsia="ru-RU"/>
                <w14:ligatures w14:val="none"/>
              </w:rPr>
              <w:t>3-совместимое объектное хранилище</w:t>
            </w:r>
          </w:p>
        </w:tc>
        <w:tc>
          <w:tcPr>
            <w:tcW w:w="4819" w:type="dxa"/>
            <w:tcBorders>
              <w:top w:val="single" w:color="auto" w:sz="4" w:space="0"/>
              <w:left w:val="single" w:color="auto" w:sz="4" w:space="0"/>
              <w:bottom w:val="single" w:color="auto" w:sz="4" w:space="0"/>
              <w:right w:val="single" w:color="auto" w:sz="4" w:space="0"/>
            </w:tcBorders>
            <w:vAlign w:val="center"/>
          </w:tcPr>
          <w:p w14:paraId="2CFAEE6B">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PostgreSQL</w:t>
            </w:r>
            <w:r>
              <w:rPr>
                <w:rFonts w:ascii="Times New Roman" w:hAnsi="Times New Roman" w:eastAsia="Times New Roman" w:cs="Times New Roman"/>
                <w:color w:val="000000"/>
                <w:kern w:val="0"/>
                <w:sz w:val="24"/>
                <w:szCs w:val="24"/>
                <w:lang w:eastAsia="ru-RU"/>
                <w14:ligatures w14:val="none"/>
              </w:rPr>
              <w:t xml:space="preserve"> закрывает транзакционные данные; </w:t>
            </w:r>
            <w:r>
              <w:rPr>
                <w:rFonts w:ascii="Times New Roman" w:hAnsi="Times New Roman" w:eastAsia="Times New Roman" w:cs="Times New Roman"/>
                <w:color w:val="000000"/>
                <w:kern w:val="0"/>
                <w:sz w:val="24"/>
                <w:szCs w:val="24"/>
                <w:lang w:val="en-US" w:eastAsia="ru-RU"/>
                <w14:ligatures w14:val="none"/>
              </w:rPr>
              <w:t>Redis</w:t>
            </w:r>
            <w:r>
              <w:rPr>
                <w:rFonts w:ascii="Times New Roman" w:hAnsi="Times New Roman" w:eastAsia="Times New Roman" w:cs="Times New Roman"/>
                <w:color w:val="000000"/>
                <w:kern w:val="0"/>
                <w:sz w:val="24"/>
                <w:szCs w:val="24"/>
                <w:lang w:eastAsia="ru-RU"/>
                <w14:ligatures w14:val="none"/>
              </w:rPr>
              <w:t xml:space="preserve"> – быструю блокировку слотов и кэш каталога; </w:t>
            </w:r>
            <w:r>
              <w:rPr>
                <w:rFonts w:ascii="Times New Roman" w:hAnsi="Times New Roman" w:eastAsia="Times New Roman" w:cs="Times New Roman"/>
                <w:color w:val="000000"/>
                <w:kern w:val="0"/>
                <w:sz w:val="24"/>
                <w:szCs w:val="24"/>
                <w:lang w:val="en-US" w:eastAsia="ru-RU"/>
                <w14:ligatures w14:val="none"/>
              </w:rPr>
              <w:t>S</w:t>
            </w:r>
            <w:r>
              <w:rPr>
                <w:rFonts w:ascii="Times New Roman" w:hAnsi="Times New Roman" w:eastAsia="Times New Roman" w:cs="Times New Roman"/>
                <w:color w:val="000000"/>
                <w:kern w:val="0"/>
                <w:sz w:val="24"/>
                <w:szCs w:val="24"/>
                <w:lang w:eastAsia="ru-RU"/>
                <w14:ligatures w14:val="none"/>
              </w:rPr>
              <w:t>3 – бинарные артефакты (чеки, справки, фото врачей).</w:t>
            </w:r>
          </w:p>
        </w:tc>
      </w:tr>
      <w:tr w14:paraId="1F8F72EC">
        <w:tc>
          <w:tcPr>
            <w:tcW w:w="2154" w:type="dxa"/>
            <w:tcBorders>
              <w:top w:val="single" w:color="auto" w:sz="4" w:space="0"/>
              <w:left w:val="single" w:color="auto" w:sz="4" w:space="0"/>
              <w:bottom w:val="single" w:color="auto" w:sz="4" w:space="0"/>
              <w:right w:val="single" w:color="auto" w:sz="4" w:space="0"/>
            </w:tcBorders>
            <w:vAlign w:val="center"/>
          </w:tcPr>
          <w:p w14:paraId="61F8BAC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Наблюдаемость</w:t>
            </w:r>
          </w:p>
        </w:tc>
        <w:tc>
          <w:tcPr>
            <w:tcW w:w="2381" w:type="dxa"/>
            <w:tcBorders>
              <w:top w:val="single" w:color="auto" w:sz="4" w:space="0"/>
              <w:left w:val="single" w:color="auto" w:sz="4" w:space="0"/>
              <w:bottom w:val="single" w:color="auto" w:sz="4" w:space="0"/>
              <w:right w:val="single" w:color="auto" w:sz="4" w:space="0"/>
            </w:tcBorders>
            <w:vAlign w:val="center"/>
          </w:tcPr>
          <w:p w14:paraId="1E22691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OpenTelemetry, Prometheus, Grafana, Loki</w:t>
            </w:r>
          </w:p>
        </w:tc>
        <w:tc>
          <w:tcPr>
            <w:tcW w:w="4819" w:type="dxa"/>
            <w:tcBorders>
              <w:top w:val="single" w:color="auto" w:sz="4" w:space="0"/>
              <w:left w:val="single" w:color="auto" w:sz="4" w:space="0"/>
              <w:bottom w:val="single" w:color="auto" w:sz="4" w:space="0"/>
              <w:right w:val="single" w:color="auto" w:sz="4" w:space="0"/>
            </w:tcBorders>
            <w:vAlign w:val="center"/>
          </w:tcPr>
          <w:p w14:paraId="292585E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Единый стек метрик, логов и трассировок упрощает поиск источника деградации и расследование инцидентов.</w:t>
            </w:r>
          </w:p>
        </w:tc>
      </w:tr>
      <w:tr w14:paraId="4CC2D212">
        <w:tc>
          <w:tcPr>
            <w:tcW w:w="2154" w:type="dxa"/>
            <w:tcBorders>
              <w:top w:val="single" w:color="auto" w:sz="4" w:space="0"/>
              <w:left w:val="single" w:color="auto" w:sz="4" w:space="0"/>
              <w:bottom w:val="single" w:color="auto" w:sz="4" w:space="0"/>
              <w:right w:val="single" w:color="auto" w:sz="4" w:space="0"/>
            </w:tcBorders>
            <w:vAlign w:val="center"/>
          </w:tcPr>
          <w:p w14:paraId="5D38867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CI/CD и инфраструктура</w:t>
            </w:r>
          </w:p>
        </w:tc>
        <w:tc>
          <w:tcPr>
            <w:tcW w:w="2381" w:type="dxa"/>
            <w:tcBorders>
              <w:top w:val="single" w:color="auto" w:sz="4" w:space="0"/>
              <w:left w:val="single" w:color="auto" w:sz="4" w:space="0"/>
              <w:bottom w:val="single" w:color="auto" w:sz="4" w:space="0"/>
              <w:right w:val="single" w:color="auto" w:sz="4" w:space="0"/>
            </w:tcBorders>
            <w:vAlign w:val="center"/>
          </w:tcPr>
          <w:p w14:paraId="5C8AC4E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Docker, GitLab CI, Terraform, Yandex Cloud</w:t>
            </w:r>
          </w:p>
        </w:tc>
        <w:tc>
          <w:tcPr>
            <w:tcW w:w="4819" w:type="dxa"/>
            <w:tcBorders>
              <w:top w:val="single" w:color="auto" w:sz="4" w:space="0"/>
              <w:left w:val="single" w:color="auto" w:sz="4" w:space="0"/>
              <w:bottom w:val="single" w:color="auto" w:sz="4" w:space="0"/>
              <w:right w:val="single" w:color="auto" w:sz="4" w:space="0"/>
            </w:tcBorders>
            <w:vAlign w:val="center"/>
          </w:tcPr>
          <w:p w14:paraId="52B033D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Воспроизводимая доставка сервисов и инфраструктура как код сокращают время развёртывания новой клиники сети.</w:t>
            </w:r>
          </w:p>
        </w:tc>
      </w:tr>
    </w:tbl>
    <w:p w14:paraId="6901D122">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lang w:val="en-US"/>
          <w14:ligatures w14:val="none"/>
        </w:rPr>
        <w:t>PostgreSQL</w:t>
      </w:r>
      <w:r>
        <w:rPr>
          <w:rFonts w:ascii="Times New Roman" w:hAnsi="Times New Roman" w:eastAsia="Times New Roman" w:cs="Times New Roman"/>
          <w:color w:val="000000"/>
          <w:kern w:val="0"/>
          <w:sz w:val="28"/>
          <w:szCs w:val="22"/>
          <w14:ligatures w14:val="none"/>
        </w:rPr>
        <w:t xml:space="preserve"> и политики </w:t>
      </w:r>
      <w:r>
        <w:rPr>
          <w:rFonts w:ascii="Times New Roman" w:hAnsi="Times New Roman" w:eastAsia="Times New Roman" w:cs="Times New Roman"/>
          <w:color w:val="000000"/>
          <w:kern w:val="0"/>
          <w:sz w:val="28"/>
          <w:szCs w:val="22"/>
          <w:lang w:val="en-US"/>
          <w14:ligatures w14:val="none"/>
        </w:rPr>
        <w:t>Row</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Level</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Security</w:t>
      </w:r>
      <w:r>
        <w:rPr>
          <w:rFonts w:ascii="Times New Roman" w:hAnsi="Times New Roman" w:eastAsia="Times New Roman" w:cs="Times New Roman"/>
          <w:color w:val="000000"/>
          <w:kern w:val="0"/>
          <w:sz w:val="28"/>
          <w:szCs w:val="22"/>
          <w14:ligatures w14:val="none"/>
        </w:rPr>
        <w:t xml:space="preserve"> выбраны исходя из модели угроз: разграничение клиник сети должно работать на уровне СУБД, а не только в коде приложения. Ошибка в коде сервиса в этом случае не приведёт к утечке данных между филиалами. </w:t>
      </w:r>
      <w:r>
        <w:rPr>
          <w:rFonts w:ascii="Times New Roman" w:hAnsi="Times New Roman" w:eastAsia="Times New Roman" w:cs="Times New Roman"/>
          <w:color w:val="000000"/>
          <w:kern w:val="0"/>
          <w:sz w:val="28"/>
          <w:szCs w:val="22"/>
          <w:lang w:val="en-US"/>
          <w14:ligatures w14:val="none"/>
        </w:rPr>
        <w:t>Redis</w:t>
      </w:r>
      <w:r>
        <w:rPr>
          <w:rFonts w:ascii="Times New Roman" w:hAnsi="Times New Roman" w:eastAsia="Times New Roman" w:cs="Times New Roman"/>
          <w:color w:val="000000"/>
          <w:kern w:val="0"/>
          <w:sz w:val="28"/>
          <w:szCs w:val="22"/>
          <w14:ligatures w14:val="none"/>
        </w:rPr>
        <w:t xml:space="preserve"> выступает служебным хранилищем – для блокировок и кеширования справочных данных – и не содержит персональных данных пациента.</w:t>
      </w:r>
    </w:p>
    <w:p w14:paraId="53A987B0">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Архитектура поделена на четыре слоя, перед сервисами стоит шлюз, для асинхронных задач заведена фоновая очередь. Технологический стек покрывает мобильные и веб-клиенты, сервисы, хранилища и инструменты наблюдаемости. </w:t>
      </w:r>
    </w:p>
    <w:p w14:paraId="29C7454D">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Схема базы данных нормализована до третьей нормальной формы и включает шесть базовых сущностей: пациент (</w:t>
      </w:r>
      <w:r>
        <w:rPr>
          <w:rFonts w:ascii="Times New Roman" w:hAnsi="Times New Roman" w:eastAsia="Times New Roman" w:cs="Times New Roman"/>
          <w:color w:val="000000"/>
          <w:kern w:val="0"/>
          <w:sz w:val="28"/>
          <w:szCs w:val="22"/>
          <w:lang w:val="en-US"/>
          <w14:ligatures w14:val="none"/>
        </w:rPr>
        <w:t>users</w:t>
      </w:r>
      <w:r>
        <w:rPr>
          <w:rFonts w:ascii="Times New Roman" w:hAnsi="Times New Roman" w:eastAsia="Times New Roman" w:cs="Times New Roman"/>
          <w:color w:val="000000"/>
          <w:kern w:val="0"/>
          <w:sz w:val="28"/>
          <w:szCs w:val="22"/>
          <w14:ligatures w14:val="none"/>
        </w:rPr>
        <w:t>), клиника (</w:t>
      </w:r>
      <w:r>
        <w:rPr>
          <w:rFonts w:ascii="Times New Roman" w:hAnsi="Times New Roman" w:eastAsia="Times New Roman" w:cs="Times New Roman"/>
          <w:color w:val="000000"/>
          <w:kern w:val="0"/>
          <w:sz w:val="28"/>
          <w:szCs w:val="22"/>
          <w:lang w:val="en-US"/>
          <w14:ligatures w14:val="none"/>
        </w:rPr>
        <w:t>clinics</w:t>
      </w:r>
      <w:r>
        <w:rPr>
          <w:rFonts w:ascii="Times New Roman" w:hAnsi="Times New Roman" w:eastAsia="Times New Roman" w:cs="Times New Roman"/>
          <w:color w:val="000000"/>
          <w:kern w:val="0"/>
          <w:sz w:val="28"/>
          <w:szCs w:val="22"/>
          <w14:ligatures w14:val="none"/>
        </w:rPr>
        <w:t>), врач (</w:t>
      </w:r>
      <w:r>
        <w:rPr>
          <w:rFonts w:ascii="Times New Roman" w:hAnsi="Times New Roman" w:eastAsia="Times New Roman" w:cs="Times New Roman"/>
          <w:color w:val="000000"/>
          <w:kern w:val="0"/>
          <w:sz w:val="28"/>
          <w:szCs w:val="22"/>
          <w:lang w:val="en-US"/>
          <w14:ligatures w14:val="none"/>
        </w:rPr>
        <w:t>doctors</w:t>
      </w:r>
      <w:r>
        <w:rPr>
          <w:rFonts w:ascii="Times New Roman" w:hAnsi="Times New Roman" w:eastAsia="Times New Roman" w:cs="Times New Roman"/>
          <w:color w:val="000000"/>
          <w:kern w:val="0"/>
          <w:sz w:val="28"/>
          <w:szCs w:val="22"/>
          <w14:ligatures w14:val="none"/>
        </w:rPr>
        <w:t>), услуга (</w:t>
      </w:r>
      <w:r>
        <w:rPr>
          <w:rFonts w:ascii="Times New Roman" w:hAnsi="Times New Roman" w:eastAsia="Times New Roman" w:cs="Times New Roman"/>
          <w:color w:val="000000"/>
          <w:kern w:val="0"/>
          <w:sz w:val="28"/>
          <w:szCs w:val="22"/>
          <w:lang w:val="en-US"/>
          <w14:ligatures w14:val="none"/>
        </w:rPr>
        <w:t>services</w:t>
      </w:r>
      <w:r>
        <w:rPr>
          <w:rFonts w:ascii="Times New Roman" w:hAnsi="Times New Roman" w:eastAsia="Times New Roman" w:cs="Times New Roman"/>
          <w:color w:val="000000"/>
          <w:kern w:val="0"/>
          <w:sz w:val="28"/>
          <w:szCs w:val="22"/>
          <w14:ligatures w14:val="none"/>
        </w:rPr>
        <w:t>), запись на приём (</w:t>
      </w:r>
      <w:r>
        <w:rPr>
          <w:rFonts w:ascii="Times New Roman" w:hAnsi="Times New Roman" w:eastAsia="Times New Roman" w:cs="Times New Roman"/>
          <w:color w:val="000000"/>
          <w:kern w:val="0"/>
          <w:sz w:val="28"/>
          <w:szCs w:val="22"/>
          <w:lang w:val="en-US"/>
          <w14:ligatures w14:val="none"/>
        </w:rPr>
        <w:t>appointments</w:t>
      </w:r>
      <w:r>
        <w:rPr>
          <w:rFonts w:ascii="Times New Roman" w:hAnsi="Times New Roman" w:eastAsia="Times New Roman" w:cs="Times New Roman"/>
          <w:color w:val="000000"/>
          <w:kern w:val="0"/>
          <w:sz w:val="28"/>
          <w:szCs w:val="22"/>
          <w14:ligatures w14:val="none"/>
        </w:rPr>
        <w:t>) и заявка на справку для налогового вычета (</w:t>
      </w:r>
      <w:r>
        <w:rPr>
          <w:rFonts w:ascii="Times New Roman" w:hAnsi="Times New Roman" w:eastAsia="Times New Roman" w:cs="Times New Roman"/>
          <w:color w:val="000000"/>
          <w:kern w:val="0"/>
          <w:sz w:val="28"/>
          <w:szCs w:val="22"/>
          <w:lang w:val="en-US"/>
          <w14:ligatures w14:val="none"/>
        </w:rPr>
        <w:t>tax</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certificate</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requests</w:t>
      </w:r>
      <w:r>
        <w:rPr>
          <w:rFonts w:ascii="Times New Roman" w:hAnsi="Times New Roman" w:eastAsia="Times New Roman" w:cs="Times New Roman"/>
          <w:color w:val="000000"/>
          <w:kern w:val="0"/>
          <w:sz w:val="28"/>
          <w:szCs w:val="22"/>
          <w14:ligatures w14:val="none"/>
        </w:rPr>
        <w:t xml:space="preserve">). Первичный ключ во всех таблицах – </w:t>
      </w:r>
      <w:r>
        <w:rPr>
          <w:rFonts w:ascii="Times New Roman" w:hAnsi="Times New Roman" w:eastAsia="Times New Roman" w:cs="Times New Roman"/>
          <w:color w:val="000000"/>
          <w:kern w:val="0"/>
          <w:sz w:val="28"/>
          <w:szCs w:val="22"/>
          <w:lang w:val="en-US"/>
          <w14:ligatures w14:val="none"/>
        </w:rPr>
        <w:t>UUID</w:t>
      </w:r>
      <w:r>
        <w:rPr>
          <w:rFonts w:ascii="Times New Roman" w:hAnsi="Times New Roman" w:eastAsia="Times New Roman" w:cs="Times New Roman"/>
          <w:color w:val="000000"/>
          <w:kern w:val="0"/>
          <w:sz w:val="28"/>
          <w:szCs w:val="22"/>
          <w14:ligatures w14:val="none"/>
        </w:rPr>
        <w:t xml:space="preserve">: это исключает предсказуемые идентификаторы из публичных ссылок, упрощает перенос данных между филиалами и совпадает с требованиями разграничения доступа через </w:t>
      </w:r>
      <w:r>
        <w:rPr>
          <w:rFonts w:ascii="Times New Roman" w:hAnsi="Times New Roman" w:eastAsia="Times New Roman" w:cs="Times New Roman"/>
          <w:color w:val="000000"/>
          <w:kern w:val="0"/>
          <w:sz w:val="28"/>
          <w:szCs w:val="22"/>
          <w:lang w:val="en-US"/>
          <w14:ligatures w14:val="none"/>
        </w:rPr>
        <w:t>Row</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Level</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Security</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PostgreSQL</w:t>
      </w:r>
      <w:r>
        <w:rPr>
          <w:rFonts w:ascii="Times New Roman" w:hAnsi="Times New Roman" w:eastAsia="Times New Roman" w:cs="Times New Roman"/>
          <w:color w:val="000000"/>
          <w:kern w:val="0"/>
          <w:sz w:val="28"/>
          <w:szCs w:val="22"/>
          <w14:ligatures w14:val="none"/>
        </w:rPr>
        <w:t>.</w:t>
      </w:r>
    </w:p>
    <w:p w14:paraId="5CBA770F">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5762625" cy="5454650"/>
            <wp:effectExtent l="0" t="0" r="9525"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62625" cy="5454650"/>
                    </a:xfrm>
                    <a:prstGeom prst="rect">
                      <a:avLst/>
                    </a:prstGeom>
                    <a:noFill/>
                    <a:ln>
                      <a:noFill/>
                    </a:ln>
                  </pic:spPr>
                </pic:pic>
              </a:graphicData>
            </a:graphic>
          </wp:inline>
        </w:drawing>
      </w:r>
    </w:p>
    <w:p w14:paraId="78765D5A">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22 — ER-диаграмма базы данных</w:t>
      </w:r>
    </w:p>
    <w:p w14:paraId="5F1B4511">
      <w:pPr>
        <w:spacing w:before="0" w:after="0"/>
        <w:ind w:firstLine="709"/>
        <w:jc w:val="both"/>
      </w:pPr>
      <w:r>
        <w:rPr>
          <w:rFonts w:ascii="Times New Roman" w:hAnsi="Times New Roman"/>
          <w:b w:val="0"/>
          <w:sz w:val="28"/>
        </w:rPr>
        <w:t>Диаграмма показывает связи между шестью основными сущностями: users, clinics, doctors, services, appointments и tax_certificate_requests. Схема нормализована до третьей нормальной формы; все ключевые связи реализованы через UUID-внешние ключи с каскадными ограничениями. Центральной сущностью является appointments, связывающая пациента, врача, клинику и услугу в рамках одной записи на приём.</w:t>
      </w:r>
    </w:p>
    <w:p w14:paraId="6FE83CE7">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33 — Описание таблицы users</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1587"/>
        <w:gridCol w:w="3005"/>
        <w:gridCol w:w="2721"/>
      </w:tblGrid>
      <w:tr w14:paraId="0D0B5DBD">
        <w:tc>
          <w:tcPr>
            <w:tcW w:w="1814" w:type="dxa"/>
            <w:tcBorders>
              <w:top w:val="single" w:color="auto" w:sz="4" w:space="0"/>
              <w:left w:val="single" w:color="auto" w:sz="4" w:space="0"/>
              <w:bottom w:val="single" w:color="auto" w:sz="4" w:space="0"/>
              <w:right w:val="single" w:color="auto" w:sz="4" w:space="0"/>
            </w:tcBorders>
            <w:vAlign w:val="center"/>
          </w:tcPr>
          <w:p w14:paraId="3B7569D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1587" w:type="dxa"/>
            <w:tcBorders>
              <w:top w:val="single" w:color="auto" w:sz="4" w:space="0"/>
              <w:left w:val="single" w:color="auto" w:sz="4" w:space="0"/>
              <w:bottom w:val="single" w:color="auto" w:sz="4" w:space="0"/>
              <w:right w:val="single" w:color="auto" w:sz="4" w:space="0"/>
            </w:tcBorders>
            <w:vAlign w:val="center"/>
          </w:tcPr>
          <w:p w14:paraId="2269798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данных в БД</w:t>
            </w:r>
          </w:p>
        </w:tc>
        <w:tc>
          <w:tcPr>
            <w:tcW w:w="3005" w:type="dxa"/>
            <w:tcBorders>
              <w:top w:val="single" w:color="auto" w:sz="4" w:space="0"/>
              <w:left w:val="single" w:color="auto" w:sz="4" w:space="0"/>
              <w:bottom w:val="single" w:color="auto" w:sz="4" w:space="0"/>
              <w:right w:val="single" w:color="auto" w:sz="4" w:space="0"/>
            </w:tcBorders>
            <w:vAlign w:val="center"/>
          </w:tcPr>
          <w:p w14:paraId="4367FA8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2721" w:type="dxa"/>
            <w:tcBorders>
              <w:top w:val="single" w:color="auto" w:sz="4" w:space="0"/>
              <w:left w:val="single" w:color="auto" w:sz="4" w:space="0"/>
              <w:bottom w:val="single" w:color="auto" w:sz="4" w:space="0"/>
              <w:right w:val="single" w:color="auto" w:sz="4" w:space="0"/>
            </w:tcBorders>
            <w:vAlign w:val="center"/>
          </w:tcPr>
          <w:p w14:paraId="0702AF4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Ограничения</w:t>
            </w:r>
          </w:p>
        </w:tc>
      </w:tr>
      <w:tr w14:paraId="03F841B6">
        <w:tc>
          <w:tcPr>
            <w:tcW w:w="1814" w:type="dxa"/>
            <w:tcBorders>
              <w:top w:val="single" w:color="auto" w:sz="4" w:space="0"/>
              <w:left w:val="single" w:color="auto" w:sz="4" w:space="0"/>
              <w:bottom w:val="single" w:color="auto" w:sz="4" w:space="0"/>
              <w:right w:val="single" w:color="auto" w:sz="4" w:space="0"/>
            </w:tcBorders>
            <w:vAlign w:val="center"/>
          </w:tcPr>
          <w:p w14:paraId="0817C37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id</w:t>
            </w:r>
          </w:p>
        </w:tc>
        <w:tc>
          <w:tcPr>
            <w:tcW w:w="1587" w:type="dxa"/>
            <w:tcBorders>
              <w:top w:val="single" w:color="auto" w:sz="4" w:space="0"/>
              <w:left w:val="single" w:color="auto" w:sz="4" w:space="0"/>
              <w:bottom w:val="single" w:color="auto" w:sz="4" w:space="0"/>
              <w:right w:val="single" w:color="auto" w:sz="4" w:space="0"/>
            </w:tcBorders>
            <w:vAlign w:val="center"/>
          </w:tcPr>
          <w:p w14:paraId="12B1D79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4BA77F6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Идентификатор пациента</w:t>
            </w:r>
          </w:p>
        </w:tc>
        <w:tc>
          <w:tcPr>
            <w:tcW w:w="2721" w:type="dxa"/>
            <w:tcBorders>
              <w:top w:val="single" w:color="auto" w:sz="4" w:space="0"/>
              <w:left w:val="single" w:color="auto" w:sz="4" w:space="0"/>
              <w:bottom w:val="single" w:color="auto" w:sz="4" w:space="0"/>
              <w:right w:val="single" w:color="auto" w:sz="4" w:space="0"/>
            </w:tcBorders>
            <w:vAlign w:val="center"/>
          </w:tcPr>
          <w:p w14:paraId="73CFBFA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Первичный ключ, генерируется автоматически</w:t>
            </w:r>
          </w:p>
        </w:tc>
      </w:tr>
      <w:tr w14:paraId="7D2C7DF8">
        <w:tc>
          <w:tcPr>
            <w:tcW w:w="1814" w:type="dxa"/>
            <w:tcBorders>
              <w:top w:val="single" w:color="auto" w:sz="4" w:space="0"/>
              <w:left w:val="single" w:color="auto" w:sz="4" w:space="0"/>
              <w:bottom w:val="single" w:color="auto" w:sz="4" w:space="0"/>
              <w:right w:val="single" w:color="auto" w:sz="4" w:space="0"/>
            </w:tcBorders>
            <w:vAlign w:val="center"/>
          </w:tcPr>
          <w:p w14:paraId="65FDA71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first_name</w:t>
            </w:r>
          </w:p>
        </w:tc>
        <w:tc>
          <w:tcPr>
            <w:tcW w:w="1587" w:type="dxa"/>
            <w:tcBorders>
              <w:top w:val="single" w:color="auto" w:sz="4" w:space="0"/>
              <w:left w:val="single" w:color="auto" w:sz="4" w:space="0"/>
              <w:bottom w:val="single" w:color="auto" w:sz="4" w:space="0"/>
              <w:right w:val="single" w:color="auto" w:sz="4" w:space="0"/>
            </w:tcBorders>
            <w:vAlign w:val="center"/>
          </w:tcPr>
          <w:p w14:paraId="4EFF7A7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3A09022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Имя пациента</w:t>
            </w:r>
          </w:p>
        </w:tc>
        <w:tc>
          <w:tcPr>
            <w:tcW w:w="2721" w:type="dxa"/>
            <w:tcBorders>
              <w:top w:val="single" w:color="auto" w:sz="4" w:space="0"/>
              <w:left w:val="single" w:color="auto" w:sz="4" w:space="0"/>
              <w:bottom w:val="single" w:color="auto" w:sz="4" w:space="0"/>
              <w:right w:val="single" w:color="auto" w:sz="4" w:space="0"/>
            </w:tcBorders>
            <w:vAlign w:val="center"/>
          </w:tcPr>
          <w:p w14:paraId="06A4D92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Только кириллица; от 2 до 50 символов</w:t>
            </w:r>
          </w:p>
        </w:tc>
      </w:tr>
      <w:tr w14:paraId="265F75E4">
        <w:tc>
          <w:tcPr>
            <w:tcW w:w="1814" w:type="dxa"/>
            <w:tcBorders>
              <w:top w:val="single" w:color="auto" w:sz="4" w:space="0"/>
              <w:left w:val="single" w:color="auto" w:sz="4" w:space="0"/>
              <w:bottom w:val="single" w:color="auto" w:sz="4" w:space="0"/>
              <w:right w:val="single" w:color="auto" w:sz="4" w:space="0"/>
            </w:tcBorders>
            <w:vAlign w:val="center"/>
          </w:tcPr>
          <w:p w14:paraId="2EE97F2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middle_name</w:t>
            </w:r>
          </w:p>
        </w:tc>
        <w:tc>
          <w:tcPr>
            <w:tcW w:w="1587" w:type="dxa"/>
            <w:tcBorders>
              <w:top w:val="single" w:color="auto" w:sz="4" w:space="0"/>
              <w:left w:val="single" w:color="auto" w:sz="4" w:space="0"/>
              <w:bottom w:val="single" w:color="auto" w:sz="4" w:space="0"/>
              <w:right w:val="single" w:color="auto" w:sz="4" w:space="0"/>
            </w:tcBorders>
            <w:vAlign w:val="center"/>
          </w:tcPr>
          <w:p w14:paraId="4EBF5F3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1EB4CAB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Отчество пациента</w:t>
            </w:r>
          </w:p>
        </w:tc>
        <w:tc>
          <w:tcPr>
            <w:tcW w:w="2721" w:type="dxa"/>
            <w:tcBorders>
              <w:top w:val="single" w:color="auto" w:sz="4" w:space="0"/>
              <w:left w:val="single" w:color="auto" w:sz="4" w:space="0"/>
              <w:bottom w:val="single" w:color="auto" w:sz="4" w:space="0"/>
              <w:right w:val="single" w:color="auto" w:sz="4" w:space="0"/>
            </w:tcBorders>
            <w:vAlign w:val="center"/>
          </w:tcPr>
          <w:p w14:paraId="18D1095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Только кириллица; может быть пустым</w:t>
            </w:r>
          </w:p>
        </w:tc>
      </w:tr>
      <w:tr w14:paraId="01A85080">
        <w:tc>
          <w:tcPr>
            <w:tcW w:w="1814" w:type="dxa"/>
            <w:tcBorders>
              <w:top w:val="single" w:color="auto" w:sz="4" w:space="0"/>
              <w:left w:val="single" w:color="auto" w:sz="4" w:space="0"/>
              <w:bottom w:val="single" w:color="auto" w:sz="4" w:space="0"/>
              <w:right w:val="single" w:color="auto" w:sz="4" w:space="0"/>
            </w:tcBorders>
            <w:vAlign w:val="center"/>
          </w:tcPr>
          <w:p w14:paraId="373A834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last_name</w:t>
            </w:r>
          </w:p>
        </w:tc>
        <w:tc>
          <w:tcPr>
            <w:tcW w:w="1587" w:type="dxa"/>
            <w:tcBorders>
              <w:top w:val="single" w:color="auto" w:sz="4" w:space="0"/>
              <w:left w:val="single" w:color="auto" w:sz="4" w:space="0"/>
              <w:bottom w:val="single" w:color="auto" w:sz="4" w:space="0"/>
              <w:right w:val="single" w:color="auto" w:sz="4" w:space="0"/>
            </w:tcBorders>
            <w:vAlign w:val="center"/>
          </w:tcPr>
          <w:p w14:paraId="5ACAC6E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303E82A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Фамилия пациента</w:t>
            </w:r>
          </w:p>
        </w:tc>
        <w:tc>
          <w:tcPr>
            <w:tcW w:w="2721" w:type="dxa"/>
            <w:tcBorders>
              <w:top w:val="single" w:color="auto" w:sz="4" w:space="0"/>
              <w:left w:val="single" w:color="auto" w:sz="4" w:space="0"/>
              <w:bottom w:val="single" w:color="auto" w:sz="4" w:space="0"/>
              <w:right w:val="single" w:color="auto" w:sz="4" w:space="0"/>
            </w:tcBorders>
            <w:vAlign w:val="center"/>
          </w:tcPr>
          <w:p w14:paraId="6926697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Только кириллица; от 2 до 50 символов</w:t>
            </w:r>
          </w:p>
        </w:tc>
      </w:tr>
      <w:tr w14:paraId="1A68801D">
        <w:tc>
          <w:tcPr>
            <w:tcW w:w="1814" w:type="dxa"/>
            <w:tcBorders>
              <w:top w:val="single" w:color="auto" w:sz="4" w:space="0"/>
              <w:left w:val="single" w:color="auto" w:sz="4" w:space="0"/>
              <w:bottom w:val="single" w:color="auto" w:sz="4" w:space="0"/>
              <w:right w:val="single" w:color="auto" w:sz="4" w:space="0"/>
            </w:tcBorders>
            <w:vAlign w:val="center"/>
          </w:tcPr>
          <w:p w14:paraId="3124EB4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phone_number</w:t>
            </w:r>
          </w:p>
        </w:tc>
        <w:tc>
          <w:tcPr>
            <w:tcW w:w="1587" w:type="dxa"/>
            <w:tcBorders>
              <w:top w:val="single" w:color="auto" w:sz="4" w:space="0"/>
              <w:left w:val="single" w:color="auto" w:sz="4" w:space="0"/>
              <w:bottom w:val="single" w:color="auto" w:sz="4" w:space="0"/>
              <w:right w:val="single" w:color="auto" w:sz="4" w:space="0"/>
            </w:tcBorders>
            <w:vAlign w:val="center"/>
          </w:tcPr>
          <w:p w14:paraId="7064010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varchar(12)</w:t>
            </w:r>
          </w:p>
        </w:tc>
        <w:tc>
          <w:tcPr>
            <w:tcW w:w="3005" w:type="dxa"/>
            <w:tcBorders>
              <w:top w:val="single" w:color="auto" w:sz="4" w:space="0"/>
              <w:left w:val="single" w:color="auto" w:sz="4" w:space="0"/>
              <w:bottom w:val="single" w:color="auto" w:sz="4" w:space="0"/>
              <w:right w:val="single" w:color="auto" w:sz="4" w:space="0"/>
            </w:tcBorders>
            <w:vAlign w:val="center"/>
          </w:tcPr>
          <w:p w14:paraId="4787576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Номер телефона в формате +7</w:t>
            </w:r>
            <w:r>
              <w:rPr>
                <w:rFonts w:ascii="Times New Roman" w:hAnsi="Times New Roman" w:eastAsia="Times New Roman" w:cs="Times New Roman"/>
                <w:color w:val="000000"/>
                <w:kern w:val="0"/>
                <w:sz w:val="24"/>
                <w:szCs w:val="24"/>
                <w:lang w:val="en-US" w:eastAsia="ru-RU"/>
                <w14:ligatures w14:val="none"/>
              </w:rPr>
              <w:t>XXXXXXXXXX</w:t>
            </w:r>
          </w:p>
        </w:tc>
        <w:tc>
          <w:tcPr>
            <w:tcW w:w="2721" w:type="dxa"/>
            <w:tcBorders>
              <w:top w:val="single" w:color="auto" w:sz="4" w:space="0"/>
              <w:left w:val="single" w:color="auto" w:sz="4" w:space="0"/>
              <w:bottom w:val="single" w:color="auto" w:sz="4" w:space="0"/>
              <w:right w:val="single" w:color="auto" w:sz="4" w:space="0"/>
            </w:tcBorders>
            <w:vAlign w:val="center"/>
          </w:tcPr>
          <w:p w14:paraId="2E309FA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Уникальное поле; служит логином</w:t>
            </w:r>
          </w:p>
        </w:tc>
      </w:tr>
      <w:tr w14:paraId="30196536">
        <w:tc>
          <w:tcPr>
            <w:tcW w:w="1814" w:type="dxa"/>
            <w:tcBorders>
              <w:top w:val="single" w:color="auto" w:sz="4" w:space="0"/>
              <w:left w:val="single" w:color="auto" w:sz="4" w:space="0"/>
              <w:bottom w:val="single" w:color="auto" w:sz="4" w:space="0"/>
              <w:right w:val="single" w:color="auto" w:sz="4" w:space="0"/>
            </w:tcBorders>
            <w:vAlign w:val="center"/>
          </w:tcPr>
          <w:p w14:paraId="36079AD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email</w:t>
            </w:r>
          </w:p>
        </w:tc>
        <w:tc>
          <w:tcPr>
            <w:tcW w:w="1587" w:type="dxa"/>
            <w:tcBorders>
              <w:top w:val="single" w:color="auto" w:sz="4" w:space="0"/>
              <w:left w:val="single" w:color="auto" w:sz="4" w:space="0"/>
              <w:bottom w:val="single" w:color="auto" w:sz="4" w:space="0"/>
              <w:right w:val="single" w:color="auto" w:sz="4" w:space="0"/>
            </w:tcBorders>
            <w:vAlign w:val="center"/>
          </w:tcPr>
          <w:p w14:paraId="5CCC472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23D2989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Электронная почта</w:t>
            </w:r>
          </w:p>
        </w:tc>
        <w:tc>
          <w:tcPr>
            <w:tcW w:w="2721" w:type="dxa"/>
            <w:tcBorders>
              <w:top w:val="single" w:color="auto" w:sz="4" w:space="0"/>
              <w:left w:val="single" w:color="auto" w:sz="4" w:space="0"/>
              <w:bottom w:val="single" w:color="auto" w:sz="4" w:space="0"/>
              <w:right w:val="single" w:color="auto" w:sz="4" w:space="0"/>
            </w:tcBorders>
            <w:vAlign w:val="center"/>
          </w:tcPr>
          <w:p w14:paraId="613457C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Допустимо пустое значение; валидируется по </w:t>
            </w:r>
            <w:r>
              <w:rPr>
                <w:rFonts w:ascii="Times New Roman" w:hAnsi="Times New Roman" w:eastAsia="Times New Roman" w:cs="Times New Roman"/>
                <w:color w:val="000000"/>
                <w:kern w:val="0"/>
                <w:sz w:val="24"/>
                <w:szCs w:val="24"/>
                <w:lang w:val="en-US" w:eastAsia="ru-RU"/>
                <w14:ligatures w14:val="none"/>
              </w:rPr>
              <w:t>RFC</w:t>
            </w:r>
            <w:r>
              <w:rPr>
                <w:rFonts w:ascii="Times New Roman" w:hAnsi="Times New Roman" w:eastAsia="Times New Roman" w:cs="Times New Roman"/>
                <w:color w:val="000000"/>
                <w:kern w:val="0"/>
                <w:sz w:val="24"/>
                <w:szCs w:val="24"/>
                <w:lang w:eastAsia="ru-RU"/>
                <w14:ligatures w14:val="none"/>
              </w:rPr>
              <w:t xml:space="preserve"> 5322</w:t>
            </w:r>
          </w:p>
        </w:tc>
      </w:tr>
      <w:tr w14:paraId="7850A045">
        <w:tc>
          <w:tcPr>
            <w:tcW w:w="1814" w:type="dxa"/>
            <w:tcBorders>
              <w:top w:val="single" w:color="auto" w:sz="4" w:space="0"/>
              <w:left w:val="single" w:color="auto" w:sz="4" w:space="0"/>
              <w:bottom w:val="single" w:color="auto" w:sz="4" w:space="0"/>
              <w:right w:val="single" w:color="auto" w:sz="4" w:space="0"/>
            </w:tcBorders>
            <w:vAlign w:val="center"/>
          </w:tcPr>
          <w:p w14:paraId="594C874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encrypted_password</w:t>
            </w:r>
          </w:p>
        </w:tc>
        <w:tc>
          <w:tcPr>
            <w:tcW w:w="1587" w:type="dxa"/>
            <w:tcBorders>
              <w:top w:val="single" w:color="auto" w:sz="4" w:space="0"/>
              <w:left w:val="single" w:color="auto" w:sz="4" w:space="0"/>
              <w:bottom w:val="single" w:color="auto" w:sz="4" w:space="0"/>
              <w:right w:val="single" w:color="auto" w:sz="4" w:space="0"/>
            </w:tcBorders>
            <w:vAlign w:val="center"/>
          </w:tcPr>
          <w:p w14:paraId="67EDC31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char(32)</w:t>
            </w:r>
          </w:p>
        </w:tc>
        <w:tc>
          <w:tcPr>
            <w:tcW w:w="3005" w:type="dxa"/>
            <w:tcBorders>
              <w:top w:val="single" w:color="auto" w:sz="4" w:space="0"/>
              <w:left w:val="single" w:color="auto" w:sz="4" w:space="0"/>
              <w:bottom w:val="single" w:color="auto" w:sz="4" w:space="0"/>
              <w:right w:val="single" w:color="auto" w:sz="4" w:space="0"/>
            </w:tcBorders>
            <w:vAlign w:val="center"/>
          </w:tcPr>
          <w:p w14:paraId="2763556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Хэш временного </w:t>
            </w:r>
            <w:r>
              <w:rPr>
                <w:rFonts w:ascii="Times New Roman" w:hAnsi="Times New Roman" w:eastAsia="Times New Roman" w:cs="Times New Roman"/>
                <w:color w:val="000000"/>
                <w:kern w:val="0"/>
                <w:sz w:val="24"/>
                <w:szCs w:val="24"/>
                <w:lang w:val="en-US" w:eastAsia="ru-RU"/>
                <w14:ligatures w14:val="none"/>
              </w:rPr>
              <w:t>PIN</w:t>
            </w:r>
            <w:r>
              <w:rPr>
                <w:rFonts w:ascii="Times New Roman" w:hAnsi="Times New Roman" w:eastAsia="Times New Roman" w:cs="Times New Roman"/>
                <w:color w:val="000000"/>
                <w:kern w:val="0"/>
                <w:sz w:val="24"/>
                <w:szCs w:val="24"/>
                <w:lang w:eastAsia="ru-RU"/>
                <w14:ligatures w14:val="none"/>
              </w:rPr>
              <w:t>-кода пользователя</w:t>
            </w:r>
          </w:p>
        </w:tc>
        <w:tc>
          <w:tcPr>
            <w:tcW w:w="2721" w:type="dxa"/>
            <w:tcBorders>
              <w:top w:val="single" w:color="auto" w:sz="4" w:space="0"/>
              <w:left w:val="single" w:color="auto" w:sz="4" w:space="0"/>
              <w:bottom w:val="single" w:color="auto" w:sz="4" w:space="0"/>
              <w:right w:val="single" w:color="auto" w:sz="4" w:space="0"/>
            </w:tcBorders>
            <w:vAlign w:val="center"/>
          </w:tcPr>
          <w:p w14:paraId="28D1164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Обновляется при каждом входе по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OTP</w:t>
            </w:r>
          </w:p>
        </w:tc>
      </w:tr>
      <w:tr w14:paraId="53677F6F">
        <w:tc>
          <w:tcPr>
            <w:tcW w:w="1814" w:type="dxa"/>
            <w:tcBorders>
              <w:top w:val="single" w:color="auto" w:sz="4" w:space="0"/>
              <w:left w:val="single" w:color="auto" w:sz="4" w:space="0"/>
              <w:bottom w:val="single" w:color="auto" w:sz="4" w:space="0"/>
              <w:right w:val="single" w:color="auto" w:sz="4" w:space="0"/>
            </w:tcBorders>
            <w:vAlign w:val="center"/>
          </w:tcPr>
          <w:p w14:paraId="4821684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birthday</w:t>
            </w:r>
          </w:p>
        </w:tc>
        <w:tc>
          <w:tcPr>
            <w:tcW w:w="1587" w:type="dxa"/>
            <w:tcBorders>
              <w:top w:val="single" w:color="auto" w:sz="4" w:space="0"/>
              <w:left w:val="single" w:color="auto" w:sz="4" w:space="0"/>
              <w:bottom w:val="single" w:color="auto" w:sz="4" w:space="0"/>
              <w:right w:val="single" w:color="auto" w:sz="4" w:space="0"/>
            </w:tcBorders>
            <w:vAlign w:val="center"/>
          </w:tcPr>
          <w:p w14:paraId="44AA7DA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date</w:t>
            </w:r>
          </w:p>
        </w:tc>
        <w:tc>
          <w:tcPr>
            <w:tcW w:w="3005" w:type="dxa"/>
            <w:tcBorders>
              <w:top w:val="single" w:color="auto" w:sz="4" w:space="0"/>
              <w:left w:val="single" w:color="auto" w:sz="4" w:space="0"/>
              <w:bottom w:val="single" w:color="auto" w:sz="4" w:space="0"/>
              <w:right w:val="single" w:color="auto" w:sz="4" w:space="0"/>
            </w:tcBorders>
            <w:vAlign w:val="center"/>
          </w:tcPr>
          <w:p w14:paraId="5BA448C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Дата рождения</w:t>
            </w:r>
          </w:p>
        </w:tc>
        <w:tc>
          <w:tcPr>
            <w:tcW w:w="2721" w:type="dxa"/>
            <w:tcBorders>
              <w:top w:val="single" w:color="auto" w:sz="4" w:space="0"/>
              <w:left w:val="single" w:color="auto" w:sz="4" w:space="0"/>
              <w:bottom w:val="single" w:color="auto" w:sz="4" w:space="0"/>
              <w:right w:val="single" w:color="auto" w:sz="4" w:space="0"/>
            </w:tcBorders>
            <w:vAlign w:val="center"/>
          </w:tcPr>
          <w:p w14:paraId="4889394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Не позднее текущей даты; используется для расчёта возраста</w:t>
            </w:r>
          </w:p>
        </w:tc>
      </w:tr>
      <w:tr w14:paraId="4AA58FF4">
        <w:tc>
          <w:tcPr>
            <w:tcW w:w="1814" w:type="dxa"/>
            <w:tcBorders>
              <w:top w:val="single" w:color="auto" w:sz="4" w:space="0"/>
              <w:left w:val="single" w:color="auto" w:sz="4" w:space="0"/>
              <w:bottom w:val="single" w:color="auto" w:sz="4" w:space="0"/>
              <w:right w:val="single" w:color="auto" w:sz="4" w:space="0"/>
            </w:tcBorders>
            <w:vAlign w:val="center"/>
          </w:tcPr>
          <w:p w14:paraId="44909DF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is_first_enter</w:t>
            </w:r>
          </w:p>
        </w:tc>
        <w:tc>
          <w:tcPr>
            <w:tcW w:w="1587" w:type="dxa"/>
            <w:tcBorders>
              <w:top w:val="single" w:color="auto" w:sz="4" w:space="0"/>
              <w:left w:val="single" w:color="auto" w:sz="4" w:space="0"/>
              <w:bottom w:val="single" w:color="auto" w:sz="4" w:space="0"/>
              <w:right w:val="single" w:color="auto" w:sz="4" w:space="0"/>
            </w:tcBorders>
            <w:vAlign w:val="center"/>
          </w:tcPr>
          <w:p w14:paraId="7B08E1F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boolean</w:t>
            </w:r>
          </w:p>
        </w:tc>
        <w:tc>
          <w:tcPr>
            <w:tcW w:w="3005" w:type="dxa"/>
            <w:tcBorders>
              <w:top w:val="single" w:color="auto" w:sz="4" w:space="0"/>
              <w:left w:val="single" w:color="auto" w:sz="4" w:space="0"/>
              <w:bottom w:val="single" w:color="auto" w:sz="4" w:space="0"/>
              <w:right w:val="single" w:color="auto" w:sz="4" w:space="0"/>
            </w:tcBorders>
            <w:vAlign w:val="center"/>
          </w:tcPr>
          <w:p w14:paraId="1ED2E89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Признак первого входа</w:t>
            </w:r>
          </w:p>
        </w:tc>
        <w:tc>
          <w:tcPr>
            <w:tcW w:w="2721" w:type="dxa"/>
            <w:tcBorders>
              <w:top w:val="single" w:color="auto" w:sz="4" w:space="0"/>
              <w:left w:val="single" w:color="auto" w:sz="4" w:space="0"/>
              <w:bottom w:val="single" w:color="auto" w:sz="4" w:space="0"/>
              <w:right w:val="single" w:color="auto" w:sz="4" w:space="0"/>
            </w:tcBorders>
            <w:vAlign w:val="center"/>
          </w:tcPr>
          <w:p w14:paraId="1C32244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По умолчанию </w:t>
            </w:r>
            <w:r>
              <w:rPr>
                <w:rFonts w:ascii="Times New Roman" w:hAnsi="Times New Roman" w:eastAsia="Times New Roman" w:cs="Times New Roman"/>
                <w:color w:val="000000"/>
                <w:kern w:val="0"/>
                <w:sz w:val="24"/>
                <w:szCs w:val="24"/>
                <w:lang w:val="en-US" w:eastAsia="ru-RU"/>
                <w14:ligatures w14:val="none"/>
              </w:rPr>
              <w:t>TRUE</w:t>
            </w:r>
            <w:r>
              <w:rPr>
                <w:rFonts w:ascii="Times New Roman" w:hAnsi="Times New Roman" w:eastAsia="Times New Roman" w:cs="Times New Roman"/>
                <w:color w:val="000000"/>
                <w:kern w:val="0"/>
                <w:sz w:val="24"/>
                <w:szCs w:val="24"/>
                <w:lang w:eastAsia="ru-RU"/>
                <w14:ligatures w14:val="none"/>
              </w:rPr>
              <w:t>; сбрасывается после онбординга</w:t>
            </w:r>
          </w:p>
        </w:tc>
      </w:tr>
    </w:tbl>
    <w:p w14:paraId="6C472617">
      <w:pPr>
        <w:spacing w:before="0" w:after="0"/>
        <w:ind w:firstLine="709"/>
        <w:jc w:val="both"/>
      </w:pPr>
      <w:r>
        <w:rPr>
          <w:rFonts w:ascii="Times New Roman" w:hAnsi="Times New Roman"/>
          <w:b w:val="0"/>
          <w:sz w:val="28"/>
        </w:rPr>
        <w:t>Структура основной сущности базы данных — профиля пациента — детализирована по полям. Первичным ключом служит UUID; телефонный номер в формате +7XXXXXXXXXX является уникальным полем и используется как логин. Среди полей — ФИО, дата рождения, адрес электронной почты и временная метка создания записи. Ограничения гарантируют корректность ввода кириллических имён и валидность телефонного номера.</w:t>
      </w:r>
    </w:p>
    <w:p w14:paraId="4C906246">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34 — Описание таблицы clinics</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587"/>
        <w:gridCol w:w="3005"/>
        <w:gridCol w:w="2721"/>
      </w:tblGrid>
      <w:tr w14:paraId="21D38DE4">
        <w:tc>
          <w:tcPr>
            <w:tcW w:w="1814" w:type="dxa"/>
            <w:tcBorders>
              <w:top w:val="single" w:color="auto" w:sz="4" w:space="0"/>
              <w:left w:val="single" w:color="auto" w:sz="4" w:space="0"/>
              <w:bottom w:val="single" w:color="auto" w:sz="4" w:space="0"/>
              <w:right w:val="single" w:color="auto" w:sz="4" w:space="0"/>
            </w:tcBorders>
            <w:vAlign w:val="center"/>
          </w:tcPr>
          <w:p w14:paraId="5A17011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1587" w:type="dxa"/>
            <w:tcBorders>
              <w:top w:val="single" w:color="auto" w:sz="4" w:space="0"/>
              <w:left w:val="single" w:color="auto" w:sz="4" w:space="0"/>
              <w:bottom w:val="single" w:color="auto" w:sz="4" w:space="0"/>
              <w:right w:val="single" w:color="auto" w:sz="4" w:space="0"/>
            </w:tcBorders>
            <w:vAlign w:val="center"/>
          </w:tcPr>
          <w:p w14:paraId="3F913A7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данных в БД</w:t>
            </w:r>
          </w:p>
        </w:tc>
        <w:tc>
          <w:tcPr>
            <w:tcW w:w="3005" w:type="dxa"/>
            <w:tcBorders>
              <w:top w:val="single" w:color="auto" w:sz="4" w:space="0"/>
              <w:left w:val="single" w:color="auto" w:sz="4" w:space="0"/>
              <w:bottom w:val="single" w:color="auto" w:sz="4" w:space="0"/>
              <w:right w:val="single" w:color="auto" w:sz="4" w:space="0"/>
            </w:tcBorders>
            <w:vAlign w:val="center"/>
          </w:tcPr>
          <w:p w14:paraId="417C33F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2721" w:type="dxa"/>
            <w:tcBorders>
              <w:top w:val="single" w:color="auto" w:sz="4" w:space="0"/>
              <w:left w:val="single" w:color="auto" w:sz="4" w:space="0"/>
              <w:bottom w:val="single" w:color="auto" w:sz="4" w:space="0"/>
              <w:right w:val="single" w:color="auto" w:sz="4" w:space="0"/>
            </w:tcBorders>
            <w:vAlign w:val="center"/>
          </w:tcPr>
          <w:p w14:paraId="54E2F4B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Ограничения</w:t>
            </w:r>
          </w:p>
        </w:tc>
      </w:tr>
      <w:tr w14:paraId="0773A3AF">
        <w:tc>
          <w:tcPr>
            <w:tcW w:w="1814" w:type="dxa"/>
            <w:tcBorders>
              <w:top w:val="single" w:color="auto" w:sz="4" w:space="0"/>
              <w:left w:val="single" w:color="auto" w:sz="4" w:space="0"/>
              <w:bottom w:val="single" w:color="auto" w:sz="4" w:space="0"/>
              <w:right w:val="single" w:color="auto" w:sz="4" w:space="0"/>
            </w:tcBorders>
            <w:vAlign w:val="center"/>
          </w:tcPr>
          <w:p w14:paraId="4BF7232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id</w:t>
            </w:r>
          </w:p>
        </w:tc>
        <w:tc>
          <w:tcPr>
            <w:tcW w:w="1587" w:type="dxa"/>
            <w:tcBorders>
              <w:top w:val="single" w:color="auto" w:sz="4" w:space="0"/>
              <w:left w:val="single" w:color="auto" w:sz="4" w:space="0"/>
              <w:bottom w:val="single" w:color="auto" w:sz="4" w:space="0"/>
              <w:right w:val="single" w:color="auto" w:sz="4" w:space="0"/>
            </w:tcBorders>
            <w:vAlign w:val="center"/>
          </w:tcPr>
          <w:p w14:paraId="630C089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5FB1C9D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Идентификатор клиники</w:t>
            </w:r>
          </w:p>
        </w:tc>
        <w:tc>
          <w:tcPr>
            <w:tcW w:w="2721" w:type="dxa"/>
            <w:tcBorders>
              <w:top w:val="single" w:color="auto" w:sz="4" w:space="0"/>
              <w:left w:val="single" w:color="auto" w:sz="4" w:space="0"/>
              <w:bottom w:val="single" w:color="auto" w:sz="4" w:space="0"/>
              <w:right w:val="single" w:color="auto" w:sz="4" w:space="0"/>
            </w:tcBorders>
            <w:vAlign w:val="center"/>
          </w:tcPr>
          <w:p w14:paraId="4299202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Первичный ключ</w:t>
            </w:r>
          </w:p>
        </w:tc>
      </w:tr>
      <w:tr w14:paraId="6463A2C4">
        <w:tc>
          <w:tcPr>
            <w:tcW w:w="1814" w:type="dxa"/>
            <w:tcBorders>
              <w:top w:val="single" w:color="auto" w:sz="4" w:space="0"/>
              <w:left w:val="single" w:color="auto" w:sz="4" w:space="0"/>
              <w:bottom w:val="single" w:color="auto" w:sz="4" w:space="0"/>
              <w:right w:val="single" w:color="auto" w:sz="4" w:space="0"/>
            </w:tcBorders>
            <w:vAlign w:val="center"/>
          </w:tcPr>
          <w:p w14:paraId="7A5B1B6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name</w:t>
            </w:r>
          </w:p>
        </w:tc>
        <w:tc>
          <w:tcPr>
            <w:tcW w:w="1587" w:type="dxa"/>
            <w:tcBorders>
              <w:top w:val="single" w:color="auto" w:sz="4" w:space="0"/>
              <w:left w:val="single" w:color="auto" w:sz="4" w:space="0"/>
              <w:bottom w:val="single" w:color="auto" w:sz="4" w:space="0"/>
              <w:right w:val="single" w:color="auto" w:sz="4" w:space="0"/>
            </w:tcBorders>
            <w:vAlign w:val="center"/>
          </w:tcPr>
          <w:p w14:paraId="1438474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varchar(150)</w:t>
            </w:r>
          </w:p>
        </w:tc>
        <w:tc>
          <w:tcPr>
            <w:tcW w:w="3005" w:type="dxa"/>
            <w:tcBorders>
              <w:top w:val="single" w:color="auto" w:sz="4" w:space="0"/>
              <w:left w:val="single" w:color="auto" w:sz="4" w:space="0"/>
              <w:bottom w:val="single" w:color="auto" w:sz="4" w:space="0"/>
              <w:right w:val="single" w:color="auto" w:sz="4" w:space="0"/>
            </w:tcBorders>
            <w:vAlign w:val="center"/>
          </w:tcPr>
          <w:p w14:paraId="4E12E2B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Название клиники</w:t>
            </w:r>
          </w:p>
        </w:tc>
        <w:tc>
          <w:tcPr>
            <w:tcW w:w="2721" w:type="dxa"/>
            <w:tcBorders>
              <w:top w:val="single" w:color="auto" w:sz="4" w:space="0"/>
              <w:left w:val="single" w:color="auto" w:sz="4" w:space="0"/>
              <w:bottom w:val="single" w:color="auto" w:sz="4" w:space="0"/>
              <w:right w:val="single" w:color="auto" w:sz="4" w:space="0"/>
            </w:tcBorders>
            <w:vAlign w:val="center"/>
          </w:tcPr>
          <w:p w14:paraId="4590F06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Обязательное поле</w:t>
            </w:r>
          </w:p>
        </w:tc>
      </w:tr>
      <w:tr w14:paraId="34AE3904">
        <w:tc>
          <w:tcPr>
            <w:tcW w:w="1814" w:type="dxa"/>
            <w:tcBorders>
              <w:top w:val="single" w:color="auto" w:sz="4" w:space="0"/>
              <w:left w:val="single" w:color="auto" w:sz="4" w:space="0"/>
              <w:bottom w:val="single" w:color="auto" w:sz="4" w:space="0"/>
              <w:right w:val="single" w:color="auto" w:sz="4" w:space="0"/>
            </w:tcBorders>
            <w:vAlign w:val="center"/>
          </w:tcPr>
          <w:p w14:paraId="5D68230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address</w:t>
            </w:r>
          </w:p>
        </w:tc>
        <w:tc>
          <w:tcPr>
            <w:tcW w:w="1587" w:type="dxa"/>
            <w:tcBorders>
              <w:top w:val="single" w:color="auto" w:sz="4" w:space="0"/>
              <w:left w:val="single" w:color="auto" w:sz="4" w:space="0"/>
              <w:bottom w:val="single" w:color="auto" w:sz="4" w:space="0"/>
              <w:right w:val="single" w:color="auto" w:sz="4" w:space="0"/>
            </w:tcBorders>
            <w:vAlign w:val="center"/>
          </w:tcPr>
          <w:p w14:paraId="7F13A31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varchar(250)</w:t>
            </w:r>
          </w:p>
        </w:tc>
        <w:tc>
          <w:tcPr>
            <w:tcW w:w="3005" w:type="dxa"/>
            <w:tcBorders>
              <w:top w:val="single" w:color="auto" w:sz="4" w:space="0"/>
              <w:left w:val="single" w:color="auto" w:sz="4" w:space="0"/>
              <w:bottom w:val="single" w:color="auto" w:sz="4" w:space="0"/>
              <w:right w:val="single" w:color="auto" w:sz="4" w:space="0"/>
            </w:tcBorders>
            <w:vAlign w:val="center"/>
          </w:tcPr>
          <w:p w14:paraId="2F65BA3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Адрес клиники</w:t>
            </w:r>
          </w:p>
        </w:tc>
        <w:tc>
          <w:tcPr>
            <w:tcW w:w="2721" w:type="dxa"/>
            <w:tcBorders>
              <w:top w:val="single" w:color="auto" w:sz="4" w:space="0"/>
              <w:left w:val="single" w:color="auto" w:sz="4" w:space="0"/>
              <w:bottom w:val="single" w:color="auto" w:sz="4" w:space="0"/>
              <w:right w:val="single" w:color="auto" w:sz="4" w:space="0"/>
            </w:tcBorders>
            <w:vAlign w:val="center"/>
          </w:tcPr>
          <w:p w14:paraId="6CA5EE2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Обязательное поле</w:t>
            </w:r>
          </w:p>
        </w:tc>
      </w:tr>
      <w:tr w14:paraId="7B465939">
        <w:tc>
          <w:tcPr>
            <w:tcW w:w="1814" w:type="dxa"/>
            <w:tcBorders>
              <w:top w:val="single" w:color="auto" w:sz="4" w:space="0"/>
              <w:left w:val="single" w:color="auto" w:sz="4" w:space="0"/>
              <w:bottom w:val="single" w:color="auto" w:sz="4" w:space="0"/>
              <w:right w:val="single" w:color="auto" w:sz="4" w:space="0"/>
            </w:tcBorders>
            <w:vAlign w:val="center"/>
          </w:tcPr>
          <w:p w14:paraId="1ACE293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latitude</w:t>
            </w:r>
          </w:p>
        </w:tc>
        <w:tc>
          <w:tcPr>
            <w:tcW w:w="1587" w:type="dxa"/>
            <w:tcBorders>
              <w:top w:val="single" w:color="auto" w:sz="4" w:space="0"/>
              <w:left w:val="single" w:color="auto" w:sz="4" w:space="0"/>
              <w:bottom w:val="single" w:color="auto" w:sz="4" w:space="0"/>
              <w:right w:val="single" w:color="auto" w:sz="4" w:space="0"/>
            </w:tcBorders>
            <w:vAlign w:val="center"/>
          </w:tcPr>
          <w:p w14:paraId="720F155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decimal(9,6)</w:t>
            </w:r>
          </w:p>
        </w:tc>
        <w:tc>
          <w:tcPr>
            <w:tcW w:w="3005" w:type="dxa"/>
            <w:tcBorders>
              <w:top w:val="single" w:color="auto" w:sz="4" w:space="0"/>
              <w:left w:val="single" w:color="auto" w:sz="4" w:space="0"/>
              <w:bottom w:val="single" w:color="auto" w:sz="4" w:space="0"/>
              <w:right w:val="single" w:color="auto" w:sz="4" w:space="0"/>
            </w:tcBorders>
            <w:vAlign w:val="center"/>
          </w:tcPr>
          <w:p w14:paraId="47B3857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Широта расположения клиники</w:t>
            </w:r>
          </w:p>
        </w:tc>
        <w:tc>
          <w:tcPr>
            <w:tcW w:w="2721" w:type="dxa"/>
            <w:tcBorders>
              <w:top w:val="single" w:color="auto" w:sz="4" w:space="0"/>
              <w:left w:val="single" w:color="auto" w:sz="4" w:space="0"/>
              <w:bottom w:val="single" w:color="auto" w:sz="4" w:space="0"/>
              <w:right w:val="single" w:color="auto" w:sz="4" w:space="0"/>
            </w:tcBorders>
            <w:vAlign w:val="center"/>
          </w:tcPr>
          <w:p w14:paraId="4D135F9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Диапазон от −90 до 90</w:t>
            </w:r>
          </w:p>
        </w:tc>
      </w:tr>
      <w:tr w14:paraId="7FDC2F5B">
        <w:tc>
          <w:tcPr>
            <w:tcW w:w="1814" w:type="dxa"/>
            <w:tcBorders>
              <w:top w:val="single" w:color="auto" w:sz="4" w:space="0"/>
              <w:left w:val="single" w:color="auto" w:sz="4" w:space="0"/>
              <w:bottom w:val="single" w:color="auto" w:sz="4" w:space="0"/>
              <w:right w:val="single" w:color="auto" w:sz="4" w:space="0"/>
            </w:tcBorders>
            <w:vAlign w:val="center"/>
          </w:tcPr>
          <w:p w14:paraId="54D9E33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longitude</w:t>
            </w:r>
          </w:p>
        </w:tc>
        <w:tc>
          <w:tcPr>
            <w:tcW w:w="1587" w:type="dxa"/>
            <w:tcBorders>
              <w:top w:val="single" w:color="auto" w:sz="4" w:space="0"/>
              <w:left w:val="single" w:color="auto" w:sz="4" w:space="0"/>
              <w:bottom w:val="single" w:color="auto" w:sz="4" w:space="0"/>
              <w:right w:val="single" w:color="auto" w:sz="4" w:space="0"/>
            </w:tcBorders>
            <w:vAlign w:val="center"/>
          </w:tcPr>
          <w:p w14:paraId="45EE39B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decimal(9,6)</w:t>
            </w:r>
          </w:p>
        </w:tc>
        <w:tc>
          <w:tcPr>
            <w:tcW w:w="3005" w:type="dxa"/>
            <w:tcBorders>
              <w:top w:val="single" w:color="auto" w:sz="4" w:space="0"/>
              <w:left w:val="single" w:color="auto" w:sz="4" w:space="0"/>
              <w:bottom w:val="single" w:color="auto" w:sz="4" w:space="0"/>
              <w:right w:val="single" w:color="auto" w:sz="4" w:space="0"/>
            </w:tcBorders>
            <w:vAlign w:val="center"/>
          </w:tcPr>
          <w:p w14:paraId="5F2872E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Долгота расположения клиники</w:t>
            </w:r>
          </w:p>
        </w:tc>
        <w:tc>
          <w:tcPr>
            <w:tcW w:w="2721" w:type="dxa"/>
            <w:tcBorders>
              <w:top w:val="single" w:color="auto" w:sz="4" w:space="0"/>
              <w:left w:val="single" w:color="auto" w:sz="4" w:space="0"/>
              <w:bottom w:val="single" w:color="auto" w:sz="4" w:space="0"/>
              <w:right w:val="single" w:color="auto" w:sz="4" w:space="0"/>
            </w:tcBorders>
            <w:vAlign w:val="center"/>
          </w:tcPr>
          <w:p w14:paraId="2DCBD5F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Диапазон от −180 до 180</w:t>
            </w:r>
          </w:p>
        </w:tc>
      </w:tr>
      <w:tr w14:paraId="2DAC1C1B">
        <w:tc>
          <w:tcPr>
            <w:tcW w:w="1814" w:type="dxa"/>
            <w:tcBorders>
              <w:top w:val="single" w:color="auto" w:sz="4" w:space="0"/>
              <w:left w:val="single" w:color="auto" w:sz="4" w:space="0"/>
              <w:bottom w:val="single" w:color="auto" w:sz="4" w:space="0"/>
              <w:right w:val="single" w:color="auto" w:sz="4" w:space="0"/>
            </w:tcBorders>
            <w:vAlign w:val="center"/>
          </w:tcPr>
          <w:p w14:paraId="3D11B2F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phone</w:t>
            </w:r>
          </w:p>
        </w:tc>
        <w:tc>
          <w:tcPr>
            <w:tcW w:w="1587" w:type="dxa"/>
            <w:tcBorders>
              <w:top w:val="single" w:color="auto" w:sz="4" w:space="0"/>
              <w:left w:val="single" w:color="auto" w:sz="4" w:space="0"/>
              <w:bottom w:val="single" w:color="auto" w:sz="4" w:space="0"/>
              <w:right w:val="single" w:color="auto" w:sz="4" w:space="0"/>
            </w:tcBorders>
            <w:vAlign w:val="center"/>
          </w:tcPr>
          <w:p w14:paraId="6B0B7FC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varchar(100)</w:t>
            </w:r>
          </w:p>
        </w:tc>
        <w:tc>
          <w:tcPr>
            <w:tcW w:w="3005" w:type="dxa"/>
            <w:tcBorders>
              <w:top w:val="single" w:color="auto" w:sz="4" w:space="0"/>
              <w:left w:val="single" w:color="auto" w:sz="4" w:space="0"/>
              <w:bottom w:val="single" w:color="auto" w:sz="4" w:space="0"/>
              <w:right w:val="single" w:color="auto" w:sz="4" w:space="0"/>
            </w:tcBorders>
            <w:vAlign w:val="center"/>
          </w:tcPr>
          <w:p w14:paraId="3331CB2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Телефон регистратуры</w:t>
            </w:r>
          </w:p>
        </w:tc>
        <w:tc>
          <w:tcPr>
            <w:tcW w:w="2721" w:type="dxa"/>
            <w:tcBorders>
              <w:top w:val="single" w:color="auto" w:sz="4" w:space="0"/>
              <w:left w:val="single" w:color="auto" w:sz="4" w:space="0"/>
              <w:bottom w:val="single" w:color="auto" w:sz="4" w:space="0"/>
              <w:right w:val="single" w:color="auto" w:sz="4" w:space="0"/>
            </w:tcBorders>
            <w:vAlign w:val="center"/>
          </w:tcPr>
          <w:p w14:paraId="184BC40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Формат E.164</w:t>
            </w:r>
          </w:p>
        </w:tc>
      </w:tr>
      <w:tr w14:paraId="5ADC5C94">
        <w:tc>
          <w:tcPr>
            <w:tcW w:w="1814" w:type="dxa"/>
            <w:tcBorders>
              <w:top w:val="single" w:color="auto" w:sz="4" w:space="0"/>
              <w:left w:val="single" w:color="auto" w:sz="4" w:space="0"/>
              <w:bottom w:val="single" w:color="auto" w:sz="4" w:space="0"/>
              <w:right w:val="single" w:color="auto" w:sz="4" w:space="0"/>
            </w:tcBorders>
            <w:vAlign w:val="center"/>
          </w:tcPr>
          <w:p w14:paraId="3EBF104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working_hours</w:t>
            </w:r>
          </w:p>
        </w:tc>
        <w:tc>
          <w:tcPr>
            <w:tcW w:w="1587" w:type="dxa"/>
            <w:tcBorders>
              <w:top w:val="single" w:color="auto" w:sz="4" w:space="0"/>
              <w:left w:val="single" w:color="auto" w:sz="4" w:space="0"/>
              <w:bottom w:val="single" w:color="auto" w:sz="4" w:space="0"/>
              <w:right w:val="single" w:color="auto" w:sz="4" w:space="0"/>
            </w:tcBorders>
            <w:vAlign w:val="center"/>
          </w:tcPr>
          <w:p w14:paraId="42E1214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varchar(250)</w:t>
            </w:r>
          </w:p>
        </w:tc>
        <w:tc>
          <w:tcPr>
            <w:tcW w:w="3005" w:type="dxa"/>
            <w:tcBorders>
              <w:top w:val="single" w:color="auto" w:sz="4" w:space="0"/>
              <w:left w:val="single" w:color="auto" w:sz="4" w:space="0"/>
              <w:bottom w:val="single" w:color="auto" w:sz="4" w:space="0"/>
              <w:right w:val="single" w:color="auto" w:sz="4" w:space="0"/>
            </w:tcBorders>
            <w:vAlign w:val="center"/>
          </w:tcPr>
          <w:p w14:paraId="51C7842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Расписание работы клиники</w:t>
            </w:r>
          </w:p>
        </w:tc>
        <w:tc>
          <w:tcPr>
            <w:tcW w:w="2721" w:type="dxa"/>
            <w:tcBorders>
              <w:top w:val="single" w:color="auto" w:sz="4" w:space="0"/>
              <w:left w:val="single" w:color="auto" w:sz="4" w:space="0"/>
              <w:bottom w:val="single" w:color="auto" w:sz="4" w:space="0"/>
              <w:right w:val="single" w:color="auto" w:sz="4" w:space="0"/>
            </w:tcBorders>
            <w:vAlign w:val="center"/>
          </w:tcPr>
          <w:p w14:paraId="6E26A03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Текстовое поле формата «Пн-Пт 09:00–21:00»</w:t>
            </w:r>
          </w:p>
        </w:tc>
      </w:tr>
    </w:tbl>
    <w:p w14:paraId="21BC53F9">
      <w:pPr>
        <w:spacing w:before="0" w:after="0"/>
        <w:ind w:firstLine="709"/>
        <w:jc w:val="both"/>
      </w:pPr>
      <w:r>
        <w:rPr>
          <w:rFonts w:ascii="Times New Roman" w:hAnsi="Times New Roman"/>
          <w:b w:val="0"/>
          <w:sz w:val="28"/>
        </w:rPr>
        <w:t>Сущность клиники описана через идентификатор UUID, название, адрес и географические координаты (широта и долгота с точностью до шести знаков после запятой). Геокоординаты обязательны для функции поиска ближайшей клиники в приложении. Поля name и address являются обязательными и обеспечивают отображение карточки клиники в интерфейсе пациента.</w:t>
      </w:r>
    </w:p>
    <w:p w14:paraId="52D87F71">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35 — Описание таблицы doctors</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587"/>
        <w:gridCol w:w="3005"/>
        <w:gridCol w:w="2721"/>
      </w:tblGrid>
      <w:tr w14:paraId="221C1AB8">
        <w:tc>
          <w:tcPr>
            <w:tcW w:w="1814" w:type="dxa"/>
            <w:tcBorders>
              <w:top w:val="single" w:color="auto" w:sz="4" w:space="0"/>
              <w:left w:val="single" w:color="auto" w:sz="4" w:space="0"/>
              <w:bottom w:val="single" w:color="auto" w:sz="4" w:space="0"/>
              <w:right w:val="single" w:color="auto" w:sz="4" w:space="0"/>
            </w:tcBorders>
            <w:vAlign w:val="center"/>
          </w:tcPr>
          <w:p w14:paraId="569DFE8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1587" w:type="dxa"/>
            <w:tcBorders>
              <w:top w:val="single" w:color="auto" w:sz="4" w:space="0"/>
              <w:left w:val="single" w:color="auto" w:sz="4" w:space="0"/>
              <w:bottom w:val="single" w:color="auto" w:sz="4" w:space="0"/>
              <w:right w:val="single" w:color="auto" w:sz="4" w:space="0"/>
            </w:tcBorders>
            <w:vAlign w:val="center"/>
          </w:tcPr>
          <w:p w14:paraId="063B1B4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данных в БД</w:t>
            </w:r>
          </w:p>
        </w:tc>
        <w:tc>
          <w:tcPr>
            <w:tcW w:w="3005" w:type="dxa"/>
            <w:tcBorders>
              <w:top w:val="single" w:color="auto" w:sz="4" w:space="0"/>
              <w:left w:val="single" w:color="auto" w:sz="4" w:space="0"/>
              <w:bottom w:val="single" w:color="auto" w:sz="4" w:space="0"/>
              <w:right w:val="single" w:color="auto" w:sz="4" w:space="0"/>
            </w:tcBorders>
            <w:vAlign w:val="center"/>
          </w:tcPr>
          <w:p w14:paraId="249315A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2721" w:type="dxa"/>
            <w:tcBorders>
              <w:top w:val="single" w:color="auto" w:sz="4" w:space="0"/>
              <w:left w:val="single" w:color="auto" w:sz="4" w:space="0"/>
              <w:bottom w:val="single" w:color="auto" w:sz="4" w:space="0"/>
              <w:right w:val="single" w:color="auto" w:sz="4" w:space="0"/>
            </w:tcBorders>
            <w:vAlign w:val="center"/>
          </w:tcPr>
          <w:p w14:paraId="39B2F98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Ограничения</w:t>
            </w:r>
          </w:p>
        </w:tc>
      </w:tr>
      <w:tr w14:paraId="6FDFC561">
        <w:tc>
          <w:tcPr>
            <w:tcW w:w="1814" w:type="dxa"/>
            <w:tcBorders>
              <w:top w:val="single" w:color="auto" w:sz="4" w:space="0"/>
              <w:left w:val="single" w:color="auto" w:sz="4" w:space="0"/>
              <w:bottom w:val="single" w:color="auto" w:sz="4" w:space="0"/>
              <w:right w:val="single" w:color="auto" w:sz="4" w:space="0"/>
            </w:tcBorders>
            <w:vAlign w:val="center"/>
          </w:tcPr>
          <w:p w14:paraId="2B39DAC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id</w:t>
            </w:r>
          </w:p>
        </w:tc>
        <w:tc>
          <w:tcPr>
            <w:tcW w:w="1587" w:type="dxa"/>
            <w:tcBorders>
              <w:top w:val="single" w:color="auto" w:sz="4" w:space="0"/>
              <w:left w:val="single" w:color="auto" w:sz="4" w:space="0"/>
              <w:bottom w:val="single" w:color="auto" w:sz="4" w:space="0"/>
              <w:right w:val="single" w:color="auto" w:sz="4" w:space="0"/>
            </w:tcBorders>
            <w:vAlign w:val="center"/>
          </w:tcPr>
          <w:p w14:paraId="658B37F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28EF14F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Идентификатор врача</w:t>
            </w:r>
          </w:p>
        </w:tc>
        <w:tc>
          <w:tcPr>
            <w:tcW w:w="2721" w:type="dxa"/>
            <w:tcBorders>
              <w:top w:val="single" w:color="auto" w:sz="4" w:space="0"/>
              <w:left w:val="single" w:color="auto" w:sz="4" w:space="0"/>
              <w:bottom w:val="single" w:color="auto" w:sz="4" w:space="0"/>
              <w:right w:val="single" w:color="auto" w:sz="4" w:space="0"/>
            </w:tcBorders>
            <w:vAlign w:val="center"/>
          </w:tcPr>
          <w:p w14:paraId="7704027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Первичный ключ</w:t>
            </w:r>
          </w:p>
        </w:tc>
      </w:tr>
      <w:tr w14:paraId="60EB00DD">
        <w:tc>
          <w:tcPr>
            <w:tcW w:w="1814" w:type="dxa"/>
            <w:tcBorders>
              <w:top w:val="single" w:color="auto" w:sz="4" w:space="0"/>
              <w:left w:val="single" w:color="auto" w:sz="4" w:space="0"/>
              <w:bottom w:val="single" w:color="auto" w:sz="4" w:space="0"/>
              <w:right w:val="single" w:color="auto" w:sz="4" w:space="0"/>
            </w:tcBorders>
            <w:vAlign w:val="center"/>
          </w:tcPr>
          <w:p w14:paraId="76A409F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clinic_id</w:t>
            </w:r>
          </w:p>
        </w:tc>
        <w:tc>
          <w:tcPr>
            <w:tcW w:w="1587" w:type="dxa"/>
            <w:tcBorders>
              <w:top w:val="single" w:color="auto" w:sz="4" w:space="0"/>
              <w:left w:val="single" w:color="auto" w:sz="4" w:space="0"/>
              <w:bottom w:val="single" w:color="auto" w:sz="4" w:space="0"/>
              <w:right w:val="single" w:color="auto" w:sz="4" w:space="0"/>
            </w:tcBorders>
            <w:vAlign w:val="center"/>
          </w:tcPr>
          <w:p w14:paraId="0E1ECF4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4F019C9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Ссылка на клинику</w:t>
            </w:r>
          </w:p>
        </w:tc>
        <w:tc>
          <w:tcPr>
            <w:tcW w:w="2721" w:type="dxa"/>
            <w:tcBorders>
              <w:top w:val="single" w:color="auto" w:sz="4" w:space="0"/>
              <w:left w:val="single" w:color="auto" w:sz="4" w:space="0"/>
              <w:bottom w:val="single" w:color="auto" w:sz="4" w:space="0"/>
              <w:right w:val="single" w:color="auto" w:sz="4" w:space="0"/>
            </w:tcBorders>
            <w:vAlign w:val="center"/>
          </w:tcPr>
          <w:p w14:paraId="0BE164F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Внешний ключ к </w:t>
            </w:r>
            <w:r>
              <w:rPr>
                <w:rFonts w:ascii="Times New Roman" w:hAnsi="Times New Roman" w:eastAsia="Times New Roman" w:cs="Times New Roman"/>
                <w:color w:val="000000"/>
                <w:kern w:val="0"/>
                <w:sz w:val="24"/>
                <w:szCs w:val="24"/>
                <w:lang w:val="en-US" w:eastAsia="ru-RU"/>
                <w14:ligatures w14:val="none"/>
              </w:rPr>
              <w:t>clinics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id</w:t>
            </w:r>
          </w:p>
        </w:tc>
      </w:tr>
      <w:tr w14:paraId="3F162FFC">
        <w:tc>
          <w:tcPr>
            <w:tcW w:w="1814" w:type="dxa"/>
            <w:tcBorders>
              <w:top w:val="single" w:color="auto" w:sz="4" w:space="0"/>
              <w:left w:val="single" w:color="auto" w:sz="4" w:space="0"/>
              <w:bottom w:val="single" w:color="auto" w:sz="4" w:space="0"/>
              <w:right w:val="single" w:color="auto" w:sz="4" w:space="0"/>
            </w:tcBorders>
            <w:vAlign w:val="center"/>
          </w:tcPr>
          <w:p w14:paraId="328D13C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first_name</w:t>
            </w:r>
          </w:p>
        </w:tc>
        <w:tc>
          <w:tcPr>
            <w:tcW w:w="1587" w:type="dxa"/>
            <w:tcBorders>
              <w:top w:val="single" w:color="auto" w:sz="4" w:space="0"/>
              <w:left w:val="single" w:color="auto" w:sz="4" w:space="0"/>
              <w:bottom w:val="single" w:color="auto" w:sz="4" w:space="0"/>
              <w:right w:val="single" w:color="auto" w:sz="4" w:space="0"/>
            </w:tcBorders>
            <w:vAlign w:val="center"/>
          </w:tcPr>
          <w:p w14:paraId="693C659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4D119FA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Имя врача</w:t>
            </w:r>
          </w:p>
        </w:tc>
        <w:tc>
          <w:tcPr>
            <w:tcW w:w="2721" w:type="dxa"/>
            <w:tcBorders>
              <w:top w:val="single" w:color="auto" w:sz="4" w:space="0"/>
              <w:left w:val="single" w:color="auto" w:sz="4" w:space="0"/>
              <w:bottom w:val="single" w:color="auto" w:sz="4" w:space="0"/>
              <w:right w:val="single" w:color="auto" w:sz="4" w:space="0"/>
            </w:tcBorders>
            <w:vAlign w:val="center"/>
          </w:tcPr>
          <w:p w14:paraId="3826AF0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Только кириллица</w:t>
            </w:r>
          </w:p>
        </w:tc>
      </w:tr>
      <w:tr w14:paraId="217B179A">
        <w:tc>
          <w:tcPr>
            <w:tcW w:w="1814" w:type="dxa"/>
            <w:tcBorders>
              <w:top w:val="single" w:color="auto" w:sz="4" w:space="0"/>
              <w:left w:val="single" w:color="auto" w:sz="4" w:space="0"/>
              <w:bottom w:val="single" w:color="auto" w:sz="4" w:space="0"/>
              <w:right w:val="single" w:color="auto" w:sz="4" w:space="0"/>
            </w:tcBorders>
            <w:vAlign w:val="center"/>
          </w:tcPr>
          <w:p w14:paraId="513B9B1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last_name</w:t>
            </w:r>
          </w:p>
        </w:tc>
        <w:tc>
          <w:tcPr>
            <w:tcW w:w="1587" w:type="dxa"/>
            <w:tcBorders>
              <w:top w:val="single" w:color="auto" w:sz="4" w:space="0"/>
              <w:left w:val="single" w:color="auto" w:sz="4" w:space="0"/>
              <w:bottom w:val="single" w:color="auto" w:sz="4" w:space="0"/>
              <w:right w:val="single" w:color="auto" w:sz="4" w:space="0"/>
            </w:tcBorders>
            <w:vAlign w:val="center"/>
          </w:tcPr>
          <w:p w14:paraId="76BA3C5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61AAA8A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Фамилия врача</w:t>
            </w:r>
          </w:p>
        </w:tc>
        <w:tc>
          <w:tcPr>
            <w:tcW w:w="2721" w:type="dxa"/>
            <w:tcBorders>
              <w:top w:val="single" w:color="auto" w:sz="4" w:space="0"/>
              <w:left w:val="single" w:color="auto" w:sz="4" w:space="0"/>
              <w:bottom w:val="single" w:color="auto" w:sz="4" w:space="0"/>
              <w:right w:val="single" w:color="auto" w:sz="4" w:space="0"/>
            </w:tcBorders>
            <w:vAlign w:val="center"/>
          </w:tcPr>
          <w:p w14:paraId="6B150C0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Только кириллица</w:t>
            </w:r>
          </w:p>
        </w:tc>
      </w:tr>
      <w:tr w14:paraId="65BD2627">
        <w:tc>
          <w:tcPr>
            <w:tcW w:w="1814" w:type="dxa"/>
            <w:tcBorders>
              <w:top w:val="single" w:color="auto" w:sz="4" w:space="0"/>
              <w:left w:val="single" w:color="auto" w:sz="4" w:space="0"/>
              <w:bottom w:val="single" w:color="auto" w:sz="4" w:space="0"/>
              <w:right w:val="single" w:color="auto" w:sz="4" w:space="0"/>
            </w:tcBorders>
            <w:vAlign w:val="center"/>
          </w:tcPr>
          <w:p w14:paraId="0A45251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specialization</w:t>
            </w:r>
          </w:p>
        </w:tc>
        <w:tc>
          <w:tcPr>
            <w:tcW w:w="1587" w:type="dxa"/>
            <w:tcBorders>
              <w:top w:val="single" w:color="auto" w:sz="4" w:space="0"/>
              <w:left w:val="single" w:color="auto" w:sz="4" w:space="0"/>
              <w:bottom w:val="single" w:color="auto" w:sz="4" w:space="0"/>
              <w:right w:val="single" w:color="auto" w:sz="4" w:space="0"/>
            </w:tcBorders>
            <w:vAlign w:val="center"/>
          </w:tcPr>
          <w:p w14:paraId="19ADD64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varchar(100)</w:t>
            </w:r>
          </w:p>
        </w:tc>
        <w:tc>
          <w:tcPr>
            <w:tcW w:w="3005" w:type="dxa"/>
            <w:tcBorders>
              <w:top w:val="single" w:color="auto" w:sz="4" w:space="0"/>
              <w:left w:val="single" w:color="auto" w:sz="4" w:space="0"/>
              <w:bottom w:val="single" w:color="auto" w:sz="4" w:space="0"/>
              <w:right w:val="single" w:color="auto" w:sz="4" w:space="0"/>
            </w:tcBorders>
            <w:vAlign w:val="center"/>
          </w:tcPr>
          <w:p w14:paraId="3D0133B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Специализация врача</w:t>
            </w:r>
          </w:p>
        </w:tc>
        <w:tc>
          <w:tcPr>
            <w:tcW w:w="2721" w:type="dxa"/>
            <w:tcBorders>
              <w:top w:val="single" w:color="auto" w:sz="4" w:space="0"/>
              <w:left w:val="single" w:color="auto" w:sz="4" w:space="0"/>
              <w:bottom w:val="single" w:color="auto" w:sz="4" w:space="0"/>
              <w:right w:val="single" w:color="auto" w:sz="4" w:space="0"/>
            </w:tcBorders>
            <w:vAlign w:val="center"/>
          </w:tcPr>
          <w:p w14:paraId="722A8F0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Значение из справочника специализаций</w:t>
            </w:r>
          </w:p>
        </w:tc>
      </w:tr>
      <w:tr w14:paraId="277DDBE5">
        <w:tc>
          <w:tcPr>
            <w:tcW w:w="1814" w:type="dxa"/>
            <w:tcBorders>
              <w:top w:val="single" w:color="auto" w:sz="4" w:space="0"/>
              <w:left w:val="single" w:color="auto" w:sz="4" w:space="0"/>
              <w:bottom w:val="single" w:color="auto" w:sz="4" w:space="0"/>
              <w:right w:val="single" w:color="auto" w:sz="4" w:space="0"/>
            </w:tcBorders>
            <w:vAlign w:val="center"/>
          </w:tcPr>
          <w:p w14:paraId="246D8BB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experience_years</w:t>
            </w:r>
          </w:p>
        </w:tc>
        <w:tc>
          <w:tcPr>
            <w:tcW w:w="1587" w:type="dxa"/>
            <w:tcBorders>
              <w:top w:val="single" w:color="auto" w:sz="4" w:space="0"/>
              <w:left w:val="single" w:color="auto" w:sz="4" w:space="0"/>
              <w:bottom w:val="single" w:color="auto" w:sz="4" w:space="0"/>
              <w:right w:val="single" w:color="auto" w:sz="4" w:space="0"/>
            </w:tcBorders>
            <w:vAlign w:val="center"/>
          </w:tcPr>
          <w:p w14:paraId="19950A3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integer</w:t>
            </w:r>
          </w:p>
        </w:tc>
        <w:tc>
          <w:tcPr>
            <w:tcW w:w="3005" w:type="dxa"/>
            <w:tcBorders>
              <w:top w:val="single" w:color="auto" w:sz="4" w:space="0"/>
              <w:left w:val="single" w:color="auto" w:sz="4" w:space="0"/>
              <w:bottom w:val="single" w:color="auto" w:sz="4" w:space="0"/>
              <w:right w:val="single" w:color="auto" w:sz="4" w:space="0"/>
            </w:tcBorders>
            <w:vAlign w:val="center"/>
          </w:tcPr>
          <w:p w14:paraId="05B60F6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Стаж работы, лет</w:t>
            </w:r>
          </w:p>
        </w:tc>
        <w:tc>
          <w:tcPr>
            <w:tcW w:w="2721" w:type="dxa"/>
            <w:tcBorders>
              <w:top w:val="single" w:color="auto" w:sz="4" w:space="0"/>
              <w:left w:val="single" w:color="auto" w:sz="4" w:space="0"/>
              <w:bottom w:val="single" w:color="auto" w:sz="4" w:space="0"/>
              <w:right w:val="single" w:color="auto" w:sz="4" w:space="0"/>
            </w:tcBorders>
            <w:vAlign w:val="center"/>
          </w:tcPr>
          <w:p w14:paraId="34792B4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Не меньше 0 и не больше 70</w:t>
            </w:r>
          </w:p>
        </w:tc>
      </w:tr>
      <w:tr w14:paraId="491D9FD1">
        <w:tc>
          <w:tcPr>
            <w:tcW w:w="1814" w:type="dxa"/>
            <w:tcBorders>
              <w:top w:val="single" w:color="auto" w:sz="4" w:space="0"/>
              <w:left w:val="single" w:color="auto" w:sz="4" w:space="0"/>
              <w:bottom w:val="single" w:color="auto" w:sz="4" w:space="0"/>
              <w:right w:val="single" w:color="auto" w:sz="4" w:space="0"/>
            </w:tcBorders>
            <w:vAlign w:val="center"/>
          </w:tcPr>
          <w:p w14:paraId="2269B44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rating</w:t>
            </w:r>
          </w:p>
        </w:tc>
        <w:tc>
          <w:tcPr>
            <w:tcW w:w="1587" w:type="dxa"/>
            <w:tcBorders>
              <w:top w:val="single" w:color="auto" w:sz="4" w:space="0"/>
              <w:left w:val="single" w:color="auto" w:sz="4" w:space="0"/>
              <w:bottom w:val="single" w:color="auto" w:sz="4" w:space="0"/>
              <w:right w:val="single" w:color="auto" w:sz="4" w:space="0"/>
            </w:tcBorders>
            <w:vAlign w:val="center"/>
          </w:tcPr>
          <w:p w14:paraId="4C35408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decimal(3,2)</w:t>
            </w:r>
          </w:p>
        </w:tc>
        <w:tc>
          <w:tcPr>
            <w:tcW w:w="3005" w:type="dxa"/>
            <w:tcBorders>
              <w:top w:val="single" w:color="auto" w:sz="4" w:space="0"/>
              <w:left w:val="single" w:color="auto" w:sz="4" w:space="0"/>
              <w:bottom w:val="single" w:color="auto" w:sz="4" w:space="0"/>
              <w:right w:val="single" w:color="auto" w:sz="4" w:space="0"/>
            </w:tcBorders>
            <w:vAlign w:val="center"/>
          </w:tcPr>
          <w:p w14:paraId="31F9AB9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Средний рейтинг по отзывам</w:t>
            </w:r>
          </w:p>
        </w:tc>
        <w:tc>
          <w:tcPr>
            <w:tcW w:w="2721" w:type="dxa"/>
            <w:tcBorders>
              <w:top w:val="single" w:color="auto" w:sz="4" w:space="0"/>
              <w:left w:val="single" w:color="auto" w:sz="4" w:space="0"/>
              <w:bottom w:val="single" w:color="auto" w:sz="4" w:space="0"/>
              <w:right w:val="single" w:color="auto" w:sz="4" w:space="0"/>
            </w:tcBorders>
            <w:vAlign w:val="center"/>
          </w:tcPr>
          <w:p w14:paraId="5237FE2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Диапазон от 0.00 до 5.00</w:t>
            </w:r>
          </w:p>
        </w:tc>
      </w:tr>
      <w:tr w14:paraId="457149D9">
        <w:tc>
          <w:tcPr>
            <w:tcW w:w="1814" w:type="dxa"/>
            <w:tcBorders>
              <w:top w:val="single" w:color="auto" w:sz="4" w:space="0"/>
              <w:left w:val="single" w:color="auto" w:sz="4" w:space="0"/>
              <w:bottom w:val="single" w:color="auto" w:sz="4" w:space="0"/>
              <w:right w:val="single" w:color="auto" w:sz="4" w:space="0"/>
            </w:tcBorders>
            <w:vAlign w:val="center"/>
          </w:tcPr>
          <w:p w14:paraId="1088EE9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photo_url</w:t>
            </w:r>
          </w:p>
        </w:tc>
        <w:tc>
          <w:tcPr>
            <w:tcW w:w="1587" w:type="dxa"/>
            <w:tcBorders>
              <w:top w:val="single" w:color="auto" w:sz="4" w:space="0"/>
              <w:left w:val="single" w:color="auto" w:sz="4" w:space="0"/>
              <w:bottom w:val="single" w:color="auto" w:sz="4" w:space="0"/>
              <w:right w:val="single" w:color="auto" w:sz="4" w:space="0"/>
            </w:tcBorders>
            <w:vAlign w:val="center"/>
          </w:tcPr>
          <w:p w14:paraId="7036E72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varchar(250)</w:t>
            </w:r>
          </w:p>
        </w:tc>
        <w:tc>
          <w:tcPr>
            <w:tcW w:w="3005" w:type="dxa"/>
            <w:tcBorders>
              <w:top w:val="single" w:color="auto" w:sz="4" w:space="0"/>
              <w:left w:val="single" w:color="auto" w:sz="4" w:space="0"/>
              <w:bottom w:val="single" w:color="auto" w:sz="4" w:space="0"/>
              <w:right w:val="single" w:color="auto" w:sz="4" w:space="0"/>
            </w:tcBorders>
            <w:vAlign w:val="center"/>
          </w:tcPr>
          <w:p w14:paraId="054DE4F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Ссылка на фото врача в </w:t>
            </w:r>
            <w:r>
              <w:rPr>
                <w:rFonts w:ascii="Times New Roman" w:hAnsi="Times New Roman" w:eastAsia="Times New Roman" w:cs="Times New Roman"/>
                <w:color w:val="000000"/>
                <w:kern w:val="0"/>
                <w:sz w:val="24"/>
                <w:szCs w:val="24"/>
                <w:lang w:val="en-US" w:eastAsia="ru-RU"/>
                <w14:ligatures w14:val="none"/>
              </w:rPr>
              <w:t>S</w:t>
            </w:r>
            <w:r>
              <w:rPr>
                <w:rFonts w:ascii="Times New Roman" w:hAnsi="Times New Roman" w:eastAsia="Times New Roman" w:cs="Times New Roman"/>
                <w:color w:val="000000"/>
                <w:kern w:val="0"/>
                <w:sz w:val="24"/>
                <w:szCs w:val="24"/>
                <w:lang w:eastAsia="ru-RU"/>
                <w14:ligatures w14:val="none"/>
              </w:rPr>
              <w:t>3</w:t>
            </w:r>
          </w:p>
        </w:tc>
        <w:tc>
          <w:tcPr>
            <w:tcW w:w="2721" w:type="dxa"/>
            <w:tcBorders>
              <w:top w:val="single" w:color="auto" w:sz="4" w:space="0"/>
              <w:left w:val="single" w:color="auto" w:sz="4" w:space="0"/>
              <w:bottom w:val="single" w:color="auto" w:sz="4" w:space="0"/>
              <w:right w:val="single" w:color="auto" w:sz="4" w:space="0"/>
            </w:tcBorders>
            <w:vAlign w:val="center"/>
          </w:tcPr>
          <w:p w14:paraId="1856651A">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Обязательное поле; проверяется </w:t>
            </w:r>
            <w:r>
              <w:rPr>
                <w:rFonts w:ascii="Times New Roman" w:hAnsi="Times New Roman" w:eastAsia="Times New Roman" w:cs="Times New Roman"/>
                <w:color w:val="000000"/>
                <w:kern w:val="0"/>
                <w:sz w:val="24"/>
                <w:szCs w:val="24"/>
                <w:lang w:val="en-US" w:eastAsia="ru-RU"/>
                <w14:ligatures w14:val="none"/>
              </w:rPr>
              <w:t>HEAD</w:t>
            </w:r>
            <w:r>
              <w:rPr>
                <w:rFonts w:ascii="Times New Roman" w:hAnsi="Times New Roman" w:eastAsia="Times New Roman" w:cs="Times New Roman"/>
                <w:color w:val="000000"/>
                <w:kern w:val="0"/>
                <w:sz w:val="24"/>
                <w:szCs w:val="24"/>
                <w:lang w:eastAsia="ru-RU"/>
                <w14:ligatures w14:val="none"/>
              </w:rPr>
              <w:t>-запросом</w:t>
            </w:r>
          </w:p>
        </w:tc>
      </w:tr>
    </w:tbl>
    <w:p w14:paraId="24C791E1">
      <w:pPr>
        <w:spacing w:before="0" w:after="0"/>
        <w:ind w:firstLine="709"/>
        <w:jc w:val="both"/>
      </w:pPr>
      <w:r>
        <w:rPr>
          <w:rFonts w:ascii="Times New Roman" w:hAnsi="Times New Roman"/>
          <w:b w:val="0"/>
          <w:sz w:val="28"/>
        </w:rPr>
        <w:t>Структура сущности врача включает UUID-идентификатор, внешний ключ к клинике, ФИО, специализацию из справочника и ссылку на фотографию. Связь с таблицей clinics через clinic_id обеспечивает фильтрацию врачей по конкретному филиалу сети. Поле специализации ограничено справочником значений, что исключает дублирование и ошибки при поиске.</w:t>
      </w:r>
    </w:p>
    <w:p w14:paraId="262AD48A">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36 — Описание таблицы services</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587"/>
        <w:gridCol w:w="3005"/>
        <w:gridCol w:w="2721"/>
      </w:tblGrid>
      <w:tr w14:paraId="7C7A4022">
        <w:tc>
          <w:tcPr>
            <w:tcW w:w="1814" w:type="dxa"/>
            <w:tcBorders>
              <w:top w:val="single" w:color="auto" w:sz="4" w:space="0"/>
              <w:left w:val="single" w:color="auto" w:sz="4" w:space="0"/>
              <w:bottom w:val="single" w:color="auto" w:sz="4" w:space="0"/>
              <w:right w:val="single" w:color="auto" w:sz="4" w:space="0"/>
            </w:tcBorders>
            <w:vAlign w:val="center"/>
          </w:tcPr>
          <w:p w14:paraId="5428694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1587" w:type="dxa"/>
            <w:tcBorders>
              <w:top w:val="single" w:color="auto" w:sz="4" w:space="0"/>
              <w:left w:val="single" w:color="auto" w:sz="4" w:space="0"/>
              <w:bottom w:val="single" w:color="auto" w:sz="4" w:space="0"/>
              <w:right w:val="single" w:color="auto" w:sz="4" w:space="0"/>
            </w:tcBorders>
            <w:vAlign w:val="center"/>
          </w:tcPr>
          <w:p w14:paraId="2D5BBD0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данных в БД</w:t>
            </w:r>
          </w:p>
        </w:tc>
        <w:tc>
          <w:tcPr>
            <w:tcW w:w="3005" w:type="dxa"/>
            <w:tcBorders>
              <w:top w:val="single" w:color="auto" w:sz="4" w:space="0"/>
              <w:left w:val="single" w:color="auto" w:sz="4" w:space="0"/>
              <w:bottom w:val="single" w:color="auto" w:sz="4" w:space="0"/>
              <w:right w:val="single" w:color="auto" w:sz="4" w:space="0"/>
            </w:tcBorders>
            <w:vAlign w:val="center"/>
          </w:tcPr>
          <w:p w14:paraId="336EC50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2721" w:type="dxa"/>
            <w:tcBorders>
              <w:top w:val="single" w:color="auto" w:sz="4" w:space="0"/>
              <w:left w:val="single" w:color="auto" w:sz="4" w:space="0"/>
              <w:bottom w:val="single" w:color="auto" w:sz="4" w:space="0"/>
              <w:right w:val="single" w:color="auto" w:sz="4" w:space="0"/>
            </w:tcBorders>
            <w:vAlign w:val="center"/>
          </w:tcPr>
          <w:p w14:paraId="3B88719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Ограничения</w:t>
            </w:r>
          </w:p>
        </w:tc>
      </w:tr>
      <w:tr w14:paraId="5F856F3C">
        <w:tc>
          <w:tcPr>
            <w:tcW w:w="1814" w:type="dxa"/>
            <w:tcBorders>
              <w:top w:val="single" w:color="auto" w:sz="4" w:space="0"/>
              <w:left w:val="single" w:color="auto" w:sz="4" w:space="0"/>
              <w:bottom w:val="single" w:color="auto" w:sz="4" w:space="0"/>
              <w:right w:val="single" w:color="auto" w:sz="4" w:space="0"/>
            </w:tcBorders>
            <w:vAlign w:val="center"/>
          </w:tcPr>
          <w:p w14:paraId="78FB64D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id</w:t>
            </w:r>
          </w:p>
        </w:tc>
        <w:tc>
          <w:tcPr>
            <w:tcW w:w="1587" w:type="dxa"/>
            <w:tcBorders>
              <w:top w:val="single" w:color="auto" w:sz="4" w:space="0"/>
              <w:left w:val="single" w:color="auto" w:sz="4" w:space="0"/>
              <w:bottom w:val="single" w:color="auto" w:sz="4" w:space="0"/>
              <w:right w:val="single" w:color="auto" w:sz="4" w:space="0"/>
            </w:tcBorders>
            <w:vAlign w:val="center"/>
          </w:tcPr>
          <w:p w14:paraId="5F587C1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609EA06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Идентификатор услуги</w:t>
            </w:r>
          </w:p>
        </w:tc>
        <w:tc>
          <w:tcPr>
            <w:tcW w:w="2721" w:type="dxa"/>
            <w:tcBorders>
              <w:top w:val="single" w:color="auto" w:sz="4" w:space="0"/>
              <w:left w:val="single" w:color="auto" w:sz="4" w:space="0"/>
              <w:bottom w:val="single" w:color="auto" w:sz="4" w:space="0"/>
              <w:right w:val="single" w:color="auto" w:sz="4" w:space="0"/>
            </w:tcBorders>
            <w:vAlign w:val="center"/>
          </w:tcPr>
          <w:p w14:paraId="407B916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Первичный ключ</w:t>
            </w:r>
          </w:p>
        </w:tc>
      </w:tr>
      <w:tr w14:paraId="304272B4">
        <w:tc>
          <w:tcPr>
            <w:tcW w:w="1814" w:type="dxa"/>
            <w:tcBorders>
              <w:top w:val="single" w:color="auto" w:sz="4" w:space="0"/>
              <w:left w:val="single" w:color="auto" w:sz="4" w:space="0"/>
              <w:bottom w:val="single" w:color="auto" w:sz="4" w:space="0"/>
              <w:right w:val="single" w:color="auto" w:sz="4" w:space="0"/>
            </w:tcBorders>
            <w:vAlign w:val="center"/>
          </w:tcPr>
          <w:p w14:paraId="1D093CB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name</w:t>
            </w:r>
          </w:p>
        </w:tc>
        <w:tc>
          <w:tcPr>
            <w:tcW w:w="1587" w:type="dxa"/>
            <w:tcBorders>
              <w:top w:val="single" w:color="auto" w:sz="4" w:space="0"/>
              <w:left w:val="single" w:color="auto" w:sz="4" w:space="0"/>
              <w:bottom w:val="single" w:color="auto" w:sz="4" w:space="0"/>
              <w:right w:val="single" w:color="auto" w:sz="4" w:space="0"/>
            </w:tcBorders>
            <w:vAlign w:val="center"/>
          </w:tcPr>
          <w:p w14:paraId="066A41B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varchar(100)</w:t>
            </w:r>
          </w:p>
        </w:tc>
        <w:tc>
          <w:tcPr>
            <w:tcW w:w="3005" w:type="dxa"/>
            <w:tcBorders>
              <w:top w:val="single" w:color="auto" w:sz="4" w:space="0"/>
              <w:left w:val="single" w:color="auto" w:sz="4" w:space="0"/>
              <w:bottom w:val="single" w:color="auto" w:sz="4" w:space="0"/>
              <w:right w:val="single" w:color="auto" w:sz="4" w:space="0"/>
            </w:tcBorders>
            <w:vAlign w:val="center"/>
          </w:tcPr>
          <w:p w14:paraId="35680D8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Наименование услуги</w:t>
            </w:r>
          </w:p>
        </w:tc>
        <w:tc>
          <w:tcPr>
            <w:tcW w:w="2721" w:type="dxa"/>
            <w:tcBorders>
              <w:top w:val="single" w:color="auto" w:sz="4" w:space="0"/>
              <w:left w:val="single" w:color="auto" w:sz="4" w:space="0"/>
              <w:bottom w:val="single" w:color="auto" w:sz="4" w:space="0"/>
              <w:right w:val="single" w:color="auto" w:sz="4" w:space="0"/>
            </w:tcBorders>
            <w:vAlign w:val="center"/>
          </w:tcPr>
          <w:p w14:paraId="73DAE9A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Обязательное поле</w:t>
            </w:r>
          </w:p>
        </w:tc>
      </w:tr>
      <w:tr w14:paraId="2B3D5403">
        <w:tc>
          <w:tcPr>
            <w:tcW w:w="1814" w:type="dxa"/>
            <w:tcBorders>
              <w:top w:val="single" w:color="auto" w:sz="4" w:space="0"/>
              <w:left w:val="single" w:color="auto" w:sz="4" w:space="0"/>
              <w:bottom w:val="single" w:color="auto" w:sz="4" w:space="0"/>
              <w:right w:val="single" w:color="auto" w:sz="4" w:space="0"/>
            </w:tcBorders>
            <w:vAlign w:val="center"/>
          </w:tcPr>
          <w:p w14:paraId="00371E5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category</w:t>
            </w:r>
          </w:p>
        </w:tc>
        <w:tc>
          <w:tcPr>
            <w:tcW w:w="1587" w:type="dxa"/>
            <w:tcBorders>
              <w:top w:val="single" w:color="auto" w:sz="4" w:space="0"/>
              <w:left w:val="single" w:color="auto" w:sz="4" w:space="0"/>
              <w:bottom w:val="single" w:color="auto" w:sz="4" w:space="0"/>
              <w:right w:val="single" w:color="auto" w:sz="4" w:space="0"/>
            </w:tcBorders>
            <w:vAlign w:val="center"/>
          </w:tcPr>
          <w:p w14:paraId="5D94876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261AC44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Категория услуги</w:t>
            </w:r>
          </w:p>
        </w:tc>
        <w:tc>
          <w:tcPr>
            <w:tcW w:w="2721" w:type="dxa"/>
            <w:tcBorders>
              <w:top w:val="single" w:color="auto" w:sz="4" w:space="0"/>
              <w:left w:val="single" w:color="auto" w:sz="4" w:space="0"/>
              <w:bottom w:val="single" w:color="auto" w:sz="4" w:space="0"/>
              <w:right w:val="single" w:color="auto" w:sz="4" w:space="0"/>
            </w:tcBorders>
            <w:vAlign w:val="center"/>
          </w:tcPr>
          <w:p w14:paraId="6BE7809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Значение из справочника категорий</w:t>
            </w:r>
          </w:p>
        </w:tc>
      </w:tr>
      <w:tr w14:paraId="433BF76C">
        <w:tc>
          <w:tcPr>
            <w:tcW w:w="1814" w:type="dxa"/>
            <w:tcBorders>
              <w:top w:val="single" w:color="auto" w:sz="4" w:space="0"/>
              <w:left w:val="single" w:color="auto" w:sz="4" w:space="0"/>
              <w:bottom w:val="single" w:color="auto" w:sz="4" w:space="0"/>
              <w:right w:val="single" w:color="auto" w:sz="4" w:space="0"/>
            </w:tcBorders>
            <w:vAlign w:val="center"/>
          </w:tcPr>
          <w:p w14:paraId="6ACCB64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price</w:t>
            </w:r>
          </w:p>
        </w:tc>
        <w:tc>
          <w:tcPr>
            <w:tcW w:w="1587" w:type="dxa"/>
            <w:tcBorders>
              <w:top w:val="single" w:color="auto" w:sz="4" w:space="0"/>
              <w:left w:val="single" w:color="auto" w:sz="4" w:space="0"/>
              <w:bottom w:val="single" w:color="auto" w:sz="4" w:space="0"/>
              <w:right w:val="single" w:color="auto" w:sz="4" w:space="0"/>
            </w:tcBorders>
            <w:vAlign w:val="center"/>
          </w:tcPr>
          <w:p w14:paraId="4A78BA2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decimal(10,2)</w:t>
            </w:r>
          </w:p>
        </w:tc>
        <w:tc>
          <w:tcPr>
            <w:tcW w:w="3005" w:type="dxa"/>
            <w:tcBorders>
              <w:top w:val="single" w:color="auto" w:sz="4" w:space="0"/>
              <w:left w:val="single" w:color="auto" w:sz="4" w:space="0"/>
              <w:bottom w:val="single" w:color="auto" w:sz="4" w:space="0"/>
              <w:right w:val="single" w:color="auto" w:sz="4" w:space="0"/>
            </w:tcBorders>
            <w:vAlign w:val="center"/>
          </w:tcPr>
          <w:p w14:paraId="148B0CD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Цена услуги, </w:t>
            </w:r>
            <w:r>
              <w:rPr>
                <w:rFonts w:ascii="Times New Roman" w:hAnsi="Times New Roman" w:eastAsia="Times New Roman" w:cs="Times New Roman"/>
                <w:color w:val="000000"/>
                <w:kern w:val="0"/>
                <w:sz w:val="24"/>
                <w:szCs w:val="24"/>
                <w:lang w:eastAsia="ru-RU"/>
                <w14:ligatures w14:val="none"/>
              </w:rPr>
              <w:t>руб.</w:t>
            </w:r>
          </w:p>
        </w:tc>
        <w:tc>
          <w:tcPr>
            <w:tcW w:w="2721" w:type="dxa"/>
            <w:tcBorders>
              <w:top w:val="single" w:color="auto" w:sz="4" w:space="0"/>
              <w:left w:val="single" w:color="auto" w:sz="4" w:space="0"/>
              <w:bottom w:val="single" w:color="auto" w:sz="4" w:space="0"/>
              <w:right w:val="single" w:color="auto" w:sz="4" w:space="0"/>
            </w:tcBorders>
            <w:vAlign w:val="center"/>
          </w:tcPr>
          <w:p w14:paraId="357777C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Больше 0; хранится без скидок</w:t>
            </w:r>
          </w:p>
        </w:tc>
      </w:tr>
      <w:tr w14:paraId="41A51361">
        <w:tc>
          <w:tcPr>
            <w:tcW w:w="1814" w:type="dxa"/>
            <w:tcBorders>
              <w:top w:val="single" w:color="auto" w:sz="4" w:space="0"/>
              <w:left w:val="single" w:color="auto" w:sz="4" w:space="0"/>
              <w:bottom w:val="single" w:color="auto" w:sz="4" w:space="0"/>
              <w:right w:val="single" w:color="auto" w:sz="4" w:space="0"/>
            </w:tcBorders>
            <w:vAlign w:val="center"/>
          </w:tcPr>
          <w:p w14:paraId="6E8FBF0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duration_min</w:t>
            </w:r>
          </w:p>
        </w:tc>
        <w:tc>
          <w:tcPr>
            <w:tcW w:w="1587" w:type="dxa"/>
            <w:tcBorders>
              <w:top w:val="single" w:color="auto" w:sz="4" w:space="0"/>
              <w:left w:val="single" w:color="auto" w:sz="4" w:space="0"/>
              <w:bottom w:val="single" w:color="auto" w:sz="4" w:space="0"/>
              <w:right w:val="single" w:color="auto" w:sz="4" w:space="0"/>
            </w:tcBorders>
            <w:vAlign w:val="center"/>
          </w:tcPr>
          <w:p w14:paraId="1BA1473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integer</w:t>
            </w:r>
          </w:p>
        </w:tc>
        <w:tc>
          <w:tcPr>
            <w:tcW w:w="3005" w:type="dxa"/>
            <w:tcBorders>
              <w:top w:val="single" w:color="auto" w:sz="4" w:space="0"/>
              <w:left w:val="single" w:color="auto" w:sz="4" w:space="0"/>
              <w:bottom w:val="single" w:color="auto" w:sz="4" w:space="0"/>
              <w:right w:val="single" w:color="auto" w:sz="4" w:space="0"/>
            </w:tcBorders>
            <w:vAlign w:val="center"/>
          </w:tcPr>
          <w:p w14:paraId="1536D03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Длительность услуги, мин.</w:t>
            </w:r>
          </w:p>
        </w:tc>
        <w:tc>
          <w:tcPr>
            <w:tcW w:w="2721" w:type="dxa"/>
            <w:tcBorders>
              <w:top w:val="single" w:color="auto" w:sz="4" w:space="0"/>
              <w:left w:val="single" w:color="auto" w:sz="4" w:space="0"/>
              <w:bottom w:val="single" w:color="auto" w:sz="4" w:space="0"/>
              <w:right w:val="single" w:color="auto" w:sz="4" w:space="0"/>
            </w:tcBorders>
            <w:vAlign w:val="center"/>
          </w:tcPr>
          <w:p w14:paraId="72DDCA4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Кратно 15 минутам</w:t>
            </w:r>
          </w:p>
        </w:tc>
      </w:tr>
      <w:tr w14:paraId="2BF75A8B">
        <w:tc>
          <w:tcPr>
            <w:tcW w:w="1814" w:type="dxa"/>
            <w:tcBorders>
              <w:top w:val="single" w:color="auto" w:sz="4" w:space="0"/>
              <w:left w:val="single" w:color="auto" w:sz="4" w:space="0"/>
              <w:bottom w:val="single" w:color="auto" w:sz="4" w:space="0"/>
              <w:right w:val="single" w:color="auto" w:sz="4" w:space="0"/>
            </w:tcBorders>
            <w:vAlign w:val="center"/>
          </w:tcPr>
          <w:p w14:paraId="74E53C2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description</w:t>
            </w:r>
          </w:p>
        </w:tc>
        <w:tc>
          <w:tcPr>
            <w:tcW w:w="1587" w:type="dxa"/>
            <w:tcBorders>
              <w:top w:val="single" w:color="auto" w:sz="4" w:space="0"/>
              <w:left w:val="single" w:color="auto" w:sz="4" w:space="0"/>
              <w:bottom w:val="single" w:color="auto" w:sz="4" w:space="0"/>
              <w:right w:val="single" w:color="auto" w:sz="4" w:space="0"/>
            </w:tcBorders>
            <w:vAlign w:val="center"/>
          </w:tcPr>
          <w:p w14:paraId="19410AF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varchar(500)</w:t>
            </w:r>
          </w:p>
        </w:tc>
        <w:tc>
          <w:tcPr>
            <w:tcW w:w="3005" w:type="dxa"/>
            <w:tcBorders>
              <w:top w:val="single" w:color="auto" w:sz="4" w:space="0"/>
              <w:left w:val="single" w:color="auto" w:sz="4" w:space="0"/>
              <w:bottom w:val="single" w:color="auto" w:sz="4" w:space="0"/>
              <w:right w:val="single" w:color="auto" w:sz="4" w:space="0"/>
            </w:tcBorders>
            <w:vAlign w:val="center"/>
          </w:tcPr>
          <w:p w14:paraId="6F4F8AE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Описание услуги для пациента</w:t>
            </w:r>
          </w:p>
        </w:tc>
        <w:tc>
          <w:tcPr>
            <w:tcW w:w="2721" w:type="dxa"/>
            <w:tcBorders>
              <w:top w:val="single" w:color="auto" w:sz="4" w:space="0"/>
              <w:left w:val="single" w:color="auto" w:sz="4" w:space="0"/>
              <w:bottom w:val="single" w:color="auto" w:sz="4" w:space="0"/>
              <w:right w:val="single" w:color="auto" w:sz="4" w:space="0"/>
            </w:tcBorders>
            <w:vAlign w:val="center"/>
          </w:tcPr>
          <w:p w14:paraId="5991084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 500 символов</w:t>
            </w:r>
          </w:p>
        </w:tc>
      </w:tr>
    </w:tbl>
    <w:p w14:paraId="1232A1DF">
      <w:pPr>
        <w:spacing w:before="0" w:after="0"/>
        <w:ind w:firstLine="709"/>
        <w:jc w:val="both"/>
      </w:pPr>
      <w:r>
        <w:rPr>
          <w:rFonts w:ascii="Times New Roman" w:hAnsi="Times New Roman"/>
          <w:b w:val="0"/>
          <w:sz w:val="28"/>
        </w:rPr>
        <w:t>Каталог стоматологических услуг описан через поля: UUID, наименование, категория из справочника, цена в рублях и длительность в минутах. Цена хранится без скидок; поле duration_min кратно 15 минутам, что обеспечивает корректную нарезку временных слотов расписания. Сущность используется как при поиске услуги пациентом, так и при формировании записи на приём.</w:t>
      </w:r>
    </w:p>
    <w:p w14:paraId="4B595CAA">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37 — Описание таблицы appointments</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587"/>
        <w:gridCol w:w="3005"/>
        <w:gridCol w:w="2721"/>
      </w:tblGrid>
      <w:tr w14:paraId="36BD5E27">
        <w:tc>
          <w:tcPr>
            <w:tcW w:w="1814" w:type="dxa"/>
            <w:tcBorders>
              <w:top w:val="single" w:color="auto" w:sz="4" w:space="0"/>
              <w:left w:val="single" w:color="auto" w:sz="4" w:space="0"/>
              <w:bottom w:val="single" w:color="auto" w:sz="4" w:space="0"/>
              <w:right w:val="single" w:color="auto" w:sz="4" w:space="0"/>
            </w:tcBorders>
            <w:vAlign w:val="center"/>
          </w:tcPr>
          <w:p w14:paraId="3E44BB4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1587" w:type="dxa"/>
            <w:tcBorders>
              <w:top w:val="single" w:color="auto" w:sz="4" w:space="0"/>
              <w:left w:val="single" w:color="auto" w:sz="4" w:space="0"/>
              <w:bottom w:val="single" w:color="auto" w:sz="4" w:space="0"/>
              <w:right w:val="single" w:color="auto" w:sz="4" w:space="0"/>
            </w:tcBorders>
            <w:vAlign w:val="center"/>
          </w:tcPr>
          <w:p w14:paraId="6DD069C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данных в БД</w:t>
            </w:r>
          </w:p>
        </w:tc>
        <w:tc>
          <w:tcPr>
            <w:tcW w:w="3005" w:type="dxa"/>
            <w:tcBorders>
              <w:top w:val="single" w:color="auto" w:sz="4" w:space="0"/>
              <w:left w:val="single" w:color="auto" w:sz="4" w:space="0"/>
              <w:bottom w:val="single" w:color="auto" w:sz="4" w:space="0"/>
              <w:right w:val="single" w:color="auto" w:sz="4" w:space="0"/>
            </w:tcBorders>
            <w:vAlign w:val="center"/>
          </w:tcPr>
          <w:p w14:paraId="6F75F35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2721" w:type="dxa"/>
            <w:tcBorders>
              <w:top w:val="single" w:color="auto" w:sz="4" w:space="0"/>
              <w:left w:val="single" w:color="auto" w:sz="4" w:space="0"/>
              <w:bottom w:val="single" w:color="auto" w:sz="4" w:space="0"/>
              <w:right w:val="single" w:color="auto" w:sz="4" w:space="0"/>
            </w:tcBorders>
            <w:vAlign w:val="center"/>
          </w:tcPr>
          <w:p w14:paraId="1B0555E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Ограничения</w:t>
            </w:r>
          </w:p>
        </w:tc>
      </w:tr>
      <w:tr w14:paraId="0A7469E0">
        <w:tc>
          <w:tcPr>
            <w:tcW w:w="1814" w:type="dxa"/>
            <w:tcBorders>
              <w:top w:val="single" w:color="auto" w:sz="4" w:space="0"/>
              <w:left w:val="single" w:color="auto" w:sz="4" w:space="0"/>
              <w:bottom w:val="single" w:color="auto" w:sz="4" w:space="0"/>
              <w:right w:val="single" w:color="auto" w:sz="4" w:space="0"/>
            </w:tcBorders>
            <w:vAlign w:val="center"/>
          </w:tcPr>
          <w:p w14:paraId="19D1D2D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id</w:t>
            </w:r>
          </w:p>
        </w:tc>
        <w:tc>
          <w:tcPr>
            <w:tcW w:w="1587" w:type="dxa"/>
            <w:tcBorders>
              <w:top w:val="single" w:color="auto" w:sz="4" w:space="0"/>
              <w:left w:val="single" w:color="auto" w:sz="4" w:space="0"/>
              <w:bottom w:val="single" w:color="auto" w:sz="4" w:space="0"/>
              <w:right w:val="single" w:color="auto" w:sz="4" w:space="0"/>
            </w:tcBorders>
            <w:vAlign w:val="center"/>
          </w:tcPr>
          <w:p w14:paraId="21923F5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029415F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Идентификатор записи</w:t>
            </w:r>
          </w:p>
        </w:tc>
        <w:tc>
          <w:tcPr>
            <w:tcW w:w="2721" w:type="dxa"/>
            <w:tcBorders>
              <w:top w:val="single" w:color="auto" w:sz="4" w:space="0"/>
              <w:left w:val="single" w:color="auto" w:sz="4" w:space="0"/>
              <w:bottom w:val="single" w:color="auto" w:sz="4" w:space="0"/>
              <w:right w:val="single" w:color="auto" w:sz="4" w:space="0"/>
            </w:tcBorders>
            <w:vAlign w:val="center"/>
          </w:tcPr>
          <w:p w14:paraId="061C65A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Первичный ключ</w:t>
            </w:r>
          </w:p>
        </w:tc>
      </w:tr>
      <w:tr w14:paraId="1304D974">
        <w:tc>
          <w:tcPr>
            <w:tcW w:w="1814" w:type="dxa"/>
            <w:tcBorders>
              <w:top w:val="single" w:color="auto" w:sz="4" w:space="0"/>
              <w:left w:val="single" w:color="auto" w:sz="4" w:space="0"/>
              <w:bottom w:val="single" w:color="auto" w:sz="4" w:space="0"/>
              <w:right w:val="single" w:color="auto" w:sz="4" w:space="0"/>
            </w:tcBorders>
            <w:vAlign w:val="center"/>
          </w:tcPr>
          <w:p w14:paraId="2F0E754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user_id</w:t>
            </w:r>
          </w:p>
        </w:tc>
        <w:tc>
          <w:tcPr>
            <w:tcW w:w="1587" w:type="dxa"/>
            <w:tcBorders>
              <w:top w:val="single" w:color="auto" w:sz="4" w:space="0"/>
              <w:left w:val="single" w:color="auto" w:sz="4" w:space="0"/>
              <w:bottom w:val="single" w:color="auto" w:sz="4" w:space="0"/>
              <w:right w:val="single" w:color="auto" w:sz="4" w:space="0"/>
            </w:tcBorders>
            <w:vAlign w:val="center"/>
          </w:tcPr>
          <w:p w14:paraId="58B7121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023E171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Пациент</w:t>
            </w:r>
          </w:p>
        </w:tc>
        <w:tc>
          <w:tcPr>
            <w:tcW w:w="2721" w:type="dxa"/>
            <w:tcBorders>
              <w:top w:val="single" w:color="auto" w:sz="4" w:space="0"/>
              <w:left w:val="single" w:color="auto" w:sz="4" w:space="0"/>
              <w:bottom w:val="single" w:color="auto" w:sz="4" w:space="0"/>
              <w:right w:val="single" w:color="auto" w:sz="4" w:space="0"/>
            </w:tcBorders>
            <w:vAlign w:val="center"/>
          </w:tcPr>
          <w:p w14:paraId="23085DD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Внешний ключ к </w:t>
            </w:r>
            <w:r>
              <w:rPr>
                <w:rFonts w:ascii="Times New Roman" w:hAnsi="Times New Roman" w:eastAsia="Times New Roman" w:cs="Times New Roman"/>
                <w:color w:val="000000"/>
                <w:kern w:val="0"/>
                <w:sz w:val="24"/>
                <w:szCs w:val="24"/>
                <w:lang w:val="en-US" w:eastAsia="ru-RU"/>
                <w14:ligatures w14:val="none"/>
              </w:rPr>
              <w:t>users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id</w:t>
            </w:r>
          </w:p>
        </w:tc>
      </w:tr>
      <w:tr w14:paraId="17056B33">
        <w:tc>
          <w:tcPr>
            <w:tcW w:w="1814" w:type="dxa"/>
            <w:tcBorders>
              <w:top w:val="single" w:color="auto" w:sz="4" w:space="0"/>
              <w:left w:val="single" w:color="auto" w:sz="4" w:space="0"/>
              <w:bottom w:val="single" w:color="auto" w:sz="4" w:space="0"/>
              <w:right w:val="single" w:color="auto" w:sz="4" w:space="0"/>
            </w:tcBorders>
            <w:vAlign w:val="center"/>
          </w:tcPr>
          <w:p w14:paraId="3C16E12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doctor_id</w:t>
            </w:r>
          </w:p>
        </w:tc>
        <w:tc>
          <w:tcPr>
            <w:tcW w:w="1587" w:type="dxa"/>
            <w:tcBorders>
              <w:top w:val="single" w:color="auto" w:sz="4" w:space="0"/>
              <w:left w:val="single" w:color="auto" w:sz="4" w:space="0"/>
              <w:bottom w:val="single" w:color="auto" w:sz="4" w:space="0"/>
              <w:right w:val="single" w:color="auto" w:sz="4" w:space="0"/>
            </w:tcBorders>
            <w:vAlign w:val="center"/>
          </w:tcPr>
          <w:p w14:paraId="54C9515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4A434AB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Врач</w:t>
            </w:r>
          </w:p>
        </w:tc>
        <w:tc>
          <w:tcPr>
            <w:tcW w:w="2721" w:type="dxa"/>
            <w:tcBorders>
              <w:top w:val="single" w:color="auto" w:sz="4" w:space="0"/>
              <w:left w:val="single" w:color="auto" w:sz="4" w:space="0"/>
              <w:bottom w:val="single" w:color="auto" w:sz="4" w:space="0"/>
              <w:right w:val="single" w:color="auto" w:sz="4" w:space="0"/>
            </w:tcBorders>
            <w:vAlign w:val="center"/>
          </w:tcPr>
          <w:p w14:paraId="1295C72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Внешний ключ к </w:t>
            </w:r>
            <w:r>
              <w:rPr>
                <w:rFonts w:ascii="Times New Roman" w:hAnsi="Times New Roman" w:eastAsia="Times New Roman" w:cs="Times New Roman"/>
                <w:color w:val="000000"/>
                <w:kern w:val="0"/>
                <w:sz w:val="24"/>
                <w:szCs w:val="24"/>
                <w:lang w:val="en-US" w:eastAsia="ru-RU"/>
                <w14:ligatures w14:val="none"/>
              </w:rPr>
              <w:t>doctors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id</w:t>
            </w:r>
          </w:p>
        </w:tc>
      </w:tr>
      <w:tr w14:paraId="33B80FEC">
        <w:tc>
          <w:tcPr>
            <w:tcW w:w="1814" w:type="dxa"/>
            <w:tcBorders>
              <w:top w:val="single" w:color="auto" w:sz="4" w:space="0"/>
              <w:left w:val="single" w:color="auto" w:sz="4" w:space="0"/>
              <w:bottom w:val="single" w:color="auto" w:sz="4" w:space="0"/>
              <w:right w:val="single" w:color="auto" w:sz="4" w:space="0"/>
            </w:tcBorders>
            <w:vAlign w:val="center"/>
          </w:tcPr>
          <w:p w14:paraId="45EE431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clinic_id</w:t>
            </w:r>
          </w:p>
        </w:tc>
        <w:tc>
          <w:tcPr>
            <w:tcW w:w="1587" w:type="dxa"/>
            <w:tcBorders>
              <w:top w:val="single" w:color="auto" w:sz="4" w:space="0"/>
              <w:left w:val="single" w:color="auto" w:sz="4" w:space="0"/>
              <w:bottom w:val="single" w:color="auto" w:sz="4" w:space="0"/>
              <w:right w:val="single" w:color="auto" w:sz="4" w:space="0"/>
            </w:tcBorders>
            <w:vAlign w:val="center"/>
          </w:tcPr>
          <w:p w14:paraId="608FBE3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0581120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Клиника</w:t>
            </w:r>
          </w:p>
        </w:tc>
        <w:tc>
          <w:tcPr>
            <w:tcW w:w="2721" w:type="dxa"/>
            <w:tcBorders>
              <w:top w:val="single" w:color="auto" w:sz="4" w:space="0"/>
              <w:left w:val="single" w:color="auto" w:sz="4" w:space="0"/>
              <w:bottom w:val="single" w:color="auto" w:sz="4" w:space="0"/>
              <w:right w:val="single" w:color="auto" w:sz="4" w:space="0"/>
            </w:tcBorders>
            <w:vAlign w:val="center"/>
          </w:tcPr>
          <w:p w14:paraId="439E874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Внешний ключ к </w:t>
            </w:r>
            <w:r>
              <w:rPr>
                <w:rFonts w:ascii="Times New Roman" w:hAnsi="Times New Roman" w:eastAsia="Times New Roman" w:cs="Times New Roman"/>
                <w:color w:val="000000"/>
                <w:kern w:val="0"/>
                <w:sz w:val="24"/>
                <w:szCs w:val="24"/>
                <w:lang w:val="en-US" w:eastAsia="ru-RU"/>
                <w14:ligatures w14:val="none"/>
              </w:rPr>
              <w:t>clinics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id</w:t>
            </w:r>
          </w:p>
        </w:tc>
      </w:tr>
      <w:tr w14:paraId="281E60B5">
        <w:tc>
          <w:tcPr>
            <w:tcW w:w="1814" w:type="dxa"/>
            <w:tcBorders>
              <w:top w:val="single" w:color="auto" w:sz="4" w:space="0"/>
              <w:left w:val="single" w:color="auto" w:sz="4" w:space="0"/>
              <w:bottom w:val="single" w:color="auto" w:sz="4" w:space="0"/>
              <w:right w:val="single" w:color="auto" w:sz="4" w:space="0"/>
            </w:tcBorders>
            <w:vAlign w:val="center"/>
          </w:tcPr>
          <w:p w14:paraId="3747B0D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service_id</w:t>
            </w:r>
          </w:p>
        </w:tc>
        <w:tc>
          <w:tcPr>
            <w:tcW w:w="1587" w:type="dxa"/>
            <w:tcBorders>
              <w:top w:val="single" w:color="auto" w:sz="4" w:space="0"/>
              <w:left w:val="single" w:color="auto" w:sz="4" w:space="0"/>
              <w:bottom w:val="single" w:color="auto" w:sz="4" w:space="0"/>
              <w:right w:val="single" w:color="auto" w:sz="4" w:space="0"/>
            </w:tcBorders>
            <w:vAlign w:val="center"/>
          </w:tcPr>
          <w:p w14:paraId="5459103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77CFC01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Услуга</w:t>
            </w:r>
          </w:p>
        </w:tc>
        <w:tc>
          <w:tcPr>
            <w:tcW w:w="2721" w:type="dxa"/>
            <w:tcBorders>
              <w:top w:val="single" w:color="auto" w:sz="4" w:space="0"/>
              <w:left w:val="single" w:color="auto" w:sz="4" w:space="0"/>
              <w:bottom w:val="single" w:color="auto" w:sz="4" w:space="0"/>
              <w:right w:val="single" w:color="auto" w:sz="4" w:space="0"/>
            </w:tcBorders>
            <w:vAlign w:val="center"/>
          </w:tcPr>
          <w:p w14:paraId="7809B98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Внешний ключ к </w:t>
            </w:r>
            <w:r>
              <w:rPr>
                <w:rFonts w:ascii="Times New Roman" w:hAnsi="Times New Roman" w:eastAsia="Times New Roman" w:cs="Times New Roman"/>
                <w:color w:val="000000"/>
                <w:kern w:val="0"/>
                <w:sz w:val="24"/>
                <w:szCs w:val="24"/>
                <w:lang w:val="en-US" w:eastAsia="ru-RU"/>
                <w14:ligatures w14:val="none"/>
              </w:rPr>
              <w:t>services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id</w:t>
            </w:r>
          </w:p>
        </w:tc>
      </w:tr>
      <w:tr w14:paraId="01B7B5A2">
        <w:tc>
          <w:tcPr>
            <w:tcW w:w="1814" w:type="dxa"/>
            <w:tcBorders>
              <w:top w:val="single" w:color="auto" w:sz="4" w:space="0"/>
              <w:left w:val="single" w:color="auto" w:sz="4" w:space="0"/>
              <w:bottom w:val="single" w:color="auto" w:sz="4" w:space="0"/>
              <w:right w:val="single" w:color="auto" w:sz="4" w:space="0"/>
            </w:tcBorders>
            <w:vAlign w:val="center"/>
          </w:tcPr>
          <w:p w14:paraId="3070C75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start_at</w:t>
            </w:r>
          </w:p>
        </w:tc>
        <w:tc>
          <w:tcPr>
            <w:tcW w:w="1587" w:type="dxa"/>
            <w:tcBorders>
              <w:top w:val="single" w:color="auto" w:sz="4" w:space="0"/>
              <w:left w:val="single" w:color="auto" w:sz="4" w:space="0"/>
              <w:bottom w:val="single" w:color="auto" w:sz="4" w:space="0"/>
              <w:right w:val="single" w:color="auto" w:sz="4" w:space="0"/>
            </w:tcBorders>
            <w:vAlign w:val="center"/>
          </w:tcPr>
          <w:p w14:paraId="719B0D7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timestamptz</w:t>
            </w:r>
          </w:p>
        </w:tc>
        <w:tc>
          <w:tcPr>
            <w:tcW w:w="3005" w:type="dxa"/>
            <w:tcBorders>
              <w:top w:val="single" w:color="auto" w:sz="4" w:space="0"/>
              <w:left w:val="single" w:color="auto" w:sz="4" w:space="0"/>
              <w:bottom w:val="single" w:color="auto" w:sz="4" w:space="0"/>
              <w:right w:val="single" w:color="auto" w:sz="4" w:space="0"/>
            </w:tcBorders>
            <w:vAlign w:val="center"/>
          </w:tcPr>
          <w:p w14:paraId="645FAFE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Дата и время начала приёма</w:t>
            </w:r>
          </w:p>
        </w:tc>
        <w:tc>
          <w:tcPr>
            <w:tcW w:w="2721" w:type="dxa"/>
            <w:tcBorders>
              <w:top w:val="single" w:color="auto" w:sz="4" w:space="0"/>
              <w:left w:val="single" w:color="auto" w:sz="4" w:space="0"/>
              <w:bottom w:val="single" w:color="auto" w:sz="4" w:space="0"/>
              <w:right w:val="single" w:color="auto" w:sz="4" w:space="0"/>
            </w:tcBorders>
            <w:vAlign w:val="center"/>
          </w:tcPr>
          <w:p w14:paraId="45EBCA2B">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Не в прошлом; шаг 15 минут</w:t>
            </w:r>
          </w:p>
        </w:tc>
      </w:tr>
      <w:tr w14:paraId="3442F63F">
        <w:tc>
          <w:tcPr>
            <w:tcW w:w="1814" w:type="dxa"/>
            <w:tcBorders>
              <w:top w:val="single" w:color="auto" w:sz="4" w:space="0"/>
              <w:left w:val="single" w:color="auto" w:sz="4" w:space="0"/>
              <w:bottom w:val="single" w:color="auto" w:sz="4" w:space="0"/>
              <w:right w:val="single" w:color="auto" w:sz="4" w:space="0"/>
            </w:tcBorders>
            <w:vAlign w:val="center"/>
          </w:tcPr>
          <w:p w14:paraId="7FBFAB7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status</w:t>
            </w:r>
          </w:p>
        </w:tc>
        <w:tc>
          <w:tcPr>
            <w:tcW w:w="1587" w:type="dxa"/>
            <w:tcBorders>
              <w:top w:val="single" w:color="auto" w:sz="4" w:space="0"/>
              <w:left w:val="single" w:color="auto" w:sz="4" w:space="0"/>
              <w:bottom w:val="single" w:color="auto" w:sz="4" w:space="0"/>
              <w:right w:val="single" w:color="auto" w:sz="4" w:space="0"/>
            </w:tcBorders>
            <w:vAlign w:val="center"/>
          </w:tcPr>
          <w:p w14:paraId="7720F29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varchar(30)</w:t>
            </w:r>
          </w:p>
        </w:tc>
        <w:tc>
          <w:tcPr>
            <w:tcW w:w="3005" w:type="dxa"/>
            <w:tcBorders>
              <w:top w:val="single" w:color="auto" w:sz="4" w:space="0"/>
              <w:left w:val="single" w:color="auto" w:sz="4" w:space="0"/>
              <w:bottom w:val="single" w:color="auto" w:sz="4" w:space="0"/>
              <w:right w:val="single" w:color="auto" w:sz="4" w:space="0"/>
            </w:tcBorders>
            <w:vAlign w:val="center"/>
          </w:tcPr>
          <w:p w14:paraId="46080C1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Статус записи</w:t>
            </w:r>
          </w:p>
        </w:tc>
        <w:tc>
          <w:tcPr>
            <w:tcW w:w="2721" w:type="dxa"/>
            <w:tcBorders>
              <w:top w:val="single" w:color="auto" w:sz="4" w:space="0"/>
              <w:left w:val="single" w:color="auto" w:sz="4" w:space="0"/>
              <w:bottom w:val="single" w:color="auto" w:sz="4" w:space="0"/>
              <w:right w:val="single" w:color="auto" w:sz="4" w:space="0"/>
            </w:tcBorders>
            <w:vAlign w:val="center"/>
          </w:tcPr>
          <w:p w14:paraId="3DC4717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scheduled / confirmed / cancelled / completed / no_show</w:t>
            </w:r>
          </w:p>
        </w:tc>
      </w:tr>
      <w:tr w14:paraId="3D7E2460">
        <w:tc>
          <w:tcPr>
            <w:tcW w:w="1814" w:type="dxa"/>
            <w:tcBorders>
              <w:top w:val="single" w:color="auto" w:sz="4" w:space="0"/>
              <w:left w:val="single" w:color="auto" w:sz="4" w:space="0"/>
              <w:bottom w:val="single" w:color="auto" w:sz="4" w:space="0"/>
              <w:right w:val="single" w:color="auto" w:sz="4" w:space="0"/>
            </w:tcBorders>
            <w:vAlign w:val="center"/>
          </w:tcPr>
          <w:p w14:paraId="07ED91F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reminder_sent_at</w:t>
            </w:r>
          </w:p>
        </w:tc>
        <w:tc>
          <w:tcPr>
            <w:tcW w:w="1587" w:type="dxa"/>
            <w:tcBorders>
              <w:top w:val="single" w:color="auto" w:sz="4" w:space="0"/>
              <w:left w:val="single" w:color="auto" w:sz="4" w:space="0"/>
              <w:bottom w:val="single" w:color="auto" w:sz="4" w:space="0"/>
              <w:right w:val="single" w:color="auto" w:sz="4" w:space="0"/>
            </w:tcBorders>
            <w:vAlign w:val="center"/>
          </w:tcPr>
          <w:p w14:paraId="4004E08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timestamptz</w:t>
            </w:r>
          </w:p>
        </w:tc>
        <w:tc>
          <w:tcPr>
            <w:tcW w:w="3005" w:type="dxa"/>
            <w:tcBorders>
              <w:top w:val="single" w:color="auto" w:sz="4" w:space="0"/>
              <w:left w:val="single" w:color="auto" w:sz="4" w:space="0"/>
              <w:bottom w:val="single" w:color="auto" w:sz="4" w:space="0"/>
              <w:right w:val="single" w:color="auto" w:sz="4" w:space="0"/>
            </w:tcBorders>
            <w:vAlign w:val="center"/>
          </w:tcPr>
          <w:p w14:paraId="16279A2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Время последнего напоминания</w:t>
            </w:r>
          </w:p>
        </w:tc>
        <w:tc>
          <w:tcPr>
            <w:tcW w:w="2721" w:type="dxa"/>
            <w:tcBorders>
              <w:top w:val="single" w:color="auto" w:sz="4" w:space="0"/>
              <w:left w:val="single" w:color="auto" w:sz="4" w:space="0"/>
              <w:bottom w:val="single" w:color="auto" w:sz="4" w:space="0"/>
              <w:right w:val="single" w:color="auto" w:sz="4" w:space="0"/>
            </w:tcBorders>
            <w:vAlign w:val="center"/>
          </w:tcPr>
          <w:p w14:paraId="0851999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Заполняется воркером напоминаний</w:t>
            </w:r>
          </w:p>
        </w:tc>
      </w:tr>
    </w:tbl>
    <w:p w14:paraId="41E54DC8">
      <w:pPr>
        <w:spacing w:before="0" w:after="0"/>
        <w:ind w:firstLine="709"/>
        <w:jc w:val="both"/>
      </w:pPr>
      <w:r>
        <w:rPr>
          <w:rFonts w:ascii="Times New Roman" w:hAnsi="Times New Roman"/>
          <w:b w:val="0"/>
          <w:sz w:val="28"/>
        </w:rPr>
        <w:t>Каждая запись на приём фиксируется через четыре внешних ключа: пациент, врач, клиника и услуга. Дополнительные поля — дата и время приёма, статус (scheduled / completed / cancelled), признак отправки напоминания и временная метка создания. Статус записи является триггером для отправки SMS-напоминаний и обновления истории визитов пациента.</w:t>
      </w:r>
    </w:p>
    <w:p w14:paraId="2B464DA5">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38 — Описание таблицы tax_certificate_requests</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587"/>
        <w:gridCol w:w="3005"/>
        <w:gridCol w:w="2721"/>
      </w:tblGrid>
      <w:tr w14:paraId="4BBC5B42">
        <w:tc>
          <w:tcPr>
            <w:tcW w:w="1814" w:type="dxa"/>
            <w:tcBorders>
              <w:top w:val="single" w:color="auto" w:sz="4" w:space="0"/>
              <w:left w:val="single" w:color="auto" w:sz="4" w:space="0"/>
              <w:bottom w:val="single" w:color="auto" w:sz="4" w:space="0"/>
              <w:right w:val="single" w:color="auto" w:sz="4" w:space="0"/>
            </w:tcBorders>
            <w:vAlign w:val="center"/>
          </w:tcPr>
          <w:p w14:paraId="431D737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Поле</w:t>
            </w:r>
          </w:p>
        </w:tc>
        <w:tc>
          <w:tcPr>
            <w:tcW w:w="1587" w:type="dxa"/>
            <w:tcBorders>
              <w:top w:val="single" w:color="auto" w:sz="4" w:space="0"/>
              <w:left w:val="single" w:color="auto" w:sz="4" w:space="0"/>
              <w:bottom w:val="single" w:color="auto" w:sz="4" w:space="0"/>
              <w:right w:val="single" w:color="auto" w:sz="4" w:space="0"/>
            </w:tcBorders>
            <w:vAlign w:val="center"/>
          </w:tcPr>
          <w:p w14:paraId="5BE3120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данных в БД</w:t>
            </w:r>
          </w:p>
        </w:tc>
        <w:tc>
          <w:tcPr>
            <w:tcW w:w="3005" w:type="dxa"/>
            <w:tcBorders>
              <w:top w:val="single" w:color="auto" w:sz="4" w:space="0"/>
              <w:left w:val="single" w:color="auto" w:sz="4" w:space="0"/>
              <w:bottom w:val="single" w:color="auto" w:sz="4" w:space="0"/>
              <w:right w:val="single" w:color="auto" w:sz="4" w:space="0"/>
            </w:tcBorders>
            <w:vAlign w:val="center"/>
          </w:tcPr>
          <w:p w14:paraId="3137EED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Описание</w:t>
            </w:r>
          </w:p>
        </w:tc>
        <w:tc>
          <w:tcPr>
            <w:tcW w:w="2721" w:type="dxa"/>
            <w:tcBorders>
              <w:top w:val="single" w:color="auto" w:sz="4" w:space="0"/>
              <w:left w:val="single" w:color="auto" w:sz="4" w:space="0"/>
              <w:bottom w:val="single" w:color="auto" w:sz="4" w:space="0"/>
              <w:right w:val="single" w:color="auto" w:sz="4" w:space="0"/>
            </w:tcBorders>
            <w:vAlign w:val="center"/>
          </w:tcPr>
          <w:p w14:paraId="49D356F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Ограничения</w:t>
            </w:r>
          </w:p>
        </w:tc>
      </w:tr>
      <w:tr w14:paraId="5186D9A4">
        <w:tc>
          <w:tcPr>
            <w:tcW w:w="1814" w:type="dxa"/>
            <w:tcBorders>
              <w:top w:val="single" w:color="auto" w:sz="4" w:space="0"/>
              <w:left w:val="single" w:color="auto" w:sz="4" w:space="0"/>
              <w:bottom w:val="single" w:color="auto" w:sz="4" w:space="0"/>
              <w:right w:val="single" w:color="auto" w:sz="4" w:space="0"/>
            </w:tcBorders>
            <w:vAlign w:val="center"/>
          </w:tcPr>
          <w:p w14:paraId="1405D3C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id</w:t>
            </w:r>
          </w:p>
        </w:tc>
        <w:tc>
          <w:tcPr>
            <w:tcW w:w="1587" w:type="dxa"/>
            <w:tcBorders>
              <w:top w:val="single" w:color="auto" w:sz="4" w:space="0"/>
              <w:left w:val="single" w:color="auto" w:sz="4" w:space="0"/>
              <w:bottom w:val="single" w:color="auto" w:sz="4" w:space="0"/>
              <w:right w:val="single" w:color="auto" w:sz="4" w:space="0"/>
            </w:tcBorders>
            <w:vAlign w:val="center"/>
          </w:tcPr>
          <w:p w14:paraId="3E9A939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4B1C21C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Идентификатор заявки</w:t>
            </w:r>
          </w:p>
        </w:tc>
        <w:tc>
          <w:tcPr>
            <w:tcW w:w="2721" w:type="dxa"/>
            <w:tcBorders>
              <w:top w:val="single" w:color="auto" w:sz="4" w:space="0"/>
              <w:left w:val="single" w:color="auto" w:sz="4" w:space="0"/>
              <w:bottom w:val="single" w:color="auto" w:sz="4" w:space="0"/>
              <w:right w:val="single" w:color="auto" w:sz="4" w:space="0"/>
            </w:tcBorders>
            <w:vAlign w:val="center"/>
          </w:tcPr>
          <w:p w14:paraId="1149A68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Первичный ключ</w:t>
            </w:r>
          </w:p>
        </w:tc>
      </w:tr>
      <w:tr w14:paraId="6023CE04">
        <w:tc>
          <w:tcPr>
            <w:tcW w:w="1814" w:type="dxa"/>
            <w:tcBorders>
              <w:top w:val="single" w:color="auto" w:sz="4" w:space="0"/>
              <w:left w:val="single" w:color="auto" w:sz="4" w:space="0"/>
              <w:bottom w:val="single" w:color="auto" w:sz="4" w:space="0"/>
              <w:right w:val="single" w:color="auto" w:sz="4" w:space="0"/>
            </w:tcBorders>
            <w:vAlign w:val="center"/>
          </w:tcPr>
          <w:p w14:paraId="3D585CC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user_id</w:t>
            </w:r>
          </w:p>
        </w:tc>
        <w:tc>
          <w:tcPr>
            <w:tcW w:w="1587" w:type="dxa"/>
            <w:tcBorders>
              <w:top w:val="single" w:color="auto" w:sz="4" w:space="0"/>
              <w:left w:val="single" w:color="auto" w:sz="4" w:space="0"/>
              <w:bottom w:val="single" w:color="auto" w:sz="4" w:space="0"/>
              <w:right w:val="single" w:color="auto" w:sz="4" w:space="0"/>
            </w:tcBorders>
            <w:vAlign w:val="center"/>
          </w:tcPr>
          <w:p w14:paraId="01ECA70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uuid</w:t>
            </w:r>
          </w:p>
        </w:tc>
        <w:tc>
          <w:tcPr>
            <w:tcW w:w="3005" w:type="dxa"/>
            <w:tcBorders>
              <w:top w:val="single" w:color="auto" w:sz="4" w:space="0"/>
              <w:left w:val="single" w:color="auto" w:sz="4" w:space="0"/>
              <w:bottom w:val="single" w:color="auto" w:sz="4" w:space="0"/>
              <w:right w:val="single" w:color="auto" w:sz="4" w:space="0"/>
            </w:tcBorders>
            <w:vAlign w:val="center"/>
          </w:tcPr>
          <w:p w14:paraId="6ED04B6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Пациент-заявитель</w:t>
            </w:r>
          </w:p>
        </w:tc>
        <w:tc>
          <w:tcPr>
            <w:tcW w:w="2721" w:type="dxa"/>
            <w:tcBorders>
              <w:top w:val="single" w:color="auto" w:sz="4" w:space="0"/>
              <w:left w:val="single" w:color="auto" w:sz="4" w:space="0"/>
              <w:bottom w:val="single" w:color="auto" w:sz="4" w:space="0"/>
              <w:right w:val="single" w:color="auto" w:sz="4" w:space="0"/>
            </w:tcBorders>
            <w:vAlign w:val="center"/>
          </w:tcPr>
          <w:p w14:paraId="47E9671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Внешний ключ к </w:t>
            </w:r>
            <w:r>
              <w:rPr>
                <w:rFonts w:ascii="Times New Roman" w:hAnsi="Times New Roman" w:eastAsia="Times New Roman" w:cs="Times New Roman"/>
                <w:color w:val="000000"/>
                <w:kern w:val="0"/>
                <w:sz w:val="24"/>
                <w:szCs w:val="24"/>
                <w:lang w:val="en-US" w:eastAsia="ru-RU"/>
                <w14:ligatures w14:val="none"/>
              </w:rPr>
              <w:t>users</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id</w:t>
            </w:r>
          </w:p>
        </w:tc>
      </w:tr>
      <w:tr w14:paraId="70C0F173">
        <w:tc>
          <w:tcPr>
            <w:tcW w:w="1814" w:type="dxa"/>
            <w:tcBorders>
              <w:top w:val="single" w:color="auto" w:sz="4" w:space="0"/>
              <w:left w:val="single" w:color="auto" w:sz="4" w:space="0"/>
              <w:bottom w:val="single" w:color="auto" w:sz="4" w:space="0"/>
              <w:right w:val="single" w:color="auto" w:sz="4" w:space="0"/>
            </w:tcBorders>
            <w:vAlign w:val="center"/>
          </w:tcPr>
          <w:p w14:paraId="58A35D4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period_start</w:t>
            </w:r>
          </w:p>
        </w:tc>
        <w:tc>
          <w:tcPr>
            <w:tcW w:w="1587" w:type="dxa"/>
            <w:tcBorders>
              <w:top w:val="single" w:color="auto" w:sz="4" w:space="0"/>
              <w:left w:val="single" w:color="auto" w:sz="4" w:space="0"/>
              <w:bottom w:val="single" w:color="auto" w:sz="4" w:space="0"/>
              <w:right w:val="single" w:color="auto" w:sz="4" w:space="0"/>
            </w:tcBorders>
            <w:vAlign w:val="center"/>
          </w:tcPr>
          <w:p w14:paraId="0E3F116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date</w:t>
            </w:r>
          </w:p>
        </w:tc>
        <w:tc>
          <w:tcPr>
            <w:tcW w:w="3005" w:type="dxa"/>
            <w:tcBorders>
              <w:top w:val="single" w:color="auto" w:sz="4" w:space="0"/>
              <w:left w:val="single" w:color="auto" w:sz="4" w:space="0"/>
              <w:bottom w:val="single" w:color="auto" w:sz="4" w:space="0"/>
              <w:right w:val="single" w:color="auto" w:sz="4" w:space="0"/>
            </w:tcBorders>
            <w:vAlign w:val="center"/>
          </w:tcPr>
          <w:p w14:paraId="248AE89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Начало налогового периода</w:t>
            </w:r>
          </w:p>
        </w:tc>
        <w:tc>
          <w:tcPr>
            <w:tcW w:w="2721" w:type="dxa"/>
            <w:tcBorders>
              <w:top w:val="single" w:color="auto" w:sz="4" w:space="0"/>
              <w:left w:val="single" w:color="auto" w:sz="4" w:space="0"/>
              <w:bottom w:val="single" w:color="auto" w:sz="4" w:space="0"/>
              <w:right w:val="single" w:color="auto" w:sz="4" w:space="0"/>
            </w:tcBorders>
            <w:vAlign w:val="center"/>
          </w:tcPr>
          <w:p w14:paraId="0008E83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01 января выбранного года</w:t>
            </w:r>
          </w:p>
        </w:tc>
      </w:tr>
      <w:tr w14:paraId="7CA23E69">
        <w:tc>
          <w:tcPr>
            <w:tcW w:w="1814" w:type="dxa"/>
            <w:tcBorders>
              <w:top w:val="single" w:color="auto" w:sz="4" w:space="0"/>
              <w:left w:val="single" w:color="auto" w:sz="4" w:space="0"/>
              <w:bottom w:val="single" w:color="auto" w:sz="4" w:space="0"/>
              <w:right w:val="single" w:color="auto" w:sz="4" w:space="0"/>
            </w:tcBorders>
            <w:vAlign w:val="center"/>
          </w:tcPr>
          <w:p w14:paraId="34FBAB7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period_end</w:t>
            </w:r>
          </w:p>
        </w:tc>
        <w:tc>
          <w:tcPr>
            <w:tcW w:w="1587" w:type="dxa"/>
            <w:tcBorders>
              <w:top w:val="single" w:color="auto" w:sz="4" w:space="0"/>
              <w:left w:val="single" w:color="auto" w:sz="4" w:space="0"/>
              <w:bottom w:val="single" w:color="auto" w:sz="4" w:space="0"/>
              <w:right w:val="single" w:color="auto" w:sz="4" w:space="0"/>
            </w:tcBorders>
            <w:vAlign w:val="center"/>
          </w:tcPr>
          <w:p w14:paraId="35ED978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date</w:t>
            </w:r>
          </w:p>
        </w:tc>
        <w:tc>
          <w:tcPr>
            <w:tcW w:w="3005" w:type="dxa"/>
            <w:tcBorders>
              <w:top w:val="single" w:color="auto" w:sz="4" w:space="0"/>
              <w:left w:val="single" w:color="auto" w:sz="4" w:space="0"/>
              <w:bottom w:val="single" w:color="auto" w:sz="4" w:space="0"/>
              <w:right w:val="single" w:color="auto" w:sz="4" w:space="0"/>
            </w:tcBorders>
            <w:vAlign w:val="center"/>
          </w:tcPr>
          <w:p w14:paraId="76DAB85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Окончание налогового периода</w:t>
            </w:r>
          </w:p>
        </w:tc>
        <w:tc>
          <w:tcPr>
            <w:tcW w:w="2721" w:type="dxa"/>
            <w:tcBorders>
              <w:top w:val="single" w:color="auto" w:sz="4" w:space="0"/>
              <w:left w:val="single" w:color="auto" w:sz="4" w:space="0"/>
              <w:bottom w:val="single" w:color="auto" w:sz="4" w:space="0"/>
              <w:right w:val="single" w:color="auto" w:sz="4" w:space="0"/>
            </w:tcBorders>
            <w:vAlign w:val="center"/>
          </w:tcPr>
          <w:p w14:paraId="3FDF829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31 декабря выбранного года</w:t>
            </w:r>
          </w:p>
        </w:tc>
      </w:tr>
      <w:tr w14:paraId="3F39BDB9">
        <w:tc>
          <w:tcPr>
            <w:tcW w:w="1814" w:type="dxa"/>
            <w:tcBorders>
              <w:top w:val="single" w:color="auto" w:sz="4" w:space="0"/>
              <w:left w:val="single" w:color="auto" w:sz="4" w:space="0"/>
              <w:bottom w:val="single" w:color="auto" w:sz="4" w:space="0"/>
              <w:right w:val="single" w:color="auto" w:sz="4" w:space="0"/>
            </w:tcBorders>
            <w:vAlign w:val="center"/>
          </w:tcPr>
          <w:p w14:paraId="774134A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recipient_type</w:t>
            </w:r>
          </w:p>
        </w:tc>
        <w:tc>
          <w:tcPr>
            <w:tcW w:w="1587" w:type="dxa"/>
            <w:tcBorders>
              <w:top w:val="single" w:color="auto" w:sz="4" w:space="0"/>
              <w:left w:val="single" w:color="auto" w:sz="4" w:space="0"/>
              <w:bottom w:val="single" w:color="auto" w:sz="4" w:space="0"/>
              <w:right w:val="single" w:color="auto" w:sz="4" w:space="0"/>
            </w:tcBorders>
            <w:vAlign w:val="center"/>
          </w:tcPr>
          <w:p w14:paraId="1B8D19A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varchar(20)</w:t>
            </w:r>
          </w:p>
        </w:tc>
        <w:tc>
          <w:tcPr>
            <w:tcW w:w="3005" w:type="dxa"/>
            <w:tcBorders>
              <w:top w:val="single" w:color="auto" w:sz="4" w:space="0"/>
              <w:left w:val="single" w:color="auto" w:sz="4" w:space="0"/>
              <w:bottom w:val="single" w:color="auto" w:sz="4" w:space="0"/>
              <w:right w:val="single" w:color="auto" w:sz="4" w:space="0"/>
            </w:tcBorders>
            <w:vAlign w:val="center"/>
          </w:tcPr>
          <w:p w14:paraId="0F1EA7D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Получатель вычета</w:t>
            </w:r>
          </w:p>
        </w:tc>
        <w:tc>
          <w:tcPr>
            <w:tcW w:w="2721" w:type="dxa"/>
            <w:tcBorders>
              <w:top w:val="single" w:color="auto" w:sz="4" w:space="0"/>
              <w:left w:val="single" w:color="auto" w:sz="4" w:space="0"/>
              <w:bottom w:val="single" w:color="auto" w:sz="4" w:space="0"/>
              <w:right w:val="single" w:color="auto" w:sz="4" w:space="0"/>
            </w:tcBorders>
            <w:vAlign w:val="center"/>
          </w:tcPr>
          <w:p w14:paraId="26199A1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taxpayer / relative</w:t>
            </w:r>
          </w:p>
        </w:tc>
      </w:tr>
      <w:tr w14:paraId="3EE4140E">
        <w:tc>
          <w:tcPr>
            <w:tcW w:w="1814" w:type="dxa"/>
            <w:tcBorders>
              <w:top w:val="single" w:color="auto" w:sz="4" w:space="0"/>
              <w:left w:val="single" w:color="auto" w:sz="4" w:space="0"/>
              <w:bottom w:val="single" w:color="auto" w:sz="4" w:space="0"/>
              <w:right w:val="single" w:color="auto" w:sz="4" w:space="0"/>
            </w:tcBorders>
            <w:vAlign w:val="center"/>
          </w:tcPr>
          <w:p w14:paraId="253039B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inn</w:t>
            </w:r>
          </w:p>
        </w:tc>
        <w:tc>
          <w:tcPr>
            <w:tcW w:w="1587" w:type="dxa"/>
            <w:tcBorders>
              <w:top w:val="single" w:color="auto" w:sz="4" w:space="0"/>
              <w:left w:val="single" w:color="auto" w:sz="4" w:space="0"/>
              <w:bottom w:val="single" w:color="auto" w:sz="4" w:space="0"/>
              <w:right w:val="single" w:color="auto" w:sz="4" w:space="0"/>
            </w:tcBorders>
            <w:vAlign w:val="center"/>
          </w:tcPr>
          <w:p w14:paraId="46234E0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char(12)</w:t>
            </w:r>
          </w:p>
        </w:tc>
        <w:tc>
          <w:tcPr>
            <w:tcW w:w="3005" w:type="dxa"/>
            <w:tcBorders>
              <w:top w:val="single" w:color="auto" w:sz="4" w:space="0"/>
              <w:left w:val="single" w:color="auto" w:sz="4" w:space="0"/>
              <w:bottom w:val="single" w:color="auto" w:sz="4" w:space="0"/>
              <w:right w:val="single" w:color="auto" w:sz="4" w:space="0"/>
            </w:tcBorders>
            <w:vAlign w:val="center"/>
          </w:tcPr>
          <w:p w14:paraId="5375BBA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ИНН получателя</w:t>
            </w:r>
          </w:p>
        </w:tc>
        <w:tc>
          <w:tcPr>
            <w:tcW w:w="2721" w:type="dxa"/>
            <w:tcBorders>
              <w:top w:val="single" w:color="auto" w:sz="4" w:space="0"/>
              <w:left w:val="single" w:color="auto" w:sz="4" w:space="0"/>
              <w:bottom w:val="single" w:color="auto" w:sz="4" w:space="0"/>
              <w:right w:val="single" w:color="auto" w:sz="4" w:space="0"/>
            </w:tcBorders>
            <w:vAlign w:val="center"/>
          </w:tcPr>
          <w:p w14:paraId="66AE118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12 цифр; проверка контрольного разряда</w:t>
            </w:r>
          </w:p>
        </w:tc>
      </w:tr>
      <w:tr w14:paraId="6C3903CC">
        <w:tc>
          <w:tcPr>
            <w:tcW w:w="1814" w:type="dxa"/>
            <w:tcBorders>
              <w:top w:val="single" w:color="auto" w:sz="4" w:space="0"/>
              <w:left w:val="single" w:color="auto" w:sz="4" w:space="0"/>
              <w:bottom w:val="single" w:color="auto" w:sz="4" w:space="0"/>
              <w:right w:val="single" w:color="auto" w:sz="4" w:space="0"/>
            </w:tcBorders>
            <w:vAlign w:val="center"/>
          </w:tcPr>
          <w:p w14:paraId="4EE2420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email</w:t>
            </w:r>
          </w:p>
        </w:tc>
        <w:tc>
          <w:tcPr>
            <w:tcW w:w="1587" w:type="dxa"/>
            <w:tcBorders>
              <w:top w:val="single" w:color="auto" w:sz="4" w:space="0"/>
              <w:left w:val="single" w:color="auto" w:sz="4" w:space="0"/>
              <w:bottom w:val="single" w:color="auto" w:sz="4" w:space="0"/>
              <w:right w:val="single" w:color="auto" w:sz="4" w:space="0"/>
            </w:tcBorders>
            <w:vAlign w:val="center"/>
          </w:tcPr>
          <w:p w14:paraId="590B60A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varchar(50)</w:t>
            </w:r>
          </w:p>
        </w:tc>
        <w:tc>
          <w:tcPr>
            <w:tcW w:w="3005" w:type="dxa"/>
            <w:tcBorders>
              <w:top w:val="single" w:color="auto" w:sz="4" w:space="0"/>
              <w:left w:val="single" w:color="auto" w:sz="4" w:space="0"/>
              <w:bottom w:val="single" w:color="auto" w:sz="4" w:space="0"/>
              <w:right w:val="single" w:color="auto" w:sz="4" w:space="0"/>
            </w:tcBorders>
            <w:vAlign w:val="center"/>
          </w:tcPr>
          <w:p w14:paraId="2486DDC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Электронная почта для справки</w:t>
            </w:r>
          </w:p>
        </w:tc>
        <w:tc>
          <w:tcPr>
            <w:tcW w:w="2721" w:type="dxa"/>
            <w:tcBorders>
              <w:top w:val="single" w:color="auto" w:sz="4" w:space="0"/>
              <w:left w:val="single" w:color="auto" w:sz="4" w:space="0"/>
              <w:bottom w:val="single" w:color="auto" w:sz="4" w:space="0"/>
              <w:right w:val="single" w:color="auto" w:sz="4" w:space="0"/>
            </w:tcBorders>
            <w:vAlign w:val="center"/>
          </w:tcPr>
          <w:p w14:paraId="64F6D43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Валидируется по RFC 5322</w:t>
            </w:r>
          </w:p>
        </w:tc>
      </w:tr>
      <w:tr w14:paraId="17C9B53E">
        <w:tc>
          <w:tcPr>
            <w:tcW w:w="1814" w:type="dxa"/>
            <w:tcBorders>
              <w:top w:val="single" w:color="auto" w:sz="4" w:space="0"/>
              <w:left w:val="single" w:color="auto" w:sz="4" w:space="0"/>
              <w:bottom w:val="single" w:color="auto" w:sz="4" w:space="0"/>
              <w:right w:val="single" w:color="auto" w:sz="4" w:space="0"/>
            </w:tcBorders>
            <w:vAlign w:val="center"/>
          </w:tcPr>
          <w:p w14:paraId="6253889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status</w:t>
            </w:r>
          </w:p>
        </w:tc>
        <w:tc>
          <w:tcPr>
            <w:tcW w:w="1587" w:type="dxa"/>
            <w:tcBorders>
              <w:top w:val="single" w:color="auto" w:sz="4" w:space="0"/>
              <w:left w:val="single" w:color="auto" w:sz="4" w:space="0"/>
              <w:bottom w:val="single" w:color="auto" w:sz="4" w:space="0"/>
              <w:right w:val="single" w:color="auto" w:sz="4" w:space="0"/>
            </w:tcBorders>
            <w:vAlign w:val="center"/>
          </w:tcPr>
          <w:p w14:paraId="39AB0C6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varchar(30)</w:t>
            </w:r>
          </w:p>
        </w:tc>
        <w:tc>
          <w:tcPr>
            <w:tcW w:w="3005" w:type="dxa"/>
            <w:tcBorders>
              <w:top w:val="single" w:color="auto" w:sz="4" w:space="0"/>
              <w:left w:val="single" w:color="auto" w:sz="4" w:space="0"/>
              <w:bottom w:val="single" w:color="auto" w:sz="4" w:space="0"/>
              <w:right w:val="single" w:color="auto" w:sz="4" w:space="0"/>
            </w:tcBorders>
            <w:vAlign w:val="center"/>
          </w:tcPr>
          <w:p w14:paraId="72078A3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Статус заявки</w:t>
            </w:r>
          </w:p>
        </w:tc>
        <w:tc>
          <w:tcPr>
            <w:tcW w:w="2721" w:type="dxa"/>
            <w:tcBorders>
              <w:top w:val="single" w:color="auto" w:sz="4" w:space="0"/>
              <w:left w:val="single" w:color="auto" w:sz="4" w:space="0"/>
              <w:bottom w:val="single" w:color="auto" w:sz="4" w:space="0"/>
              <w:right w:val="single" w:color="auto" w:sz="4" w:space="0"/>
            </w:tcBorders>
            <w:vAlign w:val="center"/>
          </w:tcPr>
          <w:p w14:paraId="264DF55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new / in_progress / ready / rejected</w:t>
            </w:r>
          </w:p>
        </w:tc>
      </w:tr>
      <w:tr w14:paraId="32DB837D">
        <w:tc>
          <w:tcPr>
            <w:tcW w:w="1814" w:type="dxa"/>
            <w:tcBorders>
              <w:top w:val="single" w:color="auto" w:sz="4" w:space="0"/>
              <w:left w:val="single" w:color="auto" w:sz="4" w:space="0"/>
              <w:bottom w:val="single" w:color="auto" w:sz="4" w:space="0"/>
              <w:right w:val="single" w:color="auto" w:sz="4" w:space="0"/>
            </w:tcBorders>
            <w:vAlign w:val="center"/>
          </w:tcPr>
          <w:p w14:paraId="303ACC9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created_at</w:t>
            </w:r>
          </w:p>
        </w:tc>
        <w:tc>
          <w:tcPr>
            <w:tcW w:w="1587" w:type="dxa"/>
            <w:tcBorders>
              <w:top w:val="single" w:color="auto" w:sz="4" w:space="0"/>
              <w:left w:val="single" w:color="auto" w:sz="4" w:space="0"/>
              <w:bottom w:val="single" w:color="auto" w:sz="4" w:space="0"/>
              <w:right w:val="single" w:color="auto" w:sz="4" w:space="0"/>
            </w:tcBorders>
            <w:vAlign w:val="center"/>
          </w:tcPr>
          <w:p w14:paraId="5AC67D4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timestamptz</w:t>
            </w:r>
          </w:p>
        </w:tc>
        <w:tc>
          <w:tcPr>
            <w:tcW w:w="3005" w:type="dxa"/>
            <w:tcBorders>
              <w:top w:val="single" w:color="auto" w:sz="4" w:space="0"/>
              <w:left w:val="single" w:color="auto" w:sz="4" w:space="0"/>
              <w:bottom w:val="single" w:color="auto" w:sz="4" w:space="0"/>
              <w:right w:val="single" w:color="auto" w:sz="4" w:space="0"/>
            </w:tcBorders>
            <w:vAlign w:val="center"/>
          </w:tcPr>
          <w:p w14:paraId="0BC0621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Время создания заявки</w:t>
            </w:r>
          </w:p>
        </w:tc>
        <w:tc>
          <w:tcPr>
            <w:tcW w:w="2721" w:type="dxa"/>
            <w:tcBorders>
              <w:top w:val="single" w:color="auto" w:sz="4" w:space="0"/>
              <w:left w:val="single" w:color="auto" w:sz="4" w:space="0"/>
              <w:bottom w:val="single" w:color="auto" w:sz="4" w:space="0"/>
              <w:right w:val="single" w:color="auto" w:sz="4" w:space="0"/>
            </w:tcBorders>
            <w:vAlign w:val="center"/>
          </w:tcPr>
          <w:p w14:paraId="6E7FAB4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Заполняется автоматически</w:t>
            </w:r>
          </w:p>
        </w:tc>
      </w:tr>
    </w:tbl>
    <w:p w14:paraId="275E04F0">
      <w:pPr>
        <w:spacing w:before="0" w:after="0"/>
        <w:ind w:firstLine="709"/>
        <w:jc w:val="both"/>
      </w:pPr>
      <w:r>
        <w:rPr>
          <w:rFonts w:ascii="Times New Roman" w:hAnsi="Times New Roman"/>
          <w:b w:val="0"/>
          <w:sz w:val="28"/>
        </w:rPr>
        <w:t>Заявки пациентов на справку для налогового вычета хранятся в отдельной сущности. Ключевыми полями являются ссылка на пациента, налоговый период, тип получателя вычета, ИНН, электронная почта и статус заявки. Статусная модель (new / in_progress / ready / rejected) позволяет отслеживать прохождение заявки через ЭДО-интеграцию и информировать пациента о готовности документа.</w:t>
      </w:r>
    </w:p>
    <w:p w14:paraId="2A501612">
      <w:pPr>
        <w:spacing w:before="0" w:after="0"/>
        <w:ind w:firstLine="709"/>
        <w:jc w:val="both"/>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14:ligatures w14:val="none"/>
        </w:rPr>
        <w:t xml:space="preserve">Связи между сущностями построены по схеме «один ко многим». Таблица </w:t>
      </w:r>
      <w:r>
        <w:rPr>
          <w:rFonts w:ascii="Times New Roman" w:hAnsi="Times New Roman" w:eastAsia="Times New Roman" w:cs="Times New Roman"/>
          <w:color w:val="000000"/>
          <w:kern w:val="0"/>
          <w:sz w:val="28"/>
          <w:szCs w:val="22"/>
          <w:lang w:val="en-US"/>
          <w14:ligatures w14:val="none"/>
        </w:rPr>
        <w:t>appointments</w:t>
      </w:r>
      <w:r>
        <w:rPr>
          <w:rFonts w:ascii="Times New Roman" w:hAnsi="Times New Roman" w:eastAsia="Times New Roman" w:cs="Times New Roman"/>
          <w:color w:val="000000"/>
          <w:kern w:val="0"/>
          <w:sz w:val="28"/>
          <w:szCs w:val="22"/>
          <w14:ligatures w14:val="none"/>
        </w:rPr>
        <w:t xml:space="preserve"> хранит внешние ключи на пациента, клинику, врача и услугу. При удалении справочных записей работает политика </w:t>
      </w:r>
      <w:r>
        <w:rPr>
          <w:rFonts w:ascii="Times New Roman" w:hAnsi="Times New Roman" w:eastAsia="Times New Roman" w:cs="Times New Roman"/>
          <w:color w:val="000000"/>
          <w:kern w:val="0"/>
          <w:sz w:val="28"/>
          <w:szCs w:val="22"/>
          <w:lang w:val="en-US"/>
          <w14:ligatures w14:val="none"/>
        </w:rPr>
        <w:t>ON</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DELETE</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RESTRICT</w:t>
      </w:r>
      <w:r>
        <w:rPr>
          <w:rFonts w:ascii="Times New Roman" w:hAnsi="Times New Roman" w:eastAsia="Times New Roman" w:cs="Times New Roman"/>
          <w:color w:val="000000"/>
          <w:kern w:val="0"/>
          <w:sz w:val="28"/>
          <w:szCs w:val="22"/>
          <w14:ligatures w14:val="none"/>
        </w:rPr>
        <w:t xml:space="preserve"> – история визитов защищена от потери данных. Таблица </w:t>
      </w:r>
      <w:r>
        <w:rPr>
          <w:rFonts w:ascii="Times New Roman" w:hAnsi="Times New Roman" w:eastAsia="Times New Roman" w:cs="Times New Roman"/>
          <w:color w:val="000000"/>
          <w:kern w:val="0"/>
          <w:sz w:val="28"/>
          <w:szCs w:val="22"/>
          <w:lang w:val="en-US"/>
          <w14:ligatures w14:val="none"/>
        </w:rPr>
        <w:t>tax</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certificate</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requests</w:t>
      </w:r>
      <w:r>
        <w:rPr>
          <w:rFonts w:ascii="Times New Roman" w:hAnsi="Times New Roman" w:eastAsia="Times New Roman" w:cs="Times New Roman"/>
          <w:color w:val="000000"/>
          <w:kern w:val="0"/>
          <w:sz w:val="28"/>
          <w:szCs w:val="22"/>
          <w14:ligatures w14:val="none"/>
        </w:rPr>
        <w:t xml:space="preserve"> ссылается только на пациента; состав визитов в справке берётся выборкой по периоду заявки. </w:t>
      </w:r>
      <w:r>
        <w:rPr>
          <w:rFonts w:ascii="Times New Roman" w:hAnsi="Times New Roman" w:eastAsia="Times New Roman" w:cs="Times New Roman"/>
          <w:color w:val="000000"/>
          <w:kern w:val="0"/>
          <w:sz w:val="28"/>
          <w:szCs w:val="22"/>
          <w:lang w:val="en-US"/>
          <w14:ligatures w14:val="none"/>
        </w:rPr>
        <w:t>Индексы стоят на полях phone_number (users), start_at (appointments) и created_at (tax_certificate_requests) – именно эти выборки самые частые.</w:t>
      </w:r>
    </w:p>
    <w:p w14:paraId="74D35CD4">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Кликабельный прототип собран на </w:t>
      </w:r>
      <w:r>
        <w:rPr>
          <w:rFonts w:ascii="Times New Roman" w:hAnsi="Times New Roman" w:eastAsia="Times New Roman" w:cs="Times New Roman"/>
          <w:color w:val="000000"/>
          <w:kern w:val="0"/>
          <w:sz w:val="28"/>
          <w:szCs w:val="22"/>
          <w:lang w:val="en-US"/>
          <w14:ligatures w14:val="none"/>
        </w:rPr>
        <w:t>HTML</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CSS</w:t>
      </w:r>
      <w:r>
        <w:rPr>
          <w:rFonts w:ascii="Times New Roman" w:hAnsi="Times New Roman" w:eastAsia="Times New Roman" w:cs="Times New Roman"/>
          <w:color w:val="000000"/>
          <w:kern w:val="0"/>
          <w:sz w:val="28"/>
          <w:szCs w:val="22"/>
          <w14:ligatures w14:val="none"/>
        </w:rPr>
        <w:t xml:space="preserve"> и </w:t>
      </w:r>
      <w:r>
        <w:rPr>
          <w:rFonts w:ascii="Times New Roman" w:hAnsi="Times New Roman" w:eastAsia="Times New Roman" w:cs="Times New Roman"/>
          <w:color w:val="000000"/>
          <w:kern w:val="0"/>
          <w:sz w:val="28"/>
          <w:szCs w:val="22"/>
          <w:lang w:val="en-US"/>
          <w14:ligatures w14:val="none"/>
        </w:rPr>
        <w:t>JavaScript</w:t>
      </w:r>
      <w:r>
        <w:rPr>
          <w:rFonts w:ascii="Times New Roman" w:hAnsi="Times New Roman" w:eastAsia="Times New Roman" w:cs="Times New Roman"/>
          <w:color w:val="000000"/>
          <w:kern w:val="0"/>
          <w:sz w:val="28"/>
          <w:szCs w:val="22"/>
          <w14:ligatures w14:val="none"/>
        </w:rPr>
        <w:t xml:space="preserve"> и запускается локально в контейнере </w:t>
      </w:r>
      <w:r>
        <w:rPr>
          <w:rFonts w:ascii="Times New Roman" w:hAnsi="Times New Roman" w:eastAsia="Times New Roman" w:cs="Times New Roman"/>
          <w:color w:val="000000"/>
          <w:kern w:val="0"/>
          <w:sz w:val="28"/>
          <w:szCs w:val="22"/>
          <w:lang w:val="en-US"/>
          <w14:ligatures w14:val="none"/>
        </w:rPr>
        <w:t>Nginx</w:t>
      </w:r>
      <w:r>
        <w:rPr>
          <w:rFonts w:ascii="Times New Roman" w:hAnsi="Times New Roman" w:eastAsia="Times New Roman" w:cs="Times New Roman"/>
          <w:color w:val="000000"/>
          <w:kern w:val="0"/>
          <w:sz w:val="28"/>
          <w:szCs w:val="22"/>
          <w14:ligatures w14:val="none"/>
        </w:rPr>
        <w:t xml:space="preserve"> по адресу </w:t>
      </w:r>
      <w:r>
        <w:rPr>
          <w:rFonts w:ascii="Times New Roman" w:hAnsi="Times New Roman" w:eastAsia="Times New Roman" w:cs="Times New Roman"/>
          <w:color w:val="000000"/>
          <w:kern w:val="0"/>
          <w:sz w:val="28"/>
          <w:szCs w:val="22"/>
          <w:lang w:val="en-US"/>
          <w14:ligatures w14:val="none"/>
        </w:rPr>
        <w:t>localhost</w:t>
      </w:r>
      <w:r>
        <w:rPr>
          <w:rFonts w:ascii="Times New Roman" w:hAnsi="Times New Roman" w:eastAsia="Times New Roman" w:cs="Times New Roman"/>
          <w:color w:val="000000"/>
          <w:kern w:val="0"/>
          <w:sz w:val="28"/>
          <w:szCs w:val="22"/>
          <w14:ligatures w14:val="none"/>
        </w:rPr>
        <w:t>:8080. Данные на экранах статические, без обращения к серверу: прототип отрабатывает маршрут записи и проверяет визуальные гипотезы до старта разработки боевого бэкенда. Пользовательский опыт тестируется без зависимостей от МИС и платёжного шлюза.</w:t>
      </w:r>
    </w:p>
    <w:p w14:paraId="6B9D29BA">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Маршрут записи в прототипе состоит из шести шагов: (1) главный экран с поисковой строкой и блоком «Ближайшая запись»; (2) каталог услуг с фильтрами по категориям; (3) карточка выбранной услуги с ценой и длительностью; (4) список подходящих врачей с рейтингом и ближайшим свободным слотом; (5) календарная сетка свободного расписания выбранного врача; (6) экран подтверждения записи со сводкой параметров. После подтверждения запись отображается в разделе «Ближайшая запись» на главном экране, где пациент может её отменить или перенести.</w:t>
      </w:r>
    </w:p>
    <w:p w14:paraId="57189AFA">
      <w:pPr>
        <w:spacing w:before="0" w:after="0"/>
        <w:ind w:firstLine="709"/>
        <w:jc w:val="both"/>
      </w:pPr>
      <w:r>
        <w:rPr>
          <w:rFonts w:ascii="Times New Roman" w:hAnsi="Times New Roman"/>
          <w:b w:val="0"/>
          <w:sz w:val="28"/>
        </w:rPr>
        <w:t>Каждый из шести шагов закреплён за отдельным экраном прототипа. На первом шаге открывается главный экран: в верхней части — строка поиска по всему каталогу, ниже — блок «Ближайшая запись» с подтверждённым визитом и датой, под ним — «Быстрые действия» на главном экране (запись на приём, клиники, врачи, история приёмов, онлайн-чат, налоговый вычет). На втором — каталог с категориями услуг (девять направлений: от консультации и диагностики до имплантации и отбеливания) и карточкой конкретной процедуры с ценой и длительностью. Третий шаг — выбор клиники из тех адресов сети, где оказывается выбранное направление; карточка клиники показывает рейтинг, режим работы и до трёх аргументов в пользу адреса. Четвёртый шаг — выбор врача: у каждого специалиста видны специализация, стаж, ближайшее свободное окно и основной фокус. Пятый шаг — календарная сетка расписания выбранного врача: сначала день, затем конкретный временной слот. Шестой шаг — экран подтверждения, где собраны услуга, клиника, врач, дата, время и стоимость; после нажатия кнопки запись переходит в блок «Ближайшая запись» на главном экране.</w:t>
      </w:r>
    </w:p>
    <w:p w14:paraId="6FCE0733">
      <w:pPr>
        <w:spacing w:before="0" w:after="0"/>
        <w:ind w:firstLine="709"/>
        <w:jc w:val="both"/>
      </w:pPr>
      <w:r>
        <w:rPr>
          <w:rFonts w:ascii="Times New Roman" w:hAnsi="Times New Roman"/>
          <w:b w:val="0"/>
          <w:sz w:val="28"/>
        </w:rPr>
        <w:t>Профиль пациента в прототипе организован через четыре раздела, доступных из вкладки «Профиль». Первый — «История приёмов»: список запланированных и завершённых визитов с датой, врачом, клиникой и суммой. Второй — «Акции»: актуальные предложения сети с указанием клиник и срока действия. Третий — «Отзывы и консультация»: примеры отзывов пациентов о врачах и клиниках, а также типовые вопросы, которые можно передать администратору без отдельной онлайн-формы внутри MVP. Четвёртый — «Налоговый вычет»: статус справки, ставка вычета и перечень документов, которые понадобятся для оформления.</w:t>
      </w:r>
    </w:p>
    <w:p w14:paraId="0A604823">
      <w:pPr>
        <w:spacing w:before="0" w:after="0"/>
        <w:ind w:firstLine="709"/>
        <w:jc w:val="both"/>
      </w:pPr>
      <w:r>
        <w:rPr>
          <w:rFonts w:ascii="Times New Roman" w:hAnsi="Times New Roman"/>
          <w:b w:val="0"/>
          <w:sz w:val="28"/>
        </w:rPr>
        <w:t>Данные прототипа статические: четыре клиники сети, шесть врачей разных специализаций, девять категорий услуг с индивидуальными ценами и длительностями, расписание по дням с конкретными временными слотами — всё зафиксировано в файле data.js и не обращается к серверу. Такой подход позволяет тестировать пользовательский опыт до разработки боевого бэкенда. Быстрые действия с главного экрана дублируют навигацию по разделам: пользователь попадает напрямую в нужный раздел одним касанием, без промежуточных переходов через меню.</w:t>
      </w:r>
    </w:p>
    <w:p w14:paraId="29C0A370">
      <w:pPr>
        <w:spacing w:before="0" w:after="0"/>
        <w:ind w:firstLine="709"/>
        <w:jc w:val="both"/>
      </w:pPr>
      <w:r>
        <w:rPr>
          <w:rFonts w:ascii="Times New Roman" w:hAnsi="Times New Roman"/>
          <w:b w:val="0"/>
          <w:sz w:val="28"/>
        </w:rPr>
        <w:t>В прототипе раздел «Налоговый вычет» реализован как информационный: отображаются статус справки, ставка налогового вычета (13%) и список документов, которые должны быть на руках у пациента; кнопки подачи заявки на экране нет. Функциональное требование FR-05 описывает именно оформление заявки на справку для социального налогового вычета как целевую функцию системы — с формой запроса и передачей данных через ЭДО. Это расхождение фиксируется явно: MVP-прототип проверяет визуальные гипотезы и сценарий навигации, тогда как полное выполнение FR-05 требует подключения бэкенда, ЭДО-интеграции и формы запроса, входящих в объём следующей итерации разработки.</w:t>
      </w:r>
    </w:p>
    <w:p w14:paraId="0756A6F4">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224FA526">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23 — Главный экран: поиск, ближайшая запись, быстрые действия</w:t>
      </w:r>
    </w:p>
    <w:p w14:paraId="2D545B72">
      <w:pPr>
        <w:spacing w:before="0" w:after="0"/>
        <w:ind w:firstLine="709"/>
        <w:jc w:val="both"/>
      </w:pPr>
      <w:r>
        <w:rPr>
          <w:rFonts w:ascii="Times New Roman" w:hAnsi="Times New Roman"/>
          <w:b w:val="0"/>
          <w:sz w:val="28"/>
        </w:rPr>
        <w:t>Экран реализует точку входа в основные сценарии приложения: строка поиска по врачу, клинике или услуге, карточка ближайшей записи и блок быстрых действий. Компоновка минимизирует число шагов до целевого действия — пользователь попадает в нужный сценарий не более чем за одно нажатие с главного экрана. Прототип статичный, демонстрирует данные четырёх клиник сети.</w:t>
      </w:r>
    </w:p>
    <w:p w14:paraId="647F79B8">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096D7CA9">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24 — Экран выбора услуги с категорией, ценой и длительностью</w:t>
      </w:r>
    </w:p>
    <w:p w14:paraId="64A5723D">
      <w:pPr>
        <w:spacing w:before="0" w:after="0"/>
        <w:ind w:firstLine="709"/>
        <w:jc w:val="both"/>
      </w:pPr>
      <w:r>
        <w:rPr>
          <w:rFonts w:ascii="Times New Roman" w:hAnsi="Times New Roman"/>
          <w:b w:val="0"/>
          <w:sz w:val="28"/>
        </w:rPr>
        <w:t>Экран отображает каталог услуг клиники с группировкой по категориям, ценой и длительностью каждой позиции. Явное отображение цены и времени снижает информационный барьер при выборе: пациент видит все параметры до перехода к выбору врача. Экран реализует требование FR-01 в части выбора услуги на маршруте записи.</w:t>
      </w:r>
    </w:p>
    <w:p w14:paraId="55938FBA">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drawing>
          <wp:inline distT="0" distB="0" distL="0" distR="0">
            <wp:extent cx="3333750" cy="5880100"/>
            <wp:effectExtent l="0" t="0" r="0"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333750" cy="5880100"/>
                    </a:xfrm>
                    <a:prstGeom prst="rect">
                      <a:avLst/>
                    </a:prstGeom>
                    <a:noFill/>
                    <a:ln>
                      <a:noFill/>
                    </a:ln>
                  </pic:spPr>
                </pic:pic>
              </a:graphicData>
            </a:graphic>
          </wp:inline>
        </w:drawing>
      </w:r>
    </w:p>
    <w:p w14:paraId="39E67201">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drawing>
          <wp:inline distT="0" distB="0" distL="0" distR="0">
            <wp:extent cx="3352800" cy="5880100"/>
            <wp:effectExtent l="0" t="0" r="0"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352800" cy="5880100"/>
                    </a:xfrm>
                    <a:prstGeom prst="rect">
                      <a:avLst/>
                    </a:prstGeom>
                    <a:noFill/>
                    <a:ln>
                      <a:noFill/>
                    </a:ln>
                  </pic:spPr>
                </pic:pic>
              </a:graphicData>
            </a:graphic>
          </wp:inline>
        </w:drawing>
      </w:r>
    </w:p>
    <w:p w14:paraId="485419B0">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5D6A5AEA">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25 — Экран выбора врача со специализацией и ближайшим слотом</w:t>
      </w:r>
    </w:p>
    <w:p w14:paraId="324C220F">
      <w:pPr>
        <w:spacing w:before="0" w:after="0"/>
        <w:ind w:firstLine="709"/>
        <w:jc w:val="both"/>
      </w:pPr>
      <w:r>
        <w:rPr>
          <w:rFonts w:ascii="Times New Roman" w:hAnsi="Times New Roman"/>
          <w:b w:val="0"/>
          <w:sz w:val="28"/>
        </w:rPr>
        <w:t>Экран предоставляет список врачей с указанием специализации, рейтинга и ближайшего свободного времени приёма. Отображение ближайшего слота прямо в карточке врача позволяет пациенту принять решение без дополнительных переходов. Экран устраняет сервисный барьер, при котором ранее пациенту требовался звонок для уточнения расписания.</w:t>
      </w:r>
    </w:p>
    <w:p w14:paraId="06B0614F">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drawing>
          <wp:inline distT="0" distB="0" distL="0" distR="0">
            <wp:extent cx="3314700" cy="5918200"/>
            <wp:effectExtent l="0" t="0" r="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314700" cy="5918200"/>
                    </a:xfrm>
                    <a:prstGeom prst="rect">
                      <a:avLst/>
                    </a:prstGeom>
                    <a:noFill/>
                    <a:ln>
                      <a:noFill/>
                    </a:ln>
                  </pic:spPr>
                </pic:pic>
              </a:graphicData>
            </a:graphic>
          </wp:inline>
        </w:drawing>
      </w:r>
    </w:p>
    <w:p w14:paraId="542EA503">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1C7D5469">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26 — Экран подтверждения записи со сводкой параметров</w:t>
      </w:r>
    </w:p>
    <w:p w14:paraId="1329DE0B">
      <w:pPr>
        <w:spacing w:before="0" w:after="0"/>
        <w:ind w:firstLine="709"/>
        <w:jc w:val="both"/>
      </w:pPr>
      <w:r>
        <w:rPr>
          <w:rFonts w:ascii="Times New Roman" w:hAnsi="Times New Roman"/>
          <w:b w:val="0"/>
          <w:sz w:val="28"/>
        </w:rPr>
        <w:t>Экран отображает сводку перед финальным подтверждением записи: врач, услуга, клиника, дата и время, итоговая цена. Пациент видит все параметры в одном месте и подтверждает запись одним действием. Сводный экран снижает риск ошибочной записи и соответствует критерию приёмки US-1 о завершении маршрута не более чем за 90 секунд.</w:t>
      </w:r>
    </w:p>
    <w:p w14:paraId="0F1BFE57">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3FF8F9F1">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27 — Экран профиля пациента с гарантиями и историей визитов</w:t>
      </w:r>
    </w:p>
    <w:p w14:paraId="07BC29D5">
      <w:pPr>
        <w:spacing w:before="0" w:after="0"/>
        <w:ind w:firstLine="709"/>
        <w:jc w:val="both"/>
      </w:pPr>
      <w:r>
        <w:rPr>
          <w:rFonts w:ascii="Times New Roman" w:hAnsi="Times New Roman"/>
          <w:b w:val="0"/>
          <w:sz w:val="28"/>
        </w:rPr>
        <w:t>Экран реализует единый профиль пациента: история завершённых визитов с привязкой к врачу и услуге, гарантийные талоны и документы. Доступность гарантий в цифровом виде устраняет необходимость хранить бумажные экземпляры и обращаться в регистратуру для получения сведений о лечении. Экран закрывает пользовательскую историю US-2.</w:t>
      </w:r>
    </w:p>
    <w:p w14:paraId="3510C909">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drawing>
          <wp:inline distT="0" distB="0" distL="0" distR="0">
            <wp:extent cx="3352800" cy="58991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52800" cy="5899150"/>
                    </a:xfrm>
                    <a:prstGeom prst="rect">
                      <a:avLst/>
                    </a:prstGeom>
                    <a:noFill/>
                    <a:ln>
                      <a:noFill/>
                    </a:ln>
                  </pic:spPr>
                </pic:pic>
              </a:graphicData>
            </a:graphic>
          </wp:inline>
        </w:drawing>
      </w:r>
    </w:p>
    <w:p w14:paraId="4D995E14">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0FBB02B4">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28 — Прототип интерфейса карты зубов FDI (вне MVP)</w:t>
      </w:r>
    </w:p>
    <w:p w14:paraId="498608ED">
      <w:pPr>
        <w:spacing w:before="0" w:after="0"/>
        <w:ind w:firstLine="709"/>
        <w:jc w:val="both"/>
      </w:pPr>
      <w:r>
        <w:rPr>
          <w:rFonts w:ascii="Times New Roman" w:hAnsi="Times New Roman"/>
          <w:b w:val="0"/>
          <w:sz w:val="28"/>
        </w:rPr>
        <w:t>Прототип демонстрирует возможный будущий экран одонтологической карты в нотации FDI: 32 зуба со статусами (здоров, лечён, протез, требует внимания). Функция явно помечена как выходящая за рамки MVP и запланирована для следующей итерации разработки. Включение в прототип позволяет валидировать концепцию с пользователями уже на этапе исследования продукта.</w:t>
      </w:r>
    </w:p>
    <w:p w14:paraId="14637A47">
      <w:pPr>
        <w:keepNext/>
        <w:spacing w:before="0" w:after="0" w:line="360" w:lineRule="auto"/>
        <w:jc w:val="center"/>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drawing>
          <wp:inline distT="0" distB="0" distL="0" distR="0">
            <wp:extent cx="2519680" cy="5465445"/>
            <wp:effectExtent l="0" t="0" r="0" b="190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519680" cy="5465445"/>
                    </a:xfrm>
                    <a:prstGeom prst="rect">
                      <a:avLst/>
                    </a:prstGeom>
                    <a:noFill/>
                    <a:ln>
                      <a:noFill/>
                    </a:ln>
                  </pic:spPr>
                </pic:pic>
              </a:graphicData>
            </a:graphic>
          </wp:inline>
        </w:drawing>
      </w:r>
    </w:p>
    <w:p w14:paraId="61B158DC">
      <w:pPr>
        <w:spacing w:before="0" w:after="0" w:line="360" w:lineRule="auto"/>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Рисунок 29 — Прототип формы заявки на справку для налогового вычета</w:t>
      </w:r>
    </w:p>
    <w:p w14:paraId="13588083">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Продукт взаимодействует с внешними сервисами по четырём направлениям: платежи, уведомления, электронный документооборот и данные медицинской информационной системы клиники. Каждое направление закрыто отдельным доменным сервисом, а внешние </w:t>
      </w:r>
      <w:r>
        <w:rPr>
          <w:rFonts w:ascii="Times New Roman" w:hAnsi="Times New Roman" w:eastAsia="Times New Roman" w:cs="Times New Roman"/>
          <w:color w:val="000000"/>
          <w:kern w:val="0"/>
          <w:sz w:val="28"/>
          <w:szCs w:val="22"/>
          <w:lang w:val="en-US"/>
          <w14:ligatures w14:val="none"/>
        </w:rPr>
        <w:t>API</w:t>
      </w:r>
      <w:r>
        <w:rPr>
          <w:rFonts w:ascii="Times New Roman" w:hAnsi="Times New Roman" w:eastAsia="Times New Roman" w:cs="Times New Roman"/>
          <w:color w:val="000000"/>
          <w:kern w:val="0"/>
          <w:sz w:val="28"/>
          <w:szCs w:val="22"/>
          <w14:ligatures w14:val="none"/>
        </w:rPr>
        <w:t xml:space="preserve"> вызываются по контракту из </w:t>
      </w:r>
      <w:r>
        <w:rPr>
          <w:rFonts w:ascii="Times New Roman" w:hAnsi="Times New Roman" w:eastAsia="Times New Roman" w:cs="Times New Roman"/>
          <w:color w:val="000000"/>
          <w:kern w:val="0"/>
          <w:sz w:val="28"/>
          <w:szCs w:val="22"/>
          <w:lang w:val="en-US"/>
          <w14:ligatures w14:val="none"/>
        </w:rPr>
        <w:t>OpenAPI</w:t>
      </w:r>
      <w:r>
        <w:rPr>
          <w:rFonts w:ascii="Times New Roman" w:hAnsi="Times New Roman" w:eastAsia="Times New Roman" w:cs="Times New Roman"/>
          <w:color w:val="000000"/>
          <w:kern w:val="0"/>
          <w:sz w:val="28"/>
          <w:szCs w:val="22"/>
          <w14:ligatures w14:val="none"/>
        </w:rPr>
        <w:t>-описания. Такая изоляция снижает привязку к конкретному поставщику: замена вендора при изменении коммерческих условий происходит без правки кода смежных сервисов.</w:t>
      </w:r>
    </w:p>
    <w:p w14:paraId="4546E972">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39 — Внешние сервисы и API</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3685"/>
        <w:gridCol w:w="3061"/>
      </w:tblGrid>
      <w:tr w14:paraId="7C66ECF1">
        <w:tc>
          <w:tcPr>
            <w:tcW w:w="2608" w:type="dxa"/>
            <w:tcBorders>
              <w:top w:val="single" w:color="auto" w:sz="4" w:space="0"/>
              <w:left w:val="single" w:color="auto" w:sz="4" w:space="0"/>
              <w:bottom w:val="single" w:color="auto" w:sz="4" w:space="0"/>
              <w:right w:val="single" w:color="auto" w:sz="4" w:space="0"/>
            </w:tcBorders>
            <w:vAlign w:val="center"/>
          </w:tcPr>
          <w:p w14:paraId="4C769BA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Сервис</w:t>
            </w:r>
          </w:p>
        </w:tc>
        <w:tc>
          <w:tcPr>
            <w:tcW w:w="3685" w:type="dxa"/>
            <w:tcBorders>
              <w:top w:val="single" w:color="auto" w:sz="4" w:space="0"/>
              <w:left w:val="single" w:color="auto" w:sz="4" w:space="0"/>
              <w:bottom w:val="single" w:color="auto" w:sz="4" w:space="0"/>
              <w:right w:val="single" w:color="auto" w:sz="4" w:space="0"/>
            </w:tcBorders>
            <w:vAlign w:val="center"/>
          </w:tcPr>
          <w:p w14:paraId="7D3EE67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Назначение</w:t>
            </w:r>
          </w:p>
        </w:tc>
        <w:tc>
          <w:tcPr>
            <w:tcW w:w="3061" w:type="dxa"/>
            <w:tcBorders>
              <w:top w:val="single" w:color="auto" w:sz="4" w:space="0"/>
              <w:left w:val="single" w:color="auto" w:sz="4" w:space="0"/>
              <w:bottom w:val="single" w:color="auto" w:sz="4" w:space="0"/>
              <w:right w:val="single" w:color="auto" w:sz="4" w:space="0"/>
            </w:tcBorders>
            <w:vAlign w:val="center"/>
          </w:tcPr>
          <w:p w14:paraId="711CE41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Тип интеграции</w:t>
            </w:r>
          </w:p>
        </w:tc>
      </w:tr>
      <w:tr w14:paraId="398CFF38">
        <w:tc>
          <w:tcPr>
            <w:tcW w:w="2608" w:type="dxa"/>
            <w:tcBorders>
              <w:top w:val="single" w:color="auto" w:sz="4" w:space="0"/>
              <w:left w:val="single" w:color="auto" w:sz="4" w:space="0"/>
              <w:bottom w:val="single" w:color="auto" w:sz="4" w:space="0"/>
              <w:right w:val="single" w:color="auto" w:sz="4" w:space="0"/>
            </w:tcBorders>
            <w:vAlign w:val="center"/>
          </w:tcPr>
          <w:p w14:paraId="139CC85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Система быстрых платежей (СБП)</w:t>
            </w:r>
          </w:p>
        </w:tc>
        <w:tc>
          <w:tcPr>
            <w:tcW w:w="3685" w:type="dxa"/>
            <w:tcBorders>
              <w:top w:val="single" w:color="auto" w:sz="4" w:space="0"/>
              <w:left w:val="single" w:color="auto" w:sz="4" w:space="0"/>
              <w:bottom w:val="single" w:color="auto" w:sz="4" w:space="0"/>
              <w:right w:val="single" w:color="auto" w:sz="4" w:space="0"/>
            </w:tcBorders>
            <w:vAlign w:val="center"/>
          </w:tcPr>
          <w:p w14:paraId="00BFB0D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Оплата визита по QR</w:t>
            </w:r>
          </w:p>
        </w:tc>
        <w:tc>
          <w:tcPr>
            <w:tcW w:w="3061" w:type="dxa"/>
            <w:tcBorders>
              <w:top w:val="single" w:color="auto" w:sz="4" w:space="0"/>
              <w:left w:val="single" w:color="auto" w:sz="4" w:space="0"/>
              <w:bottom w:val="single" w:color="auto" w:sz="4" w:space="0"/>
              <w:right w:val="single" w:color="auto" w:sz="4" w:space="0"/>
            </w:tcBorders>
            <w:vAlign w:val="center"/>
          </w:tcPr>
          <w:p w14:paraId="54F0EBA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webhooks</w:t>
            </w:r>
          </w:p>
        </w:tc>
      </w:tr>
      <w:tr w14:paraId="13FC9242">
        <w:tc>
          <w:tcPr>
            <w:tcW w:w="2608" w:type="dxa"/>
            <w:tcBorders>
              <w:top w:val="single" w:color="auto" w:sz="4" w:space="0"/>
              <w:left w:val="single" w:color="auto" w:sz="4" w:space="0"/>
              <w:bottom w:val="single" w:color="auto" w:sz="4" w:space="0"/>
              <w:right w:val="single" w:color="auto" w:sz="4" w:space="0"/>
            </w:tcBorders>
            <w:vAlign w:val="center"/>
          </w:tcPr>
          <w:p w14:paraId="7127EA5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ЮKassa</w:t>
            </w:r>
          </w:p>
        </w:tc>
        <w:tc>
          <w:tcPr>
            <w:tcW w:w="3685" w:type="dxa"/>
            <w:tcBorders>
              <w:top w:val="single" w:color="auto" w:sz="4" w:space="0"/>
              <w:left w:val="single" w:color="auto" w:sz="4" w:space="0"/>
              <w:bottom w:val="single" w:color="auto" w:sz="4" w:space="0"/>
              <w:right w:val="single" w:color="auto" w:sz="4" w:space="0"/>
            </w:tcBorders>
            <w:vAlign w:val="center"/>
          </w:tcPr>
          <w:p w14:paraId="235549F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Приём карточных платежей</w:t>
            </w:r>
          </w:p>
        </w:tc>
        <w:tc>
          <w:tcPr>
            <w:tcW w:w="3061" w:type="dxa"/>
            <w:tcBorders>
              <w:top w:val="single" w:color="auto" w:sz="4" w:space="0"/>
              <w:left w:val="single" w:color="auto" w:sz="4" w:space="0"/>
              <w:bottom w:val="single" w:color="auto" w:sz="4" w:space="0"/>
              <w:right w:val="single" w:color="auto" w:sz="4" w:space="0"/>
            </w:tcBorders>
            <w:vAlign w:val="center"/>
          </w:tcPr>
          <w:p w14:paraId="1A03847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webhooks</w:t>
            </w:r>
          </w:p>
        </w:tc>
      </w:tr>
      <w:tr w14:paraId="54AB8FE1">
        <w:tc>
          <w:tcPr>
            <w:tcW w:w="2608" w:type="dxa"/>
            <w:tcBorders>
              <w:top w:val="single" w:color="auto" w:sz="4" w:space="0"/>
              <w:left w:val="single" w:color="auto" w:sz="4" w:space="0"/>
              <w:bottom w:val="single" w:color="auto" w:sz="4" w:space="0"/>
              <w:right w:val="single" w:color="auto" w:sz="4" w:space="0"/>
            </w:tcBorders>
            <w:vAlign w:val="center"/>
          </w:tcPr>
          <w:p w14:paraId="5B83B21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CloudPayments</w:t>
            </w:r>
          </w:p>
        </w:tc>
        <w:tc>
          <w:tcPr>
            <w:tcW w:w="3685" w:type="dxa"/>
            <w:tcBorders>
              <w:top w:val="single" w:color="auto" w:sz="4" w:space="0"/>
              <w:left w:val="single" w:color="auto" w:sz="4" w:space="0"/>
              <w:bottom w:val="single" w:color="auto" w:sz="4" w:space="0"/>
              <w:right w:val="single" w:color="auto" w:sz="4" w:space="0"/>
            </w:tcBorders>
            <w:vAlign w:val="center"/>
          </w:tcPr>
          <w:p w14:paraId="6653D41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Резервный эквайринг</w:t>
            </w:r>
          </w:p>
        </w:tc>
        <w:tc>
          <w:tcPr>
            <w:tcW w:w="3061" w:type="dxa"/>
            <w:tcBorders>
              <w:top w:val="single" w:color="auto" w:sz="4" w:space="0"/>
              <w:left w:val="single" w:color="auto" w:sz="4" w:space="0"/>
              <w:bottom w:val="single" w:color="auto" w:sz="4" w:space="0"/>
              <w:right w:val="single" w:color="auto" w:sz="4" w:space="0"/>
            </w:tcBorders>
            <w:vAlign w:val="center"/>
          </w:tcPr>
          <w:p w14:paraId="38FCC8A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webhooks</w:t>
            </w:r>
          </w:p>
        </w:tc>
      </w:tr>
      <w:tr w14:paraId="60272CD9">
        <w:tc>
          <w:tcPr>
            <w:tcW w:w="2608" w:type="dxa"/>
            <w:tcBorders>
              <w:top w:val="single" w:color="auto" w:sz="4" w:space="0"/>
              <w:left w:val="single" w:color="auto" w:sz="4" w:space="0"/>
              <w:bottom w:val="single" w:color="auto" w:sz="4" w:space="0"/>
              <w:right w:val="single" w:color="auto" w:sz="4" w:space="0"/>
            </w:tcBorders>
            <w:vAlign w:val="center"/>
          </w:tcPr>
          <w:p w14:paraId="54BB8E5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SMSC</w:t>
            </w:r>
          </w:p>
        </w:tc>
        <w:tc>
          <w:tcPr>
            <w:tcW w:w="3685" w:type="dxa"/>
            <w:tcBorders>
              <w:top w:val="single" w:color="auto" w:sz="4" w:space="0"/>
              <w:left w:val="single" w:color="auto" w:sz="4" w:space="0"/>
              <w:bottom w:val="single" w:color="auto" w:sz="4" w:space="0"/>
              <w:right w:val="single" w:color="auto" w:sz="4" w:space="0"/>
            </w:tcBorders>
            <w:vAlign w:val="center"/>
          </w:tcPr>
          <w:p w14:paraId="3A4FA2A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Доставка SMS-сообщений</w:t>
            </w:r>
          </w:p>
        </w:tc>
        <w:tc>
          <w:tcPr>
            <w:tcW w:w="3061" w:type="dxa"/>
            <w:tcBorders>
              <w:top w:val="single" w:color="auto" w:sz="4" w:space="0"/>
              <w:left w:val="single" w:color="auto" w:sz="4" w:space="0"/>
              <w:bottom w:val="single" w:color="auto" w:sz="4" w:space="0"/>
              <w:right w:val="single" w:color="auto" w:sz="4" w:space="0"/>
            </w:tcBorders>
            <w:vAlign w:val="center"/>
          </w:tcPr>
          <w:p w14:paraId="1C1EAED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HTTP API, отложенные статусы</w:t>
            </w:r>
          </w:p>
        </w:tc>
      </w:tr>
      <w:tr w14:paraId="473189A0">
        <w:tc>
          <w:tcPr>
            <w:tcW w:w="2608" w:type="dxa"/>
            <w:tcBorders>
              <w:top w:val="single" w:color="auto" w:sz="4" w:space="0"/>
              <w:left w:val="single" w:color="auto" w:sz="4" w:space="0"/>
              <w:bottom w:val="single" w:color="auto" w:sz="4" w:space="0"/>
              <w:right w:val="single" w:color="auto" w:sz="4" w:space="0"/>
            </w:tcBorders>
            <w:vAlign w:val="center"/>
          </w:tcPr>
          <w:p w14:paraId="59F0757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Firebase Cloud Messaging</w:t>
            </w:r>
          </w:p>
        </w:tc>
        <w:tc>
          <w:tcPr>
            <w:tcW w:w="3685" w:type="dxa"/>
            <w:tcBorders>
              <w:top w:val="single" w:color="auto" w:sz="4" w:space="0"/>
              <w:left w:val="single" w:color="auto" w:sz="4" w:space="0"/>
              <w:bottom w:val="single" w:color="auto" w:sz="4" w:space="0"/>
              <w:right w:val="single" w:color="auto" w:sz="4" w:space="0"/>
            </w:tcBorders>
            <w:vAlign w:val="center"/>
          </w:tcPr>
          <w:p w14:paraId="78D85BD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Push-уведомления Android</w:t>
            </w:r>
          </w:p>
        </w:tc>
        <w:tc>
          <w:tcPr>
            <w:tcW w:w="3061" w:type="dxa"/>
            <w:tcBorders>
              <w:top w:val="single" w:color="auto" w:sz="4" w:space="0"/>
              <w:left w:val="single" w:color="auto" w:sz="4" w:space="0"/>
              <w:bottom w:val="single" w:color="auto" w:sz="4" w:space="0"/>
              <w:right w:val="single" w:color="auto" w:sz="4" w:space="0"/>
            </w:tcBorders>
            <w:vAlign w:val="center"/>
          </w:tcPr>
          <w:p w14:paraId="1F48CEC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SDK, серверные вызовы</w:t>
            </w:r>
          </w:p>
        </w:tc>
      </w:tr>
      <w:tr w14:paraId="472F5B5B">
        <w:tc>
          <w:tcPr>
            <w:tcW w:w="2608" w:type="dxa"/>
            <w:tcBorders>
              <w:top w:val="single" w:color="auto" w:sz="4" w:space="0"/>
              <w:left w:val="single" w:color="auto" w:sz="4" w:space="0"/>
              <w:bottom w:val="single" w:color="auto" w:sz="4" w:space="0"/>
              <w:right w:val="single" w:color="auto" w:sz="4" w:space="0"/>
            </w:tcBorders>
            <w:vAlign w:val="center"/>
          </w:tcPr>
          <w:p w14:paraId="5279971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Apple Push Notification Service</w:t>
            </w:r>
          </w:p>
        </w:tc>
        <w:tc>
          <w:tcPr>
            <w:tcW w:w="3685" w:type="dxa"/>
            <w:tcBorders>
              <w:top w:val="single" w:color="auto" w:sz="4" w:space="0"/>
              <w:left w:val="single" w:color="auto" w:sz="4" w:space="0"/>
              <w:bottom w:val="single" w:color="auto" w:sz="4" w:space="0"/>
              <w:right w:val="single" w:color="auto" w:sz="4" w:space="0"/>
            </w:tcBorders>
            <w:vAlign w:val="center"/>
          </w:tcPr>
          <w:p w14:paraId="1DA630A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Push-уведомления iOS</w:t>
            </w:r>
          </w:p>
        </w:tc>
        <w:tc>
          <w:tcPr>
            <w:tcW w:w="3061" w:type="dxa"/>
            <w:tcBorders>
              <w:top w:val="single" w:color="auto" w:sz="4" w:space="0"/>
              <w:left w:val="single" w:color="auto" w:sz="4" w:space="0"/>
              <w:bottom w:val="single" w:color="auto" w:sz="4" w:space="0"/>
              <w:right w:val="single" w:color="auto" w:sz="4" w:space="0"/>
            </w:tcBorders>
            <w:vAlign w:val="center"/>
          </w:tcPr>
          <w:p w14:paraId="0BA4AA8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HTTP/2 с сертификатной аутентификацией</w:t>
            </w:r>
          </w:p>
        </w:tc>
      </w:tr>
      <w:tr w14:paraId="5A18EF76">
        <w:tc>
          <w:tcPr>
            <w:tcW w:w="2608" w:type="dxa"/>
            <w:tcBorders>
              <w:top w:val="single" w:color="auto" w:sz="4" w:space="0"/>
              <w:left w:val="single" w:color="auto" w:sz="4" w:space="0"/>
              <w:bottom w:val="single" w:color="auto" w:sz="4" w:space="0"/>
              <w:right w:val="single" w:color="auto" w:sz="4" w:space="0"/>
            </w:tcBorders>
            <w:vAlign w:val="center"/>
          </w:tcPr>
          <w:p w14:paraId="7ED0891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ЭДО Диадок</w:t>
            </w:r>
          </w:p>
        </w:tc>
        <w:tc>
          <w:tcPr>
            <w:tcW w:w="3685" w:type="dxa"/>
            <w:tcBorders>
              <w:top w:val="single" w:color="auto" w:sz="4" w:space="0"/>
              <w:left w:val="single" w:color="auto" w:sz="4" w:space="0"/>
              <w:bottom w:val="single" w:color="auto" w:sz="4" w:space="0"/>
              <w:right w:val="single" w:color="auto" w:sz="4" w:space="0"/>
            </w:tcBorders>
            <w:vAlign w:val="center"/>
          </w:tcPr>
          <w:p w14:paraId="21296D0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Электронный документооборот</w:t>
            </w:r>
          </w:p>
        </w:tc>
        <w:tc>
          <w:tcPr>
            <w:tcW w:w="3061" w:type="dxa"/>
            <w:tcBorders>
              <w:top w:val="single" w:color="auto" w:sz="4" w:space="0"/>
              <w:left w:val="single" w:color="auto" w:sz="4" w:space="0"/>
              <w:bottom w:val="single" w:color="auto" w:sz="4" w:space="0"/>
              <w:right w:val="single" w:color="auto" w:sz="4" w:space="0"/>
            </w:tcBorders>
            <w:vAlign w:val="center"/>
          </w:tcPr>
          <w:p w14:paraId="4D47E49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SOAP API, сертификат УКЭП</w:t>
            </w:r>
          </w:p>
        </w:tc>
      </w:tr>
      <w:tr w14:paraId="5459E619">
        <w:tc>
          <w:tcPr>
            <w:tcW w:w="2608" w:type="dxa"/>
            <w:tcBorders>
              <w:top w:val="single" w:color="auto" w:sz="4" w:space="0"/>
              <w:left w:val="single" w:color="auto" w:sz="4" w:space="0"/>
              <w:bottom w:val="single" w:color="auto" w:sz="4" w:space="0"/>
              <w:right w:val="single" w:color="auto" w:sz="4" w:space="0"/>
            </w:tcBorders>
            <w:vAlign w:val="center"/>
          </w:tcPr>
          <w:p w14:paraId="09A758B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ЭДО СБИС</w:t>
            </w:r>
          </w:p>
        </w:tc>
        <w:tc>
          <w:tcPr>
            <w:tcW w:w="3685" w:type="dxa"/>
            <w:tcBorders>
              <w:top w:val="single" w:color="auto" w:sz="4" w:space="0"/>
              <w:left w:val="single" w:color="auto" w:sz="4" w:space="0"/>
              <w:bottom w:val="single" w:color="auto" w:sz="4" w:space="0"/>
              <w:right w:val="single" w:color="auto" w:sz="4" w:space="0"/>
            </w:tcBorders>
            <w:vAlign w:val="center"/>
          </w:tcPr>
          <w:p w14:paraId="7403059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Электронный документооборот</w:t>
            </w:r>
          </w:p>
        </w:tc>
        <w:tc>
          <w:tcPr>
            <w:tcW w:w="3061" w:type="dxa"/>
            <w:tcBorders>
              <w:top w:val="single" w:color="auto" w:sz="4" w:space="0"/>
              <w:left w:val="single" w:color="auto" w:sz="4" w:space="0"/>
              <w:bottom w:val="single" w:color="auto" w:sz="4" w:space="0"/>
              <w:right w:val="single" w:color="auto" w:sz="4" w:space="0"/>
            </w:tcBorders>
            <w:vAlign w:val="center"/>
          </w:tcPr>
          <w:p w14:paraId="32FAA35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сертификат УКЭП</w:t>
            </w:r>
          </w:p>
        </w:tc>
      </w:tr>
      <w:tr w14:paraId="6DA560B2">
        <w:tc>
          <w:tcPr>
            <w:tcW w:w="2608" w:type="dxa"/>
            <w:tcBorders>
              <w:top w:val="single" w:color="auto" w:sz="4" w:space="0"/>
              <w:left w:val="single" w:color="auto" w:sz="4" w:space="0"/>
              <w:bottom w:val="single" w:color="auto" w:sz="4" w:space="0"/>
              <w:right w:val="single" w:color="auto" w:sz="4" w:space="0"/>
            </w:tcBorders>
            <w:vAlign w:val="center"/>
          </w:tcPr>
          <w:p w14:paraId="17DD399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ЕСИА (Госуслуги)</w:t>
            </w:r>
          </w:p>
        </w:tc>
        <w:tc>
          <w:tcPr>
            <w:tcW w:w="3685" w:type="dxa"/>
            <w:tcBorders>
              <w:top w:val="single" w:color="auto" w:sz="4" w:space="0"/>
              <w:left w:val="single" w:color="auto" w:sz="4" w:space="0"/>
              <w:bottom w:val="single" w:color="auto" w:sz="4" w:space="0"/>
              <w:right w:val="single" w:color="auto" w:sz="4" w:space="0"/>
            </w:tcBorders>
            <w:vAlign w:val="center"/>
          </w:tcPr>
          <w:p w14:paraId="1CF6BD3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Верификация пациента</w:t>
            </w:r>
          </w:p>
        </w:tc>
        <w:tc>
          <w:tcPr>
            <w:tcW w:w="3061" w:type="dxa"/>
            <w:tcBorders>
              <w:top w:val="single" w:color="auto" w:sz="4" w:space="0"/>
              <w:left w:val="single" w:color="auto" w:sz="4" w:space="0"/>
              <w:bottom w:val="single" w:color="auto" w:sz="4" w:space="0"/>
              <w:right w:val="single" w:color="auto" w:sz="4" w:space="0"/>
            </w:tcBorders>
            <w:vAlign w:val="center"/>
          </w:tcPr>
          <w:p w14:paraId="40C556F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OAuth 2.0 [9], OpenID Connect</w:t>
            </w:r>
          </w:p>
        </w:tc>
      </w:tr>
      <w:tr w14:paraId="5259447D">
        <w:tc>
          <w:tcPr>
            <w:tcW w:w="2608" w:type="dxa"/>
            <w:tcBorders>
              <w:top w:val="single" w:color="auto" w:sz="4" w:space="0"/>
              <w:left w:val="single" w:color="auto" w:sz="4" w:space="0"/>
              <w:bottom w:val="single" w:color="auto" w:sz="4" w:space="0"/>
              <w:right w:val="single" w:color="auto" w:sz="4" w:space="0"/>
            </w:tcBorders>
            <w:vAlign w:val="center"/>
          </w:tcPr>
          <w:p w14:paraId="7C7B843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МИС 1С-Стоматология</w:t>
            </w:r>
          </w:p>
        </w:tc>
        <w:tc>
          <w:tcPr>
            <w:tcW w:w="3685" w:type="dxa"/>
            <w:tcBorders>
              <w:top w:val="single" w:color="auto" w:sz="4" w:space="0"/>
              <w:left w:val="single" w:color="auto" w:sz="4" w:space="0"/>
              <w:bottom w:val="single" w:color="auto" w:sz="4" w:space="0"/>
              <w:right w:val="single" w:color="auto" w:sz="4" w:space="0"/>
            </w:tcBorders>
            <w:vAlign w:val="center"/>
          </w:tcPr>
          <w:p w14:paraId="298D613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Расписание врачей, визиты</w:t>
            </w:r>
          </w:p>
        </w:tc>
        <w:tc>
          <w:tcPr>
            <w:tcW w:w="3061" w:type="dxa"/>
            <w:tcBorders>
              <w:top w:val="single" w:color="auto" w:sz="4" w:space="0"/>
              <w:left w:val="single" w:color="auto" w:sz="4" w:space="0"/>
              <w:bottom w:val="single" w:color="auto" w:sz="4" w:space="0"/>
              <w:right w:val="single" w:color="auto" w:sz="4" w:space="0"/>
            </w:tcBorders>
            <w:vAlign w:val="center"/>
          </w:tcPr>
          <w:p w14:paraId="2FD67BD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поставщика</w:t>
            </w:r>
          </w:p>
        </w:tc>
      </w:tr>
      <w:tr w14:paraId="3DE6D271">
        <w:tc>
          <w:tcPr>
            <w:tcW w:w="2608" w:type="dxa"/>
            <w:tcBorders>
              <w:top w:val="single" w:color="auto" w:sz="4" w:space="0"/>
              <w:left w:val="single" w:color="auto" w:sz="4" w:space="0"/>
              <w:bottom w:val="single" w:color="auto" w:sz="4" w:space="0"/>
              <w:right w:val="single" w:color="auto" w:sz="4" w:space="0"/>
            </w:tcBorders>
            <w:vAlign w:val="center"/>
          </w:tcPr>
          <w:p w14:paraId="45A54C6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МИС IDENT</w:t>
            </w:r>
          </w:p>
        </w:tc>
        <w:tc>
          <w:tcPr>
            <w:tcW w:w="3685" w:type="dxa"/>
            <w:tcBorders>
              <w:top w:val="single" w:color="auto" w:sz="4" w:space="0"/>
              <w:left w:val="single" w:color="auto" w:sz="4" w:space="0"/>
              <w:bottom w:val="single" w:color="auto" w:sz="4" w:space="0"/>
              <w:right w:val="single" w:color="auto" w:sz="4" w:space="0"/>
            </w:tcBorders>
            <w:vAlign w:val="center"/>
          </w:tcPr>
          <w:p w14:paraId="7170A87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Расписание врачей, визиты</w:t>
            </w:r>
          </w:p>
        </w:tc>
        <w:tc>
          <w:tcPr>
            <w:tcW w:w="3061" w:type="dxa"/>
            <w:tcBorders>
              <w:top w:val="single" w:color="auto" w:sz="4" w:space="0"/>
              <w:left w:val="single" w:color="auto" w:sz="4" w:space="0"/>
              <w:bottom w:val="single" w:color="auto" w:sz="4" w:space="0"/>
              <w:right w:val="single" w:color="auto" w:sz="4" w:space="0"/>
            </w:tcBorders>
            <w:vAlign w:val="center"/>
          </w:tcPr>
          <w:p w14:paraId="09FCAF8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поставщика</w:t>
            </w:r>
          </w:p>
        </w:tc>
      </w:tr>
      <w:tr w14:paraId="494D25CC">
        <w:tc>
          <w:tcPr>
            <w:tcW w:w="2608" w:type="dxa"/>
            <w:tcBorders>
              <w:top w:val="single" w:color="auto" w:sz="4" w:space="0"/>
              <w:left w:val="single" w:color="auto" w:sz="4" w:space="0"/>
              <w:bottom w:val="single" w:color="auto" w:sz="4" w:space="0"/>
              <w:right w:val="single" w:color="auto" w:sz="4" w:space="0"/>
            </w:tcBorders>
            <w:vAlign w:val="center"/>
          </w:tcPr>
          <w:p w14:paraId="5B24115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МИС StomX</w:t>
            </w:r>
          </w:p>
        </w:tc>
        <w:tc>
          <w:tcPr>
            <w:tcW w:w="3685" w:type="dxa"/>
            <w:tcBorders>
              <w:top w:val="single" w:color="auto" w:sz="4" w:space="0"/>
              <w:left w:val="single" w:color="auto" w:sz="4" w:space="0"/>
              <w:bottom w:val="single" w:color="auto" w:sz="4" w:space="0"/>
              <w:right w:val="single" w:color="auto" w:sz="4" w:space="0"/>
            </w:tcBorders>
            <w:vAlign w:val="center"/>
          </w:tcPr>
          <w:p w14:paraId="11B9293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Расписание врачей, визиты</w:t>
            </w:r>
          </w:p>
        </w:tc>
        <w:tc>
          <w:tcPr>
            <w:tcW w:w="3061" w:type="dxa"/>
            <w:tcBorders>
              <w:top w:val="single" w:color="auto" w:sz="4" w:space="0"/>
              <w:left w:val="single" w:color="auto" w:sz="4" w:space="0"/>
              <w:bottom w:val="single" w:color="auto" w:sz="4" w:space="0"/>
              <w:right w:val="single" w:color="auto" w:sz="4" w:space="0"/>
            </w:tcBorders>
            <w:vAlign w:val="center"/>
          </w:tcPr>
          <w:p w14:paraId="076F063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REST API поставщика</w:t>
            </w:r>
          </w:p>
        </w:tc>
      </w:tr>
      <w:tr w14:paraId="4370E6B9">
        <w:tc>
          <w:tcPr>
            <w:tcW w:w="2608" w:type="dxa"/>
            <w:tcBorders>
              <w:top w:val="single" w:color="auto" w:sz="4" w:space="0"/>
              <w:left w:val="single" w:color="auto" w:sz="4" w:space="0"/>
              <w:bottom w:val="single" w:color="auto" w:sz="4" w:space="0"/>
              <w:right w:val="single" w:color="auto" w:sz="4" w:space="0"/>
            </w:tcBorders>
            <w:vAlign w:val="center"/>
          </w:tcPr>
          <w:p w14:paraId="2FAFCC1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Шина N3.Health</w:t>
            </w:r>
          </w:p>
        </w:tc>
        <w:tc>
          <w:tcPr>
            <w:tcW w:w="3685" w:type="dxa"/>
            <w:tcBorders>
              <w:top w:val="single" w:color="auto" w:sz="4" w:space="0"/>
              <w:left w:val="single" w:color="auto" w:sz="4" w:space="0"/>
              <w:bottom w:val="single" w:color="auto" w:sz="4" w:space="0"/>
              <w:right w:val="single" w:color="auto" w:sz="4" w:space="0"/>
            </w:tcBorders>
            <w:vAlign w:val="center"/>
          </w:tcPr>
          <w:p w14:paraId="0635650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Передача сведений о факте оказания медицинской помощи</w:t>
            </w:r>
          </w:p>
        </w:tc>
        <w:tc>
          <w:tcPr>
            <w:tcW w:w="3061" w:type="dxa"/>
            <w:tcBorders>
              <w:top w:val="single" w:color="auto" w:sz="4" w:space="0"/>
              <w:left w:val="single" w:color="auto" w:sz="4" w:space="0"/>
              <w:bottom w:val="single" w:color="auto" w:sz="4" w:space="0"/>
              <w:right w:val="single" w:color="auto" w:sz="4" w:space="0"/>
            </w:tcBorders>
            <w:vAlign w:val="center"/>
          </w:tcPr>
          <w:p w14:paraId="49725D4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ЕГИСЗ-совместимый шлюз</w:t>
            </w:r>
          </w:p>
        </w:tc>
      </w:tr>
    </w:tbl>
    <w:p w14:paraId="5D502C0F">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Правовая рамка продукта опирается на три основных акта: 152-ФЗ «О персональных данных» [10], 323-ФЗ «Об основах охраны здоровья граждан» [11] и статью 219 Налогового кодекса [12]. Требования к материалам о медицинских услугах задаёт статья 24 Федерального закона «О рекламе» [13]. Нормативные требования и способы их закрытия в продукте сведены в таблицу 40.</w:t>
      </w:r>
    </w:p>
    <w:p w14:paraId="67B72805">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40 — Законодательные и нормативные требования</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3231"/>
        <w:gridCol w:w="3515"/>
      </w:tblGrid>
      <w:tr w14:paraId="2DB2A84F">
        <w:tc>
          <w:tcPr>
            <w:tcW w:w="2608" w:type="dxa"/>
            <w:tcBorders>
              <w:top w:val="single" w:color="auto" w:sz="4" w:space="0"/>
              <w:left w:val="single" w:color="auto" w:sz="4" w:space="0"/>
              <w:bottom w:val="single" w:color="auto" w:sz="4" w:space="0"/>
              <w:right w:val="single" w:color="auto" w:sz="4" w:space="0"/>
            </w:tcBorders>
            <w:vAlign w:val="center"/>
          </w:tcPr>
          <w:p w14:paraId="7887293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Нормативный акт</w:t>
            </w:r>
          </w:p>
        </w:tc>
        <w:tc>
          <w:tcPr>
            <w:tcW w:w="3231" w:type="dxa"/>
            <w:tcBorders>
              <w:top w:val="single" w:color="auto" w:sz="4" w:space="0"/>
              <w:left w:val="single" w:color="auto" w:sz="4" w:space="0"/>
              <w:bottom w:val="single" w:color="auto" w:sz="4" w:space="0"/>
              <w:right w:val="single" w:color="auto" w:sz="4" w:space="0"/>
            </w:tcBorders>
            <w:vAlign w:val="center"/>
          </w:tcPr>
          <w:p w14:paraId="74454EA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Требование</w:t>
            </w:r>
          </w:p>
        </w:tc>
        <w:tc>
          <w:tcPr>
            <w:tcW w:w="3515" w:type="dxa"/>
            <w:tcBorders>
              <w:top w:val="single" w:color="auto" w:sz="4" w:space="0"/>
              <w:left w:val="single" w:color="auto" w:sz="4" w:space="0"/>
              <w:bottom w:val="single" w:color="auto" w:sz="4" w:space="0"/>
              <w:right w:val="single" w:color="auto" w:sz="4" w:space="0"/>
            </w:tcBorders>
            <w:vAlign w:val="center"/>
          </w:tcPr>
          <w:p w14:paraId="21E6C8D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Как закрывается в продукте</w:t>
            </w:r>
          </w:p>
        </w:tc>
      </w:tr>
      <w:tr w14:paraId="189F1BB3">
        <w:tc>
          <w:tcPr>
            <w:tcW w:w="2608" w:type="dxa"/>
            <w:tcBorders>
              <w:top w:val="single" w:color="auto" w:sz="4" w:space="0"/>
              <w:left w:val="single" w:color="auto" w:sz="4" w:space="0"/>
              <w:bottom w:val="single" w:color="auto" w:sz="4" w:space="0"/>
              <w:right w:val="single" w:color="auto" w:sz="4" w:space="0"/>
            </w:tcBorders>
            <w:vAlign w:val="center"/>
          </w:tcPr>
          <w:p w14:paraId="39EFA2E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152-ФЗ «О персональных данных»</w:t>
            </w:r>
          </w:p>
        </w:tc>
        <w:tc>
          <w:tcPr>
            <w:tcW w:w="3231" w:type="dxa"/>
            <w:tcBorders>
              <w:top w:val="single" w:color="auto" w:sz="4" w:space="0"/>
              <w:left w:val="single" w:color="auto" w:sz="4" w:space="0"/>
              <w:bottom w:val="single" w:color="auto" w:sz="4" w:space="0"/>
              <w:right w:val="single" w:color="auto" w:sz="4" w:space="0"/>
            </w:tcBorders>
            <w:vAlign w:val="center"/>
          </w:tcPr>
          <w:p w14:paraId="39489D2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Обработка и хранение персональных данных на серверах на территории России, согласие пациента, меры защиты уровня УЗ-3.</w:t>
            </w:r>
          </w:p>
        </w:tc>
        <w:tc>
          <w:tcPr>
            <w:tcW w:w="3515" w:type="dxa"/>
            <w:tcBorders>
              <w:top w:val="single" w:color="auto" w:sz="4" w:space="0"/>
              <w:left w:val="single" w:color="auto" w:sz="4" w:space="0"/>
              <w:bottom w:val="single" w:color="auto" w:sz="4" w:space="0"/>
              <w:right w:val="single" w:color="auto" w:sz="4" w:space="0"/>
            </w:tcBorders>
            <w:vAlign w:val="center"/>
          </w:tcPr>
          <w:p w14:paraId="31C2C8D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Инфраструктура размещена в </w:t>
            </w:r>
            <w:r>
              <w:rPr>
                <w:rFonts w:ascii="Times New Roman" w:hAnsi="Times New Roman" w:eastAsia="Times New Roman" w:cs="Times New Roman"/>
                <w:color w:val="000000"/>
                <w:kern w:val="0"/>
                <w:sz w:val="24"/>
                <w:szCs w:val="24"/>
                <w:lang w:val="en-US" w:eastAsia="ru-RU"/>
                <w14:ligatures w14:val="none"/>
              </w:rPr>
              <w:t>Yandex</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Cloud</w:t>
            </w:r>
            <w:r>
              <w:rPr>
                <w:rFonts w:ascii="Times New Roman" w:hAnsi="Times New Roman" w:eastAsia="Times New Roman" w:cs="Times New Roman"/>
                <w:color w:val="000000"/>
                <w:kern w:val="0"/>
                <w:sz w:val="24"/>
                <w:szCs w:val="24"/>
                <w:lang w:eastAsia="ru-RU"/>
                <w14:ligatures w14:val="none"/>
              </w:rPr>
              <w:t xml:space="preserve"> (регион Санкт-Петербург). Получение и отзыв согласий – через экран в приложении и журнал событий. Меры защиты УЗ-3 реализованы в подразделе об информационной безопасности.</w:t>
            </w:r>
          </w:p>
        </w:tc>
      </w:tr>
      <w:tr w14:paraId="36DAAFF3">
        <w:tc>
          <w:tcPr>
            <w:tcW w:w="2608" w:type="dxa"/>
            <w:tcBorders>
              <w:top w:val="single" w:color="auto" w:sz="4" w:space="0"/>
              <w:left w:val="single" w:color="auto" w:sz="4" w:space="0"/>
              <w:bottom w:val="single" w:color="auto" w:sz="4" w:space="0"/>
              <w:right w:val="single" w:color="auto" w:sz="4" w:space="0"/>
            </w:tcBorders>
            <w:vAlign w:val="center"/>
          </w:tcPr>
          <w:p w14:paraId="2AF65BB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323-ФЗ «Об основах охраны здоровья граждан»</w:t>
            </w:r>
          </w:p>
        </w:tc>
        <w:tc>
          <w:tcPr>
            <w:tcW w:w="3231" w:type="dxa"/>
            <w:tcBorders>
              <w:top w:val="single" w:color="auto" w:sz="4" w:space="0"/>
              <w:left w:val="single" w:color="auto" w:sz="4" w:space="0"/>
              <w:bottom w:val="single" w:color="auto" w:sz="4" w:space="0"/>
              <w:right w:val="single" w:color="auto" w:sz="4" w:space="0"/>
            </w:tcBorders>
            <w:vAlign w:val="center"/>
          </w:tcPr>
          <w:p w14:paraId="48299CC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Сохранение врачебной тайны, ограничение доступа к данным о здоровье.</w:t>
            </w:r>
          </w:p>
        </w:tc>
        <w:tc>
          <w:tcPr>
            <w:tcW w:w="3515" w:type="dxa"/>
            <w:tcBorders>
              <w:top w:val="single" w:color="auto" w:sz="4" w:space="0"/>
              <w:left w:val="single" w:color="auto" w:sz="4" w:space="0"/>
              <w:bottom w:val="single" w:color="auto" w:sz="4" w:space="0"/>
              <w:right w:val="single" w:color="auto" w:sz="4" w:space="0"/>
            </w:tcBorders>
            <w:vAlign w:val="center"/>
          </w:tcPr>
          <w:p w14:paraId="7F71411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Данные о диагнозах и назначениях шифруются на уровне приложения (</w:t>
            </w:r>
            <w:r>
              <w:rPr>
                <w:rFonts w:ascii="Times New Roman" w:hAnsi="Times New Roman" w:eastAsia="Times New Roman" w:cs="Times New Roman"/>
                <w:color w:val="000000"/>
                <w:kern w:val="0"/>
                <w:sz w:val="24"/>
                <w:szCs w:val="24"/>
                <w:lang w:val="en-US" w:eastAsia="ru-RU"/>
                <w14:ligatures w14:val="none"/>
              </w:rPr>
              <w:t>pgcrypto</w:t>
            </w:r>
            <w:r>
              <w:rPr>
                <w:rFonts w:ascii="Times New Roman" w:hAnsi="Times New Roman" w:eastAsia="Times New Roman" w:cs="Times New Roman"/>
                <w:color w:val="000000"/>
                <w:kern w:val="0"/>
                <w:sz w:val="24"/>
                <w:szCs w:val="24"/>
                <w:lang w:eastAsia="ru-RU"/>
                <w14:ligatures w14:val="none"/>
              </w:rPr>
              <w:t xml:space="preserve">). Доступ врачей ограничен политиками </w:t>
            </w:r>
            <w:r>
              <w:rPr>
                <w:rFonts w:ascii="Times New Roman" w:hAnsi="Times New Roman" w:eastAsia="Times New Roman" w:cs="Times New Roman"/>
                <w:color w:val="000000"/>
                <w:kern w:val="0"/>
                <w:sz w:val="24"/>
                <w:szCs w:val="24"/>
                <w:lang w:val="en-US" w:eastAsia="ru-RU"/>
                <w14:ligatures w14:val="none"/>
              </w:rPr>
              <w:t>Row</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Level</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Security</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PostgreSQL</w:t>
            </w:r>
            <w:r>
              <w:rPr>
                <w:rFonts w:ascii="Times New Roman" w:hAnsi="Times New Roman" w:eastAsia="Times New Roman" w:cs="Times New Roman"/>
                <w:color w:val="000000"/>
                <w:kern w:val="0"/>
                <w:sz w:val="24"/>
                <w:szCs w:val="24"/>
                <w:lang w:eastAsia="ru-RU"/>
                <w14:ligatures w14:val="none"/>
              </w:rPr>
              <w:t xml:space="preserve"> по принципу наименьших привилегий.</w:t>
            </w:r>
          </w:p>
        </w:tc>
      </w:tr>
      <w:tr w14:paraId="276F208D">
        <w:tc>
          <w:tcPr>
            <w:tcW w:w="2608" w:type="dxa"/>
            <w:tcBorders>
              <w:top w:val="single" w:color="auto" w:sz="4" w:space="0"/>
              <w:left w:val="single" w:color="auto" w:sz="4" w:space="0"/>
              <w:bottom w:val="single" w:color="auto" w:sz="4" w:space="0"/>
              <w:right w:val="single" w:color="auto" w:sz="4" w:space="0"/>
            </w:tcBorders>
            <w:vAlign w:val="center"/>
          </w:tcPr>
          <w:p w14:paraId="7E9CD7B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Статья 219 НК РФ</w:t>
            </w:r>
          </w:p>
        </w:tc>
        <w:tc>
          <w:tcPr>
            <w:tcW w:w="3231" w:type="dxa"/>
            <w:tcBorders>
              <w:top w:val="single" w:color="auto" w:sz="4" w:space="0"/>
              <w:left w:val="single" w:color="auto" w:sz="4" w:space="0"/>
              <w:bottom w:val="single" w:color="auto" w:sz="4" w:space="0"/>
              <w:right w:val="single" w:color="auto" w:sz="4" w:space="0"/>
            </w:tcBorders>
            <w:vAlign w:val="center"/>
          </w:tcPr>
          <w:p w14:paraId="620C6A8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Выдача справки об оплате медицинских услуг для социального налогового вычета.</w:t>
            </w:r>
          </w:p>
        </w:tc>
        <w:tc>
          <w:tcPr>
            <w:tcW w:w="3515" w:type="dxa"/>
            <w:tcBorders>
              <w:top w:val="single" w:color="auto" w:sz="4" w:space="0"/>
              <w:left w:val="single" w:color="auto" w:sz="4" w:space="0"/>
              <w:bottom w:val="single" w:color="auto" w:sz="4" w:space="0"/>
              <w:right w:val="single" w:color="auto" w:sz="4" w:space="0"/>
            </w:tcBorders>
            <w:vAlign w:val="center"/>
          </w:tcPr>
          <w:p w14:paraId="115FE8B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Форма заявки в приложении собирает период, получателя и ИНН. Справка формируется и направляется пациенту по ЭДО в течение 5 рабочих дней.</w:t>
            </w:r>
          </w:p>
        </w:tc>
      </w:tr>
      <w:tr w14:paraId="697A0210">
        <w:tc>
          <w:tcPr>
            <w:tcW w:w="2608" w:type="dxa"/>
            <w:tcBorders>
              <w:top w:val="single" w:color="auto" w:sz="4" w:space="0"/>
              <w:left w:val="single" w:color="auto" w:sz="4" w:space="0"/>
              <w:bottom w:val="single" w:color="auto" w:sz="4" w:space="0"/>
              <w:right w:val="single" w:color="auto" w:sz="4" w:space="0"/>
            </w:tcBorders>
            <w:vAlign w:val="center"/>
          </w:tcPr>
          <w:p w14:paraId="6D408EE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Статья 24 ФЗ «О рекламе»</w:t>
            </w:r>
          </w:p>
        </w:tc>
        <w:tc>
          <w:tcPr>
            <w:tcW w:w="3231" w:type="dxa"/>
            <w:tcBorders>
              <w:top w:val="single" w:color="auto" w:sz="4" w:space="0"/>
              <w:left w:val="single" w:color="auto" w:sz="4" w:space="0"/>
              <w:bottom w:val="single" w:color="auto" w:sz="4" w:space="0"/>
              <w:right w:val="single" w:color="auto" w:sz="4" w:space="0"/>
            </w:tcBorders>
            <w:vAlign w:val="center"/>
          </w:tcPr>
          <w:p w14:paraId="60B7DB6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Требования к рекламе медицинских услуг, запрет гарантий выздоровления и сравнений с конкурентами.</w:t>
            </w:r>
          </w:p>
        </w:tc>
        <w:tc>
          <w:tcPr>
            <w:tcW w:w="3515" w:type="dxa"/>
            <w:tcBorders>
              <w:top w:val="single" w:color="auto" w:sz="4" w:space="0"/>
              <w:left w:val="single" w:color="auto" w:sz="4" w:space="0"/>
              <w:bottom w:val="single" w:color="auto" w:sz="4" w:space="0"/>
              <w:right w:val="single" w:color="auto" w:sz="4" w:space="0"/>
            </w:tcBorders>
            <w:vAlign w:val="center"/>
          </w:tcPr>
          <w:p w14:paraId="086A1A2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eastAsia="ru-RU"/>
                <w14:ligatures w14:val="none"/>
              </w:rPr>
              <w:t xml:space="preserve">Маркетинговые блоки приложения проходят ручной юридический </w:t>
            </w:r>
            <w:r>
              <w:rPr>
                <w:rFonts w:ascii="Times New Roman" w:hAnsi="Times New Roman" w:eastAsia="Times New Roman" w:cs="Times New Roman"/>
                <w:color w:val="000000"/>
                <w:kern w:val="0"/>
                <w:sz w:val="24"/>
                <w:szCs w:val="24"/>
                <w:lang w:val="en-US" w:eastAsia="ru-RU"/>
                <w14:ligatures w14:val="none"/>
              </w:rPr>
              <w:t>pre</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review</w:t>
            </w:r>
            <w:r>
              <w:rPr>
                <w:rFonts w:ascii="Times New Roman" w:hAnsi="Times New Roman" w:eastAsia="Times New Roman" w:cs="Times New Roman"/>
                <w:color w:val="000000"/>
                <w:kern w:val="0"/>
                <w:sz w:val="24"/>
                <w:szCs w:val="24"/>
                <w:lang w:eastAsia="ru-RU"/>
                <w14:ligatures w14:val="none"/>
              </w:rPr>
              <w:t xml:space="preserve">. </w:t>
            </w:r>
            <w:r>
              <w:rPr>
                <w:rFonts w:ascii="Times New Roman" w:hAnsi="Times New Roman" w:eastAsia="Times New Roman" w:cs="Times New Roman"/>
                <w:color w:val="000000"/>
                <w:kern w:val="0"/>
                <w:sz w:val="24"/>
                <w:szCs w:val="24"/>
                <w:lang w:val="en-US" w:eastAsia="ru-RU"/>
                <w14:ligatures w14:val="none"/>
              </w:rPr>
              <w:t>Шаблоны напоминаний и уведомлений не содержат рекламных формулировок.</w:t>
            </w:r>
          </w:p>
        </w:tc>
      </w:tr>
      <w:tr w14:paraId="582B682D">
        <w:tc>
          <w:tcPr>
            <w:tcW w:w="2608" w:type="dxa"/>
            <w:tcBorders>
              <w:top w:val="single" w:color="auto" w:sz="4" w:space="0"/>
              <w:left w:val="single" w:color="auto" w:sz="4" w:space="0"/>
              <w:bottom w:val="single" w:color="auto" w:sz="4" w:space="0"/>
              <w:right w:val="single" w:color="auto" w:sz="4" w:space="0"/>
            </w:tcBorders>
            <w:vAlign w:val="center"/>
          </w:tcPr>
          <w:p w14:paraId="08AE0CF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ГОСТ Р 7.0.100-2018</w:t>
            </w:r>
          </w:p>
        </w:tc>
        <w:tc>
          <w:tcPr>
            <w:tcW w:w="3231" w:type="dxa"/>
            <w:tcBorders>
              <w:top w:val="single" w:color="auto" w:sz="4" w:space="0"/>
              <w:left w:val="single" w:color="auto" w:sz="4" w:space="0"/>
              <w:bottom w:val="single" w:color="auto" w:sz="4" w:space="0"/>
              <w:right w:val="single" w:color="auto" w:sz="4" w:space="0"/>
            </w:tcBorders>
            <w:vAlign w:val="center"/>
          </w:tcPr>
          <w:p w14:paraId="1834EBFA">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Правила оформления библиографических записей для документации продукта.</w:t>
            </w:r>
          </w:p>
        </w:tc>
        <w:tc>
          <w:tcPr>
            <w:tcW w:w="3515" w:type="dxa"/>
            <w:tcBorders>
              <w:top w:val="single" w:color="auto" w:sz="4" w:space="0"/>
              <w:left w:val="single" w:color="auto" w:sz="4" w:space="0"/>
              <w:bottom w:val="single" w:color="auto" w:sz="4" w:space="0"/>
              <w:right w:val="single" w:color="auto" w:sz="4" w:space="0"/>
            </w:tcBorders>
            <w:vAlign w:val="center"/>
          </w:tcPr>
          <w:p w14:paraId="414D93C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Список литературы и внутренняя техническая документация оформляются по ГОСТ [14].</w:t>
            </w:r>
          </w:p>
        </w:tc>
      </w:tr>
    </w:tbl>
    <w:p w14:paraId="3CDA147D">
      <w:pPr>
        <w:spacing w:before="0" w:after="0"/>
        <w:ind w:firstLine="709"/>
        <w:jc w:val="both"/>
      </w:pPr>
      <w:r>
        <w:rPr>
          <w:rFonts w:ascii="Times New Roman" w:hAnsi="Times New Roman"/>
          <w:b w:val="0"/>
          <w:sz w:val="28"/>
        </w:rPr>
        <w:t>В составе информационной системы мобильного приложения обрабатываются персональные данные нескольких категорий. Их состав и особенности обработки приведены в таблице 41.</w:t>
      </w:r>
    </w:p>
    <w:p w14:paraId="13084345">
      <w:pPr>
        <w:spacing w:before="0" w:after="0"/>
        <w:jc w:val="left"/>
      </w:pPr>
      <w:r>
        <w:rPr>
          <w:rFonts w:ascii="Times New Roman" w:hAnsi="Times New Roman"/>
          <w:b w:val="0"/>
          <w:sz w:val="28"/>
        </w:rPr>
        <w:t>Таблица 41 — Категории обрабатываемых персональных данных</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A65942E">
        <w:tc>
          <w:tcPr>
            <w:tcW w:w="3118" w:type="dxa"/>
          </w:tcPr>
          <w:p w14:paraId="776084A7">
            <w:pPr>
              <w:spacing w:before="0" w:after="0" w:line="240" w:lineRule="auto"/>
              <w:ind w:firstLine="0"/>
              <w:jc w:val="both"/>
              <w:rPr>
                <w:kern w:val="0"/>
                <w14:ligatures w14:val="none"/>
              </w:rPr>
            </w:pPr>
            <w:r>
              <w:rPr>
                <w:rFonts w:ascii="Times New Roman" w:hAnsi="Times New Roman"/>
                <w:b/>
                <w:kern w:val="0"/>
                <w:sz w:val="24"/>
                <w14:ligatures w14:val="none"/>
              </w:rPr>
              <w:t>Категория ПДн</w:t>
            </w:r>
          </w:p>
        </w:tc>
        <w:tc>
          <w:tcPr>
            <w:tcW w:w="3118" w:type="dxa"/>
          </w:tcPr>
          <w:p w14:paraId="2BA02EC8">
            <w:pPr>
              <w:spacing w:before="0" w:after="0" w:line="240" w:lineRule="auto"/>
              <w:ind w:firstLine="0"/>
              <w:jc w:val="both"/>
              <w:rPr>
                <w:kern w:val="0"/>
                <w14:ligatures w14:val="none"/>
              </w:rPr>
            </w:pPr>
            <w:r>
              <w:rPr>
                <w:rFonts w:ascii="Times New Roman" w:hAnsi="Times New Roman"/>
                <w:b/>
                <w:kern w:val="0"/>
                <w:sz w:val="24"/>
                <w14:ligatures w14:val="none"/>
              </w:rPr>
              <w:t>Примеры обрабатываемых данных</w:t>
            </w:r>
          </w:p>
        </w:tc>
        <w:tc>
          <w:tcPr>
            <w:tcW w:w="3118" w:type="dxa"/>
          </w:tcPr>
          <w:p w14:paraId="0276AB5F">
            <w:pPr>
              <w:spacing w:before="0" w:after="0" w:line="240" w:lineRule="auto"/>
              <w:ind w:firstLine="0"/>
              <w:jc w:val="both"/>
              <w:rPr>
                <w:kern w:val="0"/>
                <w14:ligatures w14:val="none"/>
              </w:rPr>
            </w:pPr>
            <w:r>
              <w:rPr>
                <w:rFonts w:ascii="Times New Roman" w:hAnsi="Times New Roman"/>
                <w:b/>
                <w:kern w:val="0"/>
                <w:sz w:val="24"/>
                <w14:ligatures w14:val="none"/>
              </w:rPr>
              <w:t>Особенность обработки</w:t>
            </w:r>
          </w:p>
        </w:tc>
      </w:tr>
      <w:tr w14:paraId="2B171F5D">
        <w:tc>
          <w:tcPr>
            <w:tcW w:w="3118" w:type="dxa"/>
          </w:tcPr>
          <w:p w14:paraId="4EE8A4AF">
            <w:pPr>
              <w:spacing w:before="0" w:after="0" w:line="240" w:lineRule="auto"/>
              <w:ind w:firstLine="0"/>
              <w:jc w:val="both"/>
              <w:rPr>
                <w:kern w:val="0"/>
                <w14:ligatures w14:val="none"/>
              </w:rPr>
            </w:pPr>
            <w:r>
              <w:rPr>
                <w:rFonts w:ascii="Times New Roman" w:hAnsi="Times New Roman"/>
                <w:b w:val="0"/>
                <w:kern w:val="0"/>
                <w:sz w:val="24"/>
                <w14:ligatures w14:val="none"/>
              </w:rPr>
              <w:t>Общедоступные</w:t>
            </w:r>
          </w:p>
        </w:tc>
        <w:tc>
          <w:tcPr>
            <w:tcW w:w="3118" w:type="dxa"/>
          </w:tcPr>
          <w:p w14:paraId="0C3C5FE2">
            <w:pPr>
              <w:spacing w:before="0" w:after="0" w:line="240" w:lineRule="auto"/>
              <w:ind w:firstLine="0"/>
              <w:jc w:val="both"/>
              <w:rPr>
                <w:kern w:val="0"/>
                <w14:ligatures w14:val="none"/>
              </w:rPr>
            </w:pPr>
            <w:r>
              <w:rPr>
                <w:rFonts w:ascii="Times New Roman" w:hAnsi="Times New Roman"/>
                <w:b w:val="0"/>
                <w:kern w:val="0"/>
                <w:sz w:val="24"/>
                <w14:ligatures w14:val="none"/>
              </w:rPr>
              <w:t>Фамилия, имя, отчество; номер телефона; адрес электронной почты</w:t>
            </w:r>
          </w:p>
        </w:tc>
        <w:tc>
          <w:tcPr>
            <w:tcW w:w="3118" w:type="dxa"/>
          </w:tcPr>
          <w:p w14:paraId="0FC87517">
            <w:pPr>
              <w:spacing w:before="0" w:after="0" w:line="240" w:lineRule="auto"/>
              <w:ind w:firstLine="0"/>
              <w:jc w:val="both"/>
              <w:rPr>
                <w:kern w:val="0"/>
                <w14:ligatures w14:val="none"/>
              </w:rPr>
            </w:pPr>
            <w:r>
              <w:rPr>
                <w:rFonts w:ascii="Times New Roman" w:hAnsi="Times New Roman"/>
                <w:b w:val="0"/>
                <w:kern w:val="0"/>
                <w:sz w:val="24"/>
                <w14:ligatures w14:val="none"/>
              </w:rPr>
              <w:t>Обработка на основании согласия субъекта ПДн (ст. 9 ФЗ-152); данные хранятся на серверах, расположенных в Российской Федерации</w:t>
            </w:r>
          </w:p>
        </w:tc>
      </w:tr>
      <w:tr w14:paraId="7E490CBB">
        <w:tc>
          <w:tcPr>
            <w:tcW w:w="3118" w:type="dxa"/>
          </w:tcPr>
          <w:p w14:paraId="71FA390E">
            <w:pPr>
              <w:spacing w:before="0" w:after="0" w:line="240" w:lineRule="auto"/>
              <w:ind w:firstLine="0"/>
              <w:jc w:val="both"/>
              <w:rPr>
                <w:kern w:val="0"/>
                <w14:ligatures w14:val="none"/>
              </w:rPr>
            </w:pPr>
            <w:r>
              <w:rPr>
                <w:rFonts w:ascii="Times New Roman" w:hAnsi="Times New Roman"/>
                <w:b w:val="0"/>
                <w:kern w:val="0"/>
                <w:sz w:val="24"/>
                <w14:ligatures w14:val="none"/>
              </w:rPr>
              <w:t>Иные</w:t>
            </w:r>
          </w:p>
        </w:tc>
        <w:tc>
          <w:tcPr>
            <w:tcW w:w="3118" w:type="dxa"/>
          </w:tcPr>
          <w:p w14:paraId="566EBF70">
            <w:pPr>
              <w:spacing w:before="0" w:after="0" w:line="240" w:lineRule="auto"/>
              <w:ind w:firstLine="0"/>
              <w:jc w:val="both"/>
              <w:rPr>
                <w:kern w:val="0"/>
                <w14:ligatures w14:val="none"/>
              </w:rPr>
            </w:pPr>
            <w:r>
              <w:rPr>
                <w:rFonts w:ascii="Times New Roman" w:hAnsi="Times New Roman"/>
                <w:b w:val="0"/>
                <w:kern w:val="0"/>
                <w:sz w:val="24"/>
                <w14:ligatures w14:val="none"/>
              </w:rPr>
              <w:t>Дата рождения; пол; история записей на приём; сроки гарантии на проведённые работы; реквизиты чека об оплате</w:t>
            </w:r>
          </w:p>
        </w:tc>
        <w:tc>
          <w:tcPr>
            <w:tcW w:w="3118" w:type="dxa"/>
          </w:tcPr>
          <w:p w14:paraId="4B46670D">
            <w:pPr>
              <w:spacing w:before="0" w:after="0" w:line="240" w:lineRule="auto"/>
              <w:ind w:firstLine="0"/>
              <w:jc w:val="both"/>
              <w:rPr>
                <w:kern w:val="0"/>
                <w14:ligatures w14:val="none"/>
              </w:rPr>
            </w:pPr>
            <w:r>
              <w:rPr>
                <w:rFonts w:ascii="Times New Roman" w:hAnsi="Times New Roman"/>
                <w:b w:val="0"/>
                <w:kern w:val="0"/>
                <w:sz w:val="24"/>
                <w14:ligatures w14:val="none"/>
              </w:rPr>
              <w:t>Обработка на основании согласия субъекта; доступ ограничен ролевой моделью Row Level Security на уровне СУБД</w:t>
            </w:r>
          </w:p>
        </w:tc>
      </w:tr>
      <w:tr w14:paraId="3D48F5A5">
        <w:tc>
          <w:tcPr>
            <w:tcW w:w="3118" w:type="dxa"/>
          </w:tcPr>
          <w:p w14:paraId="5350C013">
            <w:pPr>
              <w:spacing w:before="0" w:after="0" w:line="240" w:lineRule="auto"/>
              <w:ind w:firstLine="0"/>
              <w:jc w:val="both"/>
              <w:rPr>
                <w:kern w:val="0"/>
                <w14:ligatures w14:val="none"/>
              </w:rPr>
            </w:pPr>
            <w:r>
              <w:rPr>
                <w:rFonts w:ascii="Times New Roman" w:hAnsi="Times New Roman"/>
                <w:b w:val="0"/>
                <w:kern w:val="0"/>
                <w:sz w:val="24"/>
                <w14:ligatures w14:val="none"/>
              </w:rPr>
              <w:t>Специальная категория — сведения о здоровье</w:t>
            </w:r>
          </w:p>
        </w:tc>
        <w:tc>
          <w:tcPr>
            <w:tcW w:w="3118" w:type="dxa"/>
          </w:tcPr>
          <w:p w14:paraId="5933306E">
            <w:pPr>
              <w:spacing w:before="0" w:after="0" w:line="240" w:lineRule="auto"/>
              <w:ind w:firstLine="0"/>
              <w:jc w:val="both"/>
              <w:rPr>
                <w:kern w:val="0"/>
                <w14:ligatures w14:val="none"/>
              </w:rPr>
            </w:pPr>
            <w:r>
              <w:rPr>
                <w:rFonts w:ascii="Times New Roman" w:hAnsi="Times New Roman"/>
                <w:b w:val="0"/>
                <w:kern w:val="0"/>
                <w:sz w:val="24"/>
                <w14:ligatures w14:val="none"/>
              </w:rPr>
              <w:t>Диагнозы; сведения о проведённых стоматологических процедурах; анамнез; результаты осмотра</w:t>
            </w:r>
          </w:p>
        </w:tc>
        <w:tc>
          <w:tcPr>
            <w:tcW w:w="3118" w:type="dxa"/>
          </w:tcPr>
          <w:p w14:paraId="515A87EF">
            <w:pPr>
              <w:spacing w:before="0" w:after="0" w:line="240" w:lineRule="auto"/>
              <w:ind w:firstLine="0"/>
              <w:jc w:val="both"/>
              <w:rPr>
                <w:kern w:val="0"/>
                <w14:ligatures w14:val="none"/>
              </w:rPr>
            </w:pPr>
            <w:r>
              <w:rPr>
                <w:rFonts w:ascii="Times New Roman" w:hAnsi="Times New Roman"/>
                <w:b w:val="0"/>
                <w:kern w:val="0"/>
                <w:sz w:val="24"/>
                <w14:ligatures w14:val="none"/>
              </w:rPr>
              <w:t>Обработка допускается при наличии письменного согласия субъекта (ст. 10 ФЗ-152); повышенные требования к защите; шифрование AES-256 на уровне СУБД; доступ — только уполномоченный персонал клиники</w:t>
            </w:r>
          </w:p>
        </w:tc>
      </w:tr>
      <w:tr w14:paraId="172FE3B0">
        <w:tc>
          <w:tcPr>
            <w:tcW w:w="3118" w:type="dxa"/>
          </w:tcPr>
          <w:p w14:paraId="25228681">
            <w:pPr>
              <w:spacing w:before="0" w:after="0" w:line="240" w:lineRule="auto"/>
              <w:ind w:firstLine="0"/>
              <w:jc w:val="both"/>
              <w:rPr>
                <w:kern w:val="0"/>
                <w14:ligatures w14:val="none"/>
              </w:rPr>
            </w:pPr>
            <w:r>
              <w:rPr>
                <w:rFonts w:ascii="Times New Roman" w:hAnsi="Times New Roman"/>
                <w:b w:val="0"/>
                <w:kern w:val="0"/>
                <w:sz w:val="24"/>
                <w14:ligatures w14:val="none"/>
              </w:rPr>
              <w:t>Биометрические</w:t>
            </w:r>
          </w:p>
        </w:tc>
        <w:tc>
          <w:tcPr>
            <w:tcW w:w="3118" w:type="dxa"/>
          </w:tcPr>
          <w:p w14:paraId="000319B6">
            <w:pPr>
              <w:spacing w:before="0" w:after="0" w:line="240" w:lineRule="auto"/>
              <w:ind w:firstLine="0"/>
              <w:jc w:val="both"/>
              <w:rPr>
                <w:kern w:val="0"/>
                <w14:ligatures w14:val="none"/>
              </w:rPr>
            </w:pPr>
            <w:r>
              <w:rPr>
                <w:rFonts w:ascii="Times New Roman" w:hAnsi="Times New Roman"/>
                <w:b w:val="0"/>
                <w:kern w:val="0"/>
                <w:sz w:val="24"/>
                <w14:ligatures w14:val="none"/>
              </w:rPr>
              <w:t>В рамках MVP не обрабатываются</w:t>
            </w:r>
          </w:p>
        </w:tc>
        <w:tc>
          <w:tcPr>
            <w:tcW w:w="3118" w:type="dxa"/>
          </w:tcPr>
          <w:p w14:paraId="2C7841A9">
            <w:pPr>
              <w:spacing w:before="0" w:after="0" w:line="240" w:lineRule="auto"/>
              <w:ind w:firstLine="0"/>
              <w:jc w:val="both"/>
              <w:rPr>
                <w:kern w:val="0"/>
                <w14:ligatures w14:val="none"/>
              </w:rPr>
            </w:pPr>
            <w:r>
              <w:rPr>
                <w:rFonts w:ascii="Times New Roman" w:hAnsi="Times New Roman"/>
                <w:b w:val="0"/>
                <w:kern w:val="0"/>
                <w:sz w:val="24"/>
                <w14:ligatures w14:val="none"/>
              </w:rPr>
              <w:t>—</w:t>
            </w:r>
          </w:p>
        </w:tc>
      </w:tr>
    </w:tbl>
    <w:p w14:paraId="4C1E03BD">
      <w:pPr>
        <w:spacing w:before="0" w:after="0"/>
        <w:ind w:firstLine="709"/>
        <w:jc w:val="both"/>
      </w:pPr>
      <w:r>
        <w:rPr>
          <w:rFonts w:ascii="Times New Roman" w:hAnsi="Times New Roman"/>
          <w:b w:val="0"/>
          <w:sz w:val="28"/>
        </w:rPr>
        <w:t>Выбор уровня защищённости УЗ-3 обоснован требованиями постановления Правительства Российской Федерации от 1 ноября 2012 г. № 1119 «Об утверждении требований к защите персональных данных при их обработке в информационных системах персональных данных» (далее — ПП РФ № 1119). В системе обрабатываются специальные категории ПДн — сведения о состоянии здоровья пациентов стоматологической клиники, отнесённые к специальной категории статьёй 10 Федерального закона от 27 июля 2006 г. № 152-ФЗ.</w:t>
      </w:r>
    </w:p>
    <w:p w14:paraId="5360A673">
      <w:pPr>
        <w:spacing w:before="0" w:after="0"/>
        <w:ind w:firstLine="709"/>
        <w:jc w:val="both"/>
      </w:pPr>
      <w:r>
        <w:rPr>
          <w:rFonts w:ascii="Times New Roman" w:hAnsi="Times New Roman"/>
          <w:b w:val="0"/>
          <w:sz w:val="28"/>
        </w:rPr>
        <w:t>Согласно матрице ПП РФ № 1119, при актуальных угрозах 3-го типа — угрозах, связанных с недекларированными возможностями в прикладном программном обеспечении, — и числе субъектов ПДн менее 100 000 для специальных категорий устанавливается уровень защищённости УЗ-3. Угрозы 1-го и 2-го типов признаны неактуальными: основания полагать наличие недекларированных возможностей в системном программном обеспечении или аппаратном обеспечении отсутствуют. Уровень УЗ-3 предполагает выполнение требований по разграничению доступа, регистрации событий безопасности, обеспечению целостности программного обеспечения и данных, защите машинных носителей и назначению ответственного за обеспечение безопасности персональных данных.</w:t>
      </w:r>
    </w:p>
    <w:p w14:paraId="14485E3E">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Информационная безопасность выстроена под уровень защищённости УЗ-3 согласно постановлению Правительства Российской Федерации № 1119 [15] и составу технических мер по приказу ФСТЭК № 21 [16]. Поля с персональными и медицинскими данными шифруются </w:t>
      </w:r>
      <w:r>
        <w:rPr>
          <w:rFonts w:ascii="Times New Roman" w:hAnsi="Times New Roman" w:eastAsia="Times New Roman" w:cs="Times New Roman"/>
          <w:color w:val="000000"/>
          <w:kern w:val="0"/>
          <w:sz w:val="28"/>
          <w:szCs w:val="22"/>
          <w:lang w:val="en-US"/>
          <w14:ligatures w14:val="none"/>
        </w:rPr>
        <w:t>AES</w:t>
      </w:r>
      <w:r>
        <w:rPr>
          <w:rFonts w:ascii="Times New Roman" w:hAnsi="Times New Roman" w:eastAsia="Times New Roman" w:cs="Times New Roman"/>
          <w:color w:val="000000"/>
          <w:kern w:val="0"/>
          <w:sz w:val="28"/>
          <w:szCs w:val="22"/>
          <w14:ligatures w14:val="none"/>
        </w:rPr>
        <w:t xml:space="preserve">-256 через расширение </w:t>
      </w:r>
      <w:r>
        <w:rPr>
          <w:rFonts w:ascii="Times New Roman" w:hAnsi="Times New Roman" w:eastAsia="Times New Roman" w:cs="Times New Roman"/>
          <w:color w:val="000000"/>
          <w:kern w:val="0"/>
          <w:sz w:val="28"/>
          <w:szCs w:val="22"/>
          <w:lang w:val="en-US"/>
          <w14:ligatures w14:val="none"/>
        </w:rPr>
        <w:t>pgcrypto</w:t>
      </w:r>
      <w:r>
        <w:rPr>
          <w:rFonts w:ascii="Times New Roman" w:hAnsi="Times New Roman" w:eastAsia="Times New Roman" w:cs="Times New Roman"/>
          <w:color w:val="000000"/>
          <w:kern w:val="0"/>
          <w:sz w:val="28"/>
          <w:szCs w:val="22"/>
          <w14:ligatures w14:val="none"/>
        </w:rPr>
        <w:t xml:space="preserve">; ключи хранятся в </w:t>
      </w:r>
      <w:r>
        <w:rPr>
          <w:rFonts w:ascii="Times New Roman" w:hAnsi="Times New Roman" w:eastAsia="Times New Roman" w:cs="Times New Roman"/>
          <w:color w:val="000000"/>
          <w:kern w:val="0"/>
          <w:sz w:val="28"/>
          <w:szCs w:val="22"/>
          <w:lang w:val="en-US"/>
          <w14:ligatures w14:val="none"/>
        </w:rPr>
        <w:t>Hashicorp</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Vault</w:t>
      </w:r>
      <w:r>
        <w:rPr>
          <w:rFonts w:ascii="Times New Roman" w:hAnsi="Times New Roman" w:eastAsia="Times New Roman" w:cs="Times New Roman"/>
          <w:color w:val="000000"/>
          <w:kern w:val="0"/>
          <w:sz w:val="28"/>
          <w:szCs w:val="22"/>
          <w14:ligatures w14:val="none"/>
        </w:rPr>
        <w:t xml:space="preserve"> и ротируются раз в 180 дней. Транспортный уровень защищён </w:t>
      </w:r>
      <w:r>
        <w:rPr>
          <w:rFonts w:ascii="Times New Roman" w:hAnsi="Times New Roman" w:eastAsia="Times New Roman" w:cs="Times New Roman"/>
          <w:color w:val="000000"/>
          <w:kern w:val="0"/>
          <w:sz w:val="28"/>
          <w:szCs w:val="22"/>
          <w:lang w:val="en-US"/>
          <w14:ligatures w14:val="none"/>
        </w:rPr>
        <w:t>TLS</w:t>
      </w:r>
      <w:r>
        <w:rPr>
          <w:rFonts w:ascii="Times New Roman" w:hAnsi="Times New Roman" w:eastAsia="Times New Roman" w:cs="Times New Roman"/>
          <w:color w:val="000000"/>
          <w:kern w:val="0"/>
          <w:sz w:val="28"/>
          <w:szCs w:val="22"/>
          <w14:ligatures w14:val="none"/>
        </w:rPr>
        <w:t xml:space="preserve"> 1.2+ и автоматически переключается на </w:t>
      </w:r>
      <w:r>
        <w:rPr>
          <w:rFonts w:ascii="Times New Roman" w:hAnsi="Times New Roman" w:eastAsia="Times New Roman" w:cs="Times New Roman"/>
          <w:color w:val="000000"/>
          <w:kern w:val="0"/>
          <w:sz w:val="28"/>
          <w:szCs w:val="22"/>
          <w:lang w:val="en-US"/>
          <w14:ligatures w14:val="none"/>
        </w:rPr>
        <w:t>TLS</w:t>
      </w:r>
      <w:r>
        <w:rPr>
          <w:rFonts w:ascii="Times New Roman" w:hAnsi="Times New Roman" w:eastAsia="Times New Roman" w:cs="Times New Roman"/>
          <w:color w:val="000000"/>
          <w:kern w:val="0"/>
          <w:sz w:val="28"/>
          <w:szCs w:val="22"/>
          <w14:ligatures w14:val="none"/>
        </w:rPr>
        <w:t xml:space="preserve"> 1.3 при поддержке клиентом. В журналах аудита фиксируются вход, выдача ролей, доступ к данным пациента и действия супер-администратора сети. Перечень проверок для ручного код-ревью и динамического тестирования расширен рисками </w:t>
      </w:r>
      <w:r>
        <w:rPr>
          <w:rFonts w:ascii="Times New Roman" w:hAnsi="Times New Roman" w:eastAsia="Times New Roman" w:cs="Times New Roman"/>
          <w:color w:val="000000"/>
          <w:kern w:val="0"/>
          <w:sz w:val="28"/>
          <w:szCs w:val="22"/>
          <w:lang w:val="en-US"/>
          <w14:ligatures w14:val="none"/>
        </w:rPr>
        <w:t>OWASP</w:t>
      </w:r>
      <w:r>
        <w:rPr>
          <w:rFonts w:ascii="Times New Roman" w:hAnsi="Times New Roman" w:eastAsia="Times New Roman" w:cs="Times New Roman"/>
          <w:color w:val="000000"/>
          <w:kern w:val="0"/>
          <w:sz w:val="28"/>
          <w:szCs w:val="22"/>
          <w14:ligatures w14:val="none"/>
        </w:rPr>
        <w:t xml:space="preserve"> </w:t>
      </w:r>
      <w:r>
        <w:rPr>
          <w:rFonts w:ascii="Times New Roman" w:hAnsi="Times New Roman" w:eastAsia="Times New Roman" w:cs="Times New Roman"/>
          <w:color w:val="000000"/>
          <w:kern w:val="0"/>
          <w:sz w:val="28"/>
          <w:szCs w:val="22"/>
          <w:lang w:val="en-US"/>
          <w14:ligatures w14:val="none"/>
        </w:rPr>
        <w:t>Top</w:t>
      </w:r>
      <w:r>
        <w:rPr>
          <w:rFonts w:ascii="Times New Roman" w:hAnsi="Times New Roman" w:eastAsia="Times New Roman" w:cs="Times New Roman"/>
          <w:color w:val="000000"/>
          <w:kern w:val="0"/>
          <w:sz w:val="28"/>
          <w:szCs w:val="22"/>
          <w14:ligatures w14:val="none"/>
        </w:rPr>
        <w:t xml:space="preserve"> 10 [17]; процессы ИБ выстроены по требованиям </w:t>
      </w:r>
      <w:r>
        <w:rPr>
          <w:rFonts w:ascii="Times New Roman" w:hAnsi="Times New Roman" w:eastAsia="Times New Roman" w:cs="Times New Roman"/>
          <w:color w:val="000000"/>
          <w:kern w:val="0"/>
          <w:sz w:val="28"/>
          <w:szCs w:val="22"/>
          <w:lang w:val="en-US"/>
          <w14:ligatures w14:val="none"/>
        </w:rPr>
        <w:t>ISO</w:t>
      </w:r>
      <w:r>
        <w:rPr>
          <w:rFonts w:ascii="Times New Roman" w:hAnsi="Times New Roman" w:eastAsia="Times New Roman" w:cs="Times New Roman"/>
          <w:color w:val="000000"/>
          <w:kern w:val="0"/>
          <w:sz w:val="28"/>
          <w:szCs w:val="22"/>
          <w14:ligatures w14:val="none"/>
        </w:rPr>
        <w:t>/</w:t>
      </w:r>
      <w:r>
        <w:rPr>
          <w:rFonts w:ascii="Times New Roman" w:hAnsi="Times New Roman" w:eastAsia="Times New Roman" w:cs="Times New Roman"/>
          <w:color w:val="000000"/>
          <w:kern w:val="0"/>
          <w:sz w:val="28"/>
          <w:szCs w:val="22"/>
          <w:lang w:val="en-US"/>
          <w14:ligatures w14:val="none"/>
        </w:rPr>
        <w:t>IEC</w:t>
      </w:r>
      <w:r>
        <w:rPr>
          <w:rFonts w:ascii="Times New Roman" w:hAnsi="Times New Roman" w:eastAsia="Times New Roman" w:cs="Times New Roman"/>
          <w:color w:val="000000"/>
          <w:kern w:val="0"/>
          <w:sz w:val="28"/>
          <w:szCs w:val="22"/>
          <w14:ligatures w14:val="none"/>
        </w:rPr>
        <w:t xml:space="preserve"> 27001:2022 [18]. Раз в год проходит внешний тест на проникновение; результаты оформляются отдельным отчётом с планом устранения слабостей.</w:t>
      </w:r>
    </w:p>
    <w:p w14:paraId="3254C168">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Продукт не относится к медицинским изделиям по 323-ФЗ и не подлежит регистрации в Росздравнадзоре. Это видно из перечня функциональных требований: приложение не ставит диагноз, не формирует назначения, не интерпретирует медицинские изображения и не принимает решений, влияющих на оказание медицинской помощи. Медицинские действия выполняет врач клиники в собственной МИС, а приложение остаётся средством связи пациента с клиникой и каналом оформления документов.</w:t>
      </w:r>
    </w:p>
    <w:p w14:paraId="788C7743">
      <w:pPr>
        <w:pStyle w:val="3"/>
        <w:spacing w:before="0" w:after="0" w:line="360" w:lineRule="auto"/>
        <w:ind w:firstLine="709"/>
        <w:jc w:val="both"/>
        <w:rPr>
          <w:rFonts w:ascii="Times New Roman" w:hAnsi="Times New Roman" w:eastAsia="Times New Roman" w:cs="Times New Roman"/>
          <w:color w:val="000000"/>
          <w:kern w:val="0"/>
          <w:sz w:val="28"/>
          <w:szCs w:val="22"/>
          <w14:ligatures w14:val="none"/>
        </w:rPr>
      </w:pPr>
      <w:bookmarkStart w:id="20" w:name="_Toc1015772086"/>
      <w:r>
        <w:rPr>
          <w:rFonts w:ascii="Times New Roman" w:hAnsi="Times New Roman" w:eastAsia="Times New Roman" w:cs="Times New Roman"/>
          <w:b/>
          <w:color w:val="000000"/>
          <w:kern w:val="0"/>
          <w:sz w:val="28"/>
          <w:szCs w:val="22"/>
          <w14:ligatures w14:val="none"/>
        </w:rPr>
        <w:t>3.3 Экономическая эффективность и прогнозный ROI</w:t>
      </w:r>
      <w:bookmarkEnd w:id="20"/>
    </w:p>
    <w:p w14:paraId="3FC8464B">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Расчёт экономической эффективности – прогноз базового сценария внедрения продукта в одной клинике сети. При базовых значениях параметров проект окупается за срок, сопоставимый с длительностью разработки; итог расчёта чувствителен к показателям удержания и среднему </w:t>
      </w:r>
      <w:r>
        <w:rPr>
          <w:rFonts w:ascii="Times New Roman" w:hAnsi="Times New Roman" w:eastAsia="Times New Roman" w:cs="Times New Roman"/>
          <w:color w:val="000000"/>
          <w:kern w:val="0"/>
          <w:sz w:val="28"/>
          <w:szCs w:val="22"/>
          <w:lang w:val="en-US"/>
          <w14:ligatures w14:val="none"/>
        </w:rPr>
        <w:t>LTV</w:t>
      </w:r>
      <w:r>
        <w:rPr>
          <w:rFonts w:ascii="Times New Roman" w:hAnsi="Times New Roman" w:eastAsia="Times New Roman" w:cs="Times New Roman"/>
          <w:color w:val="000000"/>
          <w:kern w:val="0"/>
          <w:sz w:val="28"/>
          <w:szCs w:val="22"/>
          <w14:ligatures w14:val="none"/>
        </w:rPr>
        <w:t>.</w:t>
      </w:r>
    </w:p>
    <w:p w14:paraId="013D75F4">
      <w:pPr>
        <w:spacing w:before="0" w:after="0" w:line="360" w:lineRule="auto"/>
        <w:jc w:val="left"/>
        <w:rPr>
          <w:rFonts w:ascii="Times New Roman" w:hAnsi="Times New Roman" w:eastAsia="Times New Roman" w:cs="Times New Roman"/>
          <w:color w:val="000000"/>
          <w:kern w:val="0"/>
          <w:sz w:val="28"/>
          <w:szCs w:val="22"/>
          <w:lang w:val="en-US"/>
          <w14:ligatures w14:val="none"/>
        </w:rPr>
      </w:pPr>
      <w:r>
        <w:rPr>
          <w:rFonts w:ascii="Times New Roman" w:hAnsi="Times New Roman" w:eastAsia="Times New Roman" w:cs="Times New Roman"/>
          <w:color w:val="000000"/>
          <w:kern w:val="0"/>
          <w:sz w:val="28"/>
          <w:szCs w:val="22"/>
          <w:lang w:val="en-US"/>
          <w14:ligatures w14:val="none"/>
        </w:rPr>
        <w:t>Таблица 42 — Исходные данные расчёта</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2721"/>
        <w:gridCol w:w="3118"/>
      </w:tblGrid>
      <w:tr w14:paraId="68A91B4E">
        <w:tc>
          <w:tcPr>
            <w:tcW w:w="3515" w:type="dxa"/>
            <w:tcBorders>
              <w:top w:val="single" w:color="auto" w:sz="4" w:space="0"/>
              <w:left w:val="single" w:color="auto" w:sz="4" w:space="0"/>
              <w:bottom w:val="single" w:color="auto" w:sz="4" w:space="0"/>
              <w:right w:val="single" w:color="auto" w:sz="4" w:space="0"/>
            </w:tcBorders>
            <w:vAlign w:val="center"/>
          </w:tcPr>
          <w:p w14:paraId="2DE2C8C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Метрика</w:t>
            </w:r>
          </w:p>
        </w:tc>
        <w:tc>
          <w:tcPr>
            <w:tcW w:w="2721" w:type="dxa"/>
            <w:tcBorders>
              <w:top w:val="single" w:color="auto" w:sz="4" w:space="0"/>
              <w:left w:val="single" w:color="auto" w:sz="4" w:space="0"/>
              <w:bottom w:val="single" w:color="auto" w:sz="4" w:space="0"/>
              <w:right w:val="single" w:color="auto" w:sz="4" w:space="0"/>
            </w:tcBorders>
            <w:vAlign w:val="center"/>
          </w:tcPr>
          <w:p w14:paraId="703DBB3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Значение (базовый сценарий)</w:t>
            </w:r>
          </w:p>
        </w:tc>
        <w:tc>
          <w:tcPr>
            <w:tcW w:w="3118" w:type="dxa"/>
            <w:tcBorders>
              <w:top w:val="single" w:color="auto" w:sz="4" w:space="0"/>
              <w:left w:val="single" w:color="auto" w:sz="4" w:space="0"/>
              <w:bottom w:val="single" w:color="auto" w:sz="4" w:space="0"/>
              <w:right w:val="single" w:color="auto" w:sz="4" w:space="0"/>
            </w:tcBorders>
            <w:vAlign w:val="center"/>
          </w:tcPr>
          <w:p w14:paraId="0B44C79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Источник / статус</w:t>
            </w:r>
          </w:p>
        </w:tc>
      </w:tr>
      <w:tr w14:paraId="40003DEC">
        <w:tc>
          <w:tcPr>
            <w:tcW w:w="3515" w:type="dxa"/>
            <w:tcBorders>
              <w:top w:val="single" w:color="auto" w:sz="4" w:space="0"/>
              <w:left w:val="single" w:color="auto" w:sz="4" w:space="0"/>
              <w:bottom w:val="single" w:color="auto" w:sz="4" w:space="0"/>
              <w:right w:val="single" w:color="auto" w:sz="4" w:space="0"/>
            </w:tcBorders>
            <w:vAlign w:val="center"/>
          </w:tcPr>
          <w:p w14:paraId="3A89756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No-show, %</w:t>
            </w:r>
          </w:p>
        </w:tc>
        <w:tc>
          <w:tcPr>
            <w:tcW w:w="2721" w:type="dxa"/>
            <w:tcBorders>
              <w:top w:val="single" w:color="auto" w:sz="4" w:space="0"/>
              <w:left w:val="single" w:color="auto" w:sz="4" w:space="0"/>
              <w:bottom w:val="single" w:color="auto" w:sz="4" w:space="0"/>
              <w:right w:val="single" w:color="auto" w:sz="4" w:space="0"/>
            </w:tcBorders>
            <w:vAlign w:val="center"/>
          </w:tcPr>
          <w:p w14:paraId="466A944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18,0 %</w:t>
            </w:r>
          </w:p>
        </w:tc>
        <w:tc>
          <w:tcPr>
            <w:tcW w:w="3118" w:type="dxa"/>
            <w:tcBorders>
              <w:top w:val="single" w:color="auto" w:sz="4" w:space="0"/>
              <w:left w:val="single" w:color="auto" w:sz="4" w:space="0"/>
              <w:bottom w:val="single" w:color="auto" w:sz="4" w:space="0"/>
              <w:right w:val="single" w:color="auto" w:sz="4" w:space="0"/>
            </w:tcBorders>
            <w:vAlign w:val="center"/>
          </w:tcPr>
          <w:p w14:paraId="01C6BAF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industry_report, verified</w:t>
            </w:r>
          </w:p>
        </w:tc>
      </w:tr>
      <w:tr w14:paraId="1DC0058B">
        <w:tc>
          <w:tcPr>
            <w:tcW w:w="3515" w:type="dxa"/>
            <w:tcBorders>
              <w:top w:val="single" w:color="auto" w:sz="4" w:space="0"/>
              <w:left w:val="single" w:color="auto" w:sz="4" w:space="0"/>
              <w:bottom w:val="single" w:color="auto" w:sz="4" w:space="0"/>
              <w:right w:val="single" w:color="auto" w:sz="4" w:space="0"/>
            </w:tcBorders>
            <w:vAlign w:val="center"/>
          </w:tcPr>
          <w:p w14:paraId="6454618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Средний чек первичного приёма, руб.</w:t>
            </w:r>
          </w:p>
        </w:tc>
        <w:tc>
          <w:tcPr>
            <w:tcW w:w="2721" w:type="dxa"/>
            <w:tcBorders>
              <w:top w:val="single" w:color="auto" w:sz="4" w:space="0"/>
              <w:left w:val="single" w:color="auto" w:sz="4" w:space="0"/>
              <w:bottom w:val="single" w:color="auto" w:sz="4" w:space="0"/>
              <w:right w:val="single" w:color="auto" w:sz="4" w:space="0"/>
            </w:tcBorders>
            <w:vAlign w:val="center"/>
          </w:tcPr>
          <w:p w14:paraId="142F2E6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5 000 </w:t>
            </w:r>
            <w:r>
              <w:rPr>
                <w:rFonts w:ascii="Times New Roman" w:hAnsi="Times New Roman" w:eastAsia="Times New Roman" w:cs="Times New Roman"/>
                <w:color w:val="000000"/>
                <w:kern w:val="0"/>
                <w:sz w:val="24"/>
                <w:szCs w:val="24"/>
                <w:lang w:eastAsia="ru-RU"/>
                <w14:ligatures w14:val="none"/>
              </w:rPr>
              <w:t>руб.</w:t>
            </w:r>
          </w:p>
        </w:tc>
        <w:tc>
          <w:tcPr>
            <w:tcW w:w="3118" w:type="dxa"/>
            <w:tcBorders>
              <w:top w:val="single" w:color="auto" w:sz="4" w:space="0"/>
              <w:left w:val="single" w:color="auto" w:sz="4" w:space="0"/>
              <w:bottom w:val="single" w:color="auto" w:sz="4" w:space="0"/>
              <w:right w:val="single" w:color="auto" w:sz="4" w:space="0"/>
            </w:tcBorders>
            <w:vAlign w:val="center"/>
          </w:tcPr>
          <w:p w14:paraId="7113C02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industry_report, verified</w:t>
            </w:r>
          </w:p>
        </w:tc>
      </w:tr>
      <w:tr w14:paraId="5CD7ADE2">
        <w:tc>
          <w:tcPr>
            <w:tcW w:w="3515" w:type="dxa"/>
            <w:tcBorders>
              <w:top w:val="single" w:color="auto" w:sz="4" w:space="0"/>
              <w:left w:val="single" w:color="auto" w:sz="4" w:space="0"/>
              <w:bottom w:val="single" w:color="auto" w:sz="4" w:space="0"/>
              <w:right w:val="single" w:color="auto" w:sz="4" w:space="0"/>
            </w:tcBorders>
            <w:vAlign w:val="center"/>
          </w:tcPr>
          <w:p w14:paraId="6AA169C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Доля повторных визитов, %</w:t>
            </w:r>
          </w:p>
        </w:tc>
        <w:tc>
          <w:tcPr>
            <w:tcW w:w="2721" w:type="dxa"/>
            <w:tcBorders>
              <w:top w:val="single" w:color="auto" w:sz="4" w:space="0"/>
              <w:left w:val="single" w:color="auto" w:sz="4" w:space="0"/>
              <w:bottom w:val="single" w:color="auto" w:sz="4" w:space="0"/>
              <w:right w:val="single" w:color="auto" w:sz="4" w:space="0"/>
            </w:tcBorders>
            <w:vAlign w:val="center"/>
          </w:tcPr>
          <w:p w14:paraId="4D62FD2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57,0 %</w:t>
            </w:r>
          </w:p>
        </w:tc>
        <w:tc>
          <w:tcPr>
            <w:tcW w:w="3118" w:type="dxa"/>
            <w:tcBorders>
              <w:top w:val="single" w:color="auto" w:sz="4" w:space="0"/>
              <w:left w:val="single" w:color="auto" w:sz="4" w:space="0"/>
              <w:bottom w:val="single" w:color="auto" w:sz="4" w:space="0"/>
              <w:right w:val="single" w:color="auto" w:sz="4" w:space="0"/>
            </w:tcBorders>
            <w:vAlign w:val="center"/>
          </w:tcPr>
          <w:p w14:paraId="6996E4E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industry_report, verified</w:t>
            </w:r>
          </w:p>
        </w:tc>
      </w:tr>
      <w:tr w14:paraId="6ED89F9B">
        <w:tc>
          <w:tcPr>
            <w:tcW w:w="3515" w:type="dxa"/>
            <w:tcBorders>
              <w:top w:val="single" w:color="auto" w:sz="4" w:space="0"/>
              <w:left w:val="single" w:color="auto" w:sz="4" w:space="0"/>
              <w:bottom w:val="single" w:color="auto" w:sz="4" w:space="0"/>
              <w:right w:val="single" w:color="auto" w:sz="4" w:space="0"/>
            </w:tcBorders>
            <w:vAlign w:val="center"/>
          </w:tcPr>
          <w:p w14:paraId="593693A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Снижение </w:t>
            </w:r>
            <w:r>
              <w:rPr>
                <w:rFonts w:ascii="Times New Roman" w:hAnsi="Times New Roman" w:eastAsia="Times New Roman" w:cs="Times New Roman"/>
                <w:color w:val="000000"/>
                <w:kern w:val="0"/>
                <w:sz w:val="24"/>
                <w:szCs w:val="24"/>
                <w:lang w:val="en-US" w:eastAsia="ru-RU"/>
                <w14:ligatures w14:val="none"/>
              </w:rPr>
              <w:t>no</w:t>
            </w:r>
            <w:r>
              <w:rPr>
                <w:rFonts w:ascii="Times New Roman" w:hAnsi="Times New Roman" w:eastAsia="Times New Roman" w:cs="Times New Roman"/>
                <w:color w:val="000000"/>
                <w:kern w:val="0"/>
                <w:sz w:val="24"/>
                <w:szCs w:val="24"/>
                <w:lang w:eastAsia="ru-RU"/>
                <w14:ligatures w14:val="none"/>
              </w:rPr>
              <w:t>-</w:t>
            </w:r>
            <w:r>
              <w:rPr>
                <w:rFonts w:ascii="Times New Roman" w:hAnsi="Times New Roman" w:eastAsia="Times New Roman" w:cs="Times New Roman"/>
                <w:color w:val="000000"/>
                <w:kern w:val="0"/>
                <w:sz w:val="24"/>
                <w:szCs w:val="24"/>
                <w:lang w:val="en-US" w:eastAsia="ru-RU"/>
                <w14:ligatures w14:val="none"/>
              </w:rPr>
              <w:t>show</w:t>
            </w:r>
            <w:r>
              <w:rPr>
                <w:rFonts w:ascii="Times New Roman" w:hAnsi="Times New Roman" w:eastAsia="Times New Roman" w:cs="Times New Roman"/>
                <w:color w:val="000000"/>
                <w:kern w:val="0"/>
                <w:sz w:val="24"/>
                <w:szCs w:val="24"/>
                <w:lang w:eastAsia="ru-RU"/>
                <w14:ligatures w14:val="none"/>
              </w:rPr>
              <w:t xml:space="preserve"> от </w:t>
            </w:r>
            <w:r>
              <w:rPr>
                <w:rFonts w:ascii="Times New Roman" w:hAnsi="Times New Roman" w:eastAsia="Times New Roman" w:cs="Times New Roman"/>
                <w:color w:val="000000"/>
                <w:kern w:val="0"/>
                <w:sz w:val="24"/>
                <w:szCs w:val="24"/>
                <w:lang w:val="en-US" w:eastAsia="ru-RU"/>
                <w14:ligatures w14:val="none"/>
              </w:rPr>
              <w:t>SMS</w:t>
            </w:r>
            <w:r>
              <w:rPr>
                <w:rFonts w:ascii="Times New Roman" w:hAnsi="Times New Roman" w:eastAsia="Times New Roman" w:cs="Times New Roman"/>
                <w:color w:val="000000"/>
                <w:kern w:val="0"/>
                <w:sz w:val="24"/>
                <w:szCs w:val="24"/>
                <w:lang w:eastAsia="ru-RU"/>
                <w14:ligatures w14:val="none"/>
              </w:rPr>
              <w:t>-напоминаний, %</w:t>
            </w:r>
          </w:p>
        </w:tc>
        <w:tc>
          <w:tcPr>
            <w:tcW w:w="2721" w:type="dxa"/>
            <w:tcBorders>
              <w:top w:val="single" w:color="auto" w:sz="4" w:space="0"/>
              <w:left w:val="single" w:color="auto" w:sz="4" w:space="0"/>
              <w:bottom w:val="single" w:color="auto" w:sz="4" w:space="0"/>
              <w:right w:val="single" w:color="auto" w:sz="4" w:space="0"/>
            </w:tcBorders>
            <w:vAlign w:val="center"/>
          </w:tcPr>
          <w:p w14:paraId="1DCABA9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29,0 %</w:t>
            </w:r>
          </w:p>
        </w:tc>
        <w:tc>
          <w:tcPr>
            <w:tcW w:w="3118" w:type="dxa"/>
            <w:tcBorders>
              <w:top w:val="single" w:color="auto" w:sz="4" w:space="0"/>
              <w:left w:val="single" w:color="auto" w:sz="4" w:space="0"/>
              <w:bottom w:val="single" w:color="auto" w:sz="4" w:space="0"/>
              <w:right w:val="single" w:color="auto" w:sz="4" w:space="0"/>
            </w:tcBorders>
            <w:vAlign w:val="center"/>
          </w:tcPr>
          <w:p w14:paraId="05642B2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meta_analysis, verified</w:t>
            </w:r>
          </w:p>
        </w:tc>
      </w:tr>
      <w:tr w14:paraId="101F2B4D">
        <w:tc>
          <w:tcPr>
            <w:tcW w:w="3515" w:type="dxa"/>
            <w:tcBorders>
              <w:top w:val="single" w:color="auto" w:sz="4" w:space="0"/>
              <w:left w:val="single" w:color="auto" w:sz="4" w:space="0"/>
              <w:bottom w:val="single" w:color="auto" w:sz="4" w:space="0"/>
              <w:right w:val="single" w:color="auto" w:sz="4" w:space="0"/>
            </w:tcBorders>
            <w:vAlign w:val="center"/>
          </w:tcPr>
          <w:p w14:paraId="076FE3B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Средний LTV пациента, </w:t>
            </w:r>
            <w:r>
              <w:rPr>
                <w:rFonts w:ascii="Times New Roman" w:hAnsi="Times New Roman" w:eastAsia="Times New Roman" w:cs="Times New Roman"/>
                <w:color w:val="000000"/>
                <w:kern w:val="0"/>
                <w:sz w:val="24"/>
                <w:szCs w:val="24"/>
                <w:lang w:eastAsia="ru-RU"/>
                <w14:ligatures w14:val="none"/>
              </w:rPr>
              <w:t>руб.</w:t>
            </w:r>
          </w:p>
        </w:tc>
        <w:tc>
          <w:tcPr>
            <w:tcW w:w="2721" w:type="dxa"/>
            <w:tcBorders>
              <w:top w:val="single" w:color="auto" w:sz="4" w:space="0"/>
              <w:left w:val="single" w:color="auto" w:sz="4" w:space="0"/>
              <w:bottom w:val="single" w:color="auto" w:sz="4" w:space="0"/>
              <w:right w:val="single" w:color="auto" w:sz="4" w:space="0"/>
            </w:tcBorders>
            <w:vAlign w:val="center"/>
          </w:tcPr>
          <w:p w14:paraId="6A8088D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120 000 </w:t>
            </w:r>
            <w:r>
              <w:rPr>
                <w:rFonts w:ascii="Times New Roman" w:hAnsi="Times New Roman" w:eastAsia="Times New Roman" w:cs="Times New Roman"/>
                <w:color w:val="000000"/>
                <w:kern w:val="0"/>
                <w:sz w:val="24"/>
                <w:szCs w:val="24"/>
                <w:lang w:eastAsia="ru-RU"/>
                <w14:ligatures w14:val="none"/>
              </w:rPr>
              <w:t>руб.</w:t>
            </w:r>
          </w:p>
        </w:tc>
        <w:tc>
          <w:tcPr>
            <w:tcW w:w="3118" w:type="dxa"/>
            <w:tcBorders>
              <w:top w:val="single" w:color="auto" w:sz="4" w:space="0"/>
              <w:left w:val="single" w:color="auto" w:sz="4" w:space="0"/>
              <w:bottom w:val="single" w:color="auto" w:sz="4" w:space="0"/>
              <w:right w:val="single" w:color="auto" w:sz="4" w:space="0"/>
            </w:tcBorders>
            <w:vAlign w:val="center"/>
          </w:tcPr>
          <w:p w14:paraId="600DE53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hypothesis, hypothesis</w:t>
            </w:r>
          </w:p>
        </w:tc>
      </w:tr>
      <w:tr w14:paraId="5FDFC8C2">
        <w:tc>
          <w:tcPr>
            <w:tcW w:w="3515" w:type="dxa"/>
            <w:tcBorders>
              <w:top w:val="single" w:color="auto" w:sz="4" w:space="0"/>
              <w:left w:val="single" w:color="auto" w:sz="4" w:space="0"/>
              <w:bottom w:val="single" w:color="auto" w:sz="4" w:space="0"/>
              <w:right w:val="single" w:color="auto" w:sz="4" w:space="0"/>
            </w:tcBorders>
            <w:vAlign w:val="center"/>
          </w:tcPr>
          <w:p w14:paraId="16CCE4E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Инфраструктурные затраты, </w:t>
            </w:r>
            <w:r>
              <w:rPr>
                <w:rFonts w:ascii="Times New Roman" w:hAnsi="Times New Roman" w:eastAsia="Times New Roman" w:cs="Times New Roman"/>
                <w:color w:val="000000"/>
                <w:kern w:val="0"/>
                <w:sz w:val="24"/>
                <w:szCs w:val="24"/>
                <w:lang w:eastAsia="ru-RU"/>
                <w14:ligatures w14:val="none"/>
              </w:rPr>
              <w:t>руб.</w:t>
            </w:r>
            <w:r>
              <w:rPr>
                <w:rFonts w:ascii="Times New Roman" w:hAnsi="Times New Roman" w:eastAsia="Times New Roman" w:cs="Times New Roman"/>
                <w:color w:val="000000"/>
                <w:kern w:val="0"/>
                <w:sz w:val="24"/>
                <w:szCs w:val="24"/>
                <w:lang w:val="en-US" w:eastAsia="ru-RU"/>
                <w14:ligatures w14:val="none"/>
              </w:rPr>
              <w:t>/мес</w:t>
            </w:r>
          </w:p>
        </w:tc>
        <w:tc>
          <w:tcPr>
            <w:tcW w:w="2721" w:type="dxa"/>
            <w:tcBorders>
              <w:top w:val="single" w:color="auto" w:sz="4" w:space="0"/>
              <w:left w:val="single" w:color="auto" w:sz="4" w:space="0"/>
              <w:bottom w:val="single" w:color="auto" w:sz="4" w:space="0"/>
              <w:right w:val="single" w:color="auto" w:sz="4" w:space="0"/>
            </w:tcBorders>
            <w:vAlign w:val="center"/>
          </w:tcPr>
          <w:p w14:paraId="4D76CAD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21 000 </w:t>
            </w:r>
            <w:r>
              <w:rPr>
                <w:rFonts w:ascii="Times New Roman" w:hAnsi="Times New Roman" w:eastAsia="Times New Roman" w:cs="Times New Roman"/>
                <w:color w:val="000000"/>
                <w:kern w:val="0"/>
                <w:sz w:val="24"/>
                <w:szCs w:val="24"/>
                <w:lang w:eastAsia="ru-RU"/>
                <w14:ligatures w14:val="none"/>
              </w:rPr>
              <w:t>руб.</w:t>
            </w:r>
          </w:p>
        </w:tc>
        <w:tc>
          <w:tcPr>
            <w:tcW w:w="3118" w:type="dxa"/>
            <w:tcBorders>
              <w:top w:val="single" w:color="auto" w:sz="4" w:space="0"/>
              <w:left w:val="single" w:color="auto" w:sz="4" w:space="0"/>
              <w:bottom w:val="single" w:color="auto" w:sz="4" w:space="0"/>
              <w:right w:val="single" w:color="auto" w:sz="4" w:space="0"/>
            </w:tcBorders>
            <w:vAlign w:val="center"/>
          </w:tcPr>
          <w:p w14:paraId="615047C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vendor_pricing, verified [22] [23]</w:t>
            </w:r>
          </w:p>
        </w:tc>
      </w:tr>
      <w:tr w14:paraId="37311427">
        <w:tc>
          <w:tcPr>
            <w:tcW w:w="3515" w:type="dxa"/>
            <w:tcBorders>
              <w:top w:val="single" w:color="auto" w:sz="4" w:space="0"/>
              <w:left w:val="single" w:color="auto" w:sz="4" w:space="0"/>
              <w:bottom w:val="single" w:color="auto" w:sz="4" w:space="0"/>
              <w:right w:val="single" w:color="auto" w:sz="4" w:space="0"/>
            </w:tcBorders>
            <w:vAlign w:val="center"/>
          </w:tcPr>
          <w:p w14:paraId="27259E4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Активные пациенты одной клиники в год, чел.</w:t>
            </w:r>
          </w:p>
        </w:tc>
        <w:tc>
          <w:tcPr>
            <w:tcW w:w="2721" w:type="dxa"/>
            <w:tcBorders>
              <w:top w:val="single" w:color="auto" w:sz="4" w:space="0"/>
              <w:left w:val="single" w:color="auto" w:sz="4" w:space="0"/>
              <w:bottom w:val="single" w:color="auto" w:sz="4" w:space="0"/>
              <w:right w:val="single" w:color="auto" w:sz="4" w:space="0"/>
            </w:tcBorders>
            <w:vAlign w:val="center"/>
          </w:tcPr>
          <w:p w14:paraId="693607E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6 000</w:t>
            </w:r>
          </w:p>
        </w:tc>
        <w:tc>
          <w:tcPr>
            <w:tcW w:w="3118" w:type="dxa"/>
            <w:tcBorders>
              <w:top w:val="single" w:color="auto" w:sz="4" w:space="0"/>
              <w:left w:val="single" w:color="auto" w:sz="4" w:space="0"/>
              <w:bottom w:val="single" w:color="auto" w:sz="4" w:space="0"/>
              <w:right w:val="single" w:color="auto" w:sz="4" w:space="0"/>
            </w:tcBorders>
            <w:vAlign w:val="center"/>
          </w:tcPr>
          <w:p w14:paraId="58D9D0E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требует валидации в пилоте</w:t>
            </w:r>
          </w:p>
        </w:tc>
      </w:tr>
      <w:tr w14:paraId="49720DB2">
        <w:tc>
          <w:tcPr>
            <w:tcW w:w="3515" w:type="dxa"/>
            <w:tcBorders>
              <w:top w:val="single" w:color="auto" w:sz="4" w:space="0"/>
              <w:left w:val="single" w:color="auto" w:sz="4" w:space="0"/>
              <w:bottom w:val="single" w:color="auto" w:sz="4" w:space="0"/>
              <w:right w:val="single" w:color="auto" w:sz="4" w:space="0"/>
            </w:tcBorders>
            <w:vAlign w:val="center"/>
          </w:tcPr>
          <w:p w14:paraId="70DEDFE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Визитов на активного пациента в год</w:t>
            </w:r>
          </w:p>
        </w:tc>
        <w:tc>
          <w:tcPr>
            <w:tcW w:w="2721" w:type="dxa"/>
            <w:tcBorders>
              <w:top w:val="single" w:color="auto" w:sz="4" w:space="0"/>
              <w:left w:val="single" w:color="auto" w:sz="4" w:space="0"/>
              <w:bottom w:val="single" w:color="auto" w:sz="4" w:space="0"/>
              <w:right w:val="single" w:color="auto" w:sz="4" w:space="0"/>
            </w:tcBorders>
            <w:vAlign w:val="center"/>
          </w:tcPr>
          <w:p w14:paraId="3140828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2,5</w:t>
            </w:r>
          </w:p>
        </w:tc>
        <w:tc>
          <w:tcPr>
            <w:tcW w:w="3118" w:type="dxa"/>
            <w:tcBorders>
              <w:top w:val="single" w:color="auto" w:sz="4" w:space="0"/>
              <w:left w:val="single" w:color="auto" w:sz="4" w:space="0"/>
              <w:bottom w:val="single" w:color="auto" w:sz="4" w:space="0"/>
              <w:right w:val="single" w:color="auto" w:sz="4" w:space="0"/>
            </w:tcBorders>
            <w:vAlign w:val="center"/>
          </w:tcPr>
          <w:p w14:paraId="12DD28C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по отраслевым бенчмаркам</w:t>
            </w:r>
          </w:p>
        </w:tc>
      </w:tr>
      <w:tr w14:paraId="067AF82A">
        <w:tc>
          <w:tcPr>
            <w:tcW w:w="3515" w:type="dxa"/>
            <w:tcBorders>
              <w:top w:val="single" w:color="auto" w:sz="4" w:space="0"/>
              <w:left w:val="single" w:color="auto" w:sz="4" w:space="0"/>
              <w:bottom w:val="single" w:color="auto" w:sz="4" w:space="0"/>
              <w:right w:val="single" w:color="auto" w:sz="4" w:space="0"/>
            </w:tcBorders>
            <w:vAlign w:val="center"/>
          </w:tcPr>
          <w:p w14:paraId="3784305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Плановый рост удержания за счёт приложения, п.п.</w:t>
            </w:r>
          </w:p>
        </w:tc>
        <w:tc>
          <w:tcPr>
            <w:tcW w:w="2721" w:type="dxa"/>
            <w:tcBorders>
              <w:top w:val="single" w:color="auto" w:sz="4" w:space="0"/>
              <w:left w:val="single" w:color="auto" w:sz="4" w:space="0"/>
              <w:bottom w:val="single" w:color="auto" w:sz="4" w:space="0"/>
              <w:right w:val="single" w:color="auto" w:sz="4" w:space="0"/>
            </w:tcBorders>
            <w:vAlign w:val="center"/>
          </w:tcPr>
          <w:p w14:paraId="654063A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+3,0 п.п.</w:t>
            </w:r>
          </w:p>
        </w:tc>
        <w:tc>
          <w:tcPr>
            <w:tcW w:w="3118" w:type="dxa"/>
            <w:tcBorders>
              <w:top w:val="single" w:color="auto" w:sz="4" w:space="0"/>
              <w:left w:val="single" w:color="auto" w:sz="4" w:space="0"/>
              <w:bottom w:val="single" w:color="auto" w:sz="4" w:space="0"/>
              <w:right w:val="single" w:color="auto" w:sz="4" w:space="0"/>
            </w:tcBorders>
            <w:vAlign w:val="center"/>
          </w:tcPr>
          <w:p w14:paraId="723C183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требует валидации в пилоте</w:t>
            </w:r>
          </w:p>
        </w:tc>
      </w:tr>
    </w:tbl>
    <w:p w14:paraId="1AD1E101">
      <w:pPr>
        <w:spacing w:before="0" w:after="0"/>
        <w:ind w:firstLine="709"/>
        <w:jc w:val="both"/>
      </w:pPr>
      <w:r>
        <w:rPr>
          <w:rFonts w:ascii="Times New Roman" w:hAnsi="Times New Roman"/>
          <w:b w:val="0"/>
          <w:sz w:val="28"/>
        </w:rPr>
        <w:t>В перечне приведены девять базовых метрик экономического расчёта с указанием значения, источника и статуса верификации. Подтверждённые параметры — уровень неявок 18%, снижение неявок от SMS-напоминаний 29% и инфраструктурные затраты 21 000 руб./мес. — основаны на отраслевых отчётах и тарифах поставщиков. Гипотетические параметры (средний LTV, численность активных пациентов, плановый прирост удержания) требуют валидации в ходе пилота. Разделение по статусам позволяет оценить чувствительность расчёта к неопределённости исходных данных.</w:t>
      </w:r>
    </w:p>
    <w:p w14:paraId="368F1DA1">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43 — Структура капитальных затрат (CAPEX) на 9 месяцев разработки</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6"/>
        <w:gridCol w:w="1417"/>
        <w:gridCol w:w="2551"/>
      </w:tblGrid>
      <w:tr w14:paraId="7498E820">
        <w:tc>
          <w:tcPr>
            <w:tcW w:w="5386" w:type="dxa"/>
            <w:tcBorders>
              <w:top w:val="single" w:color="auto" w:sz="4" w:space="0"/>
              <w:left w:val="single" w:color="auto" w:sz="4" w:space="0"/>
              <w:bottom w:val="single" w:color="auto" w:sz="4" w:space="0"/>
              <w:right w:val="single" w:color="auto" w:sz="4" w:space="0"/>
            </w:tcBorders>
            <w:vAlign w:val="center"/>
          </w:tcPr>
          <w:p w14:paraId="2B70701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Статья</w:t>
            </w:r>
          </w:p>
        </w:tc>
        <w:tc>
          <w:tcPr>
            <w:tcW w:w="1417" w:type="dxa"/>
            <w:tcBorders>
              <w:top w:val="single" w:color="auto" w:sz="4" w:space="0"/>
              <w:left w:val="single" w:color="auto" w:sz="4" w:space="0"/>
              <w:bottom w:val="single" w:color="auto" w:sz="4" w:space="0"/>
              <w:right w:val="single" w:color="auto" w:sz="4" w:space="0"/>
            </w:tcBorders>
            <w:vAlign w:val="center"/>
          </w:tcPr>
          <w:p w14:paraId="1388406D">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b/>
                <w:color w:val="000000"/>
                <w:kern w:val="0"/>
                <w:sz w:val="24"/>
                <w:szCs w:val="24"/>
                <w:lang w:val="en-US" w:eastAsia="ru-RU"/>
                <w14:ligatures w14:val="none"/>
              </w:rPr>
              <w:t xml:space="preserve">Значение, млн </w:t>
            </w:r>
            <w:r>
              <w:rPr>
                <w:rFonts w:ascii="Times New Roman" w:hAnsi="Times New Roman" w:eastAsia="Times New Roman" w:cs="Times New Roman"/>
                <w:b/>
                <w:color w:val="000000"/>
                <w:kern w:val="0"/>
                <w:sz w:val="24"/>
                <w:szCs w:val="24"/>
                <w:lang w:eastAsia="ru-RU"/>
                <w14:ligatures w14:val="none"/>
              </w:rPr>
              <w:t>руб.</w:t>
            </w:r>
          </w:p>
        </w:tc>
        <w:tc>
          <w:tcPr>
            <w:tcW w:w="2551" w:type="dxa"/>
            <w:tcBorders>
              <w:top w:val="single" w:color="auto" w:sz="4" w:space="0"/>
              <w:left w:val="single" w:color="auto" w:sz="4" w:space="0"/>
              <w:bottom w:val="single" w:color="auto" w:sz="4" w:space="0"/>
              <w:right w:val="single" w:color="auto" w:sz="4" w:space="0"/>
            </w:tcBorders>
            <w:vAlign w:val="center"/>
          </w:tcPr>
          <w:p w14:paraId="6D1C5FE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Источник / статус</w:t>
            </w:r>
          </w:p>
        </w:tc>
      </w:tr>
      <w:tr w14:paraId="57880027">
        <w:tc>
          <w:tcPr>
            <w:tcW w:w="5386" w:type="dxa"/>
            <w:tcBorders>
              <w:top w:val="single" w:color="auto" w:sz="4" w:space="0"/>
              <w:left w:val="single" w:color="auto" w:sz="4" w:space="0"/>
              <w:bottom w:val="single" w:color="auto" w:sz="4" w:space="0"/>
              <w:right w:val="single" w:color="auto" w:sz="4" w:space="0"/>
            </w:tcBorders>
            <w:vAlign w:val="center"/>
          </w:tcPr>
          <w:p w14:paraId="290E1C8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M</w:t>
            </w:r>
            <w:r>
              <w:rPr>
                <w:rFonts w:ascii="Times New Roman" w:hAnsi="Times New Roman" w:eastAsia="Times New Roman" w:cs="Times New Roman"/>
                <w:color w:val="000000"/>
                <w:kern w:val="0"/>
                <w:sz w:val="24"/>
                <w:szCs w:val="24"/>
                <w:lang w:eastAsia="ru-RU"/>
                <w14:ligatures w14:val="none"/>
              </w:rPr>
              <w:t>1 (месяцы 1–3): детальный ТЗ, архитектура, дизайн, инфраструктура</w:t>
            </w:r>
          </w:p>
        </w:tc>
        <w:tc>
          <w:tcPr>
            <w:tcW w:w="1417" w:type="dxa"/>
            <w:tcBorders>
              <w:top w:val="single" w:color="auto" w:sz="4" w:space="0"/>
              <w:left w:val="single" w:color="auto" w:sz="4" w:space="0"/>
              <w:bottom w:val="single" w:color="auto" w:sz="4" w:space="0"/>
              <w:right w:val="single" w:color="auto" w:sz="4" w:space="0"/>
            </w:tcBorders>
            <w:vAlign w:val="center"/>
          </w:tcPr>
          <w:p w14:paraId="1D68EEC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7,0</w:t>
            </w:r>
          </w:p>
        </w:tc>
        <w:tc>
          <w:tcPr>
            <w:tcW w:w="2551" w:type="dxa"/>
            <w:tcBorders>
              <w:top w:val="single" w:color="auto" w:sz="4" w:space="0"/>
              <w:left w:val="single" w:color="auto" w:sz="4" w:space="0"/>
              <w:bottom w:val="single" w:color="auto" w:sz="4" w:space="0"/>
              <w:right w:val="single" w:color="auto" w:sz="4" w:space="0"/>
            </w:tcBorders>
            <w:vAlign w:val="center"/>
          </w:tcPr>
          <w:p w14:paraId="5D9C7D83">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по ставкам рынка (команда 5–6 чел.)</w:t>
            </w:r>
          </w:p>
        </w:tc>
      </w:tr>
      <w:tr w14:paraId="6C655507">
        <w:tc>
          <w:tcPr>
            <w:tcW w:w="5386" w:type="dxa"/>
            <w:tcBorders>
              <w:top w:val="single" w:color="auto" w:sz="4" w:space="0"/>
              <w:left w:val="single" w:color="auto" w:sz="4" w:space="0"/>
              <w:bottom w:val="single" w:color="auto" w:sz="4" w:space="0"/>
              <w:right w:val="single" w:color="auto" w:sz="4" w:space="0"/>
            </w:tcBorders>
            <w:vAlign w:val="center"/>
          </w:tcPr>
          <w:p w14:paraId="177AB1C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M</w:t>
            </w:r>
            <w:r>
              <w:rPr>
                <w:rFonts w:ascii="Times New Roman" w:hAnsi="Times New Roman" w:eastAsia="Times New Roman" w:cs="Times New Roman"/>
                <w:color w:val="000000"/>
                <w:kern w:val="0"/>
                <w:sz w:val="24"/>
                <w:szCs w:val="24"/>
                <w:lang w:eastAsia="ru-RU"/>
                <w14:ligatures w14:val="none"/>
              </w:rPr>
              <w:t>2 (месяцы 4–6): разработка пациентского контура и админ-кабинета сотрудника</w:t>
            </w:r>
          </w:p>
        </w:tc>
        <w:tc>
          <w:tcPr>
            <w:tcW w:w="1417" w:type="dxa"/>
            <w:tcBorders>
              <w:top w:val="single" w:color="auto" w:sz="4" w:space="0"/>
              <w:left w:val="single" w:color="auto" w:sz="4" w:space="0"/>
              <w:bottom w:val="single" w:color="auto" w:sz="4" w:space="0"/>
              <w:right w:val="single" w:color="auto" w:sz="4" w:space="0"/>
            </w:tcBorders>
            <w:vAlign w:val="center"/>
          </w:tcPr>
          <w:p w14:paraId="590328C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11,0</w:t>
            </w:r>
          </w:p>
        </w:tc>
        <w:tc>
          <w:tcPr>
            <w:tcW w:w="2551" w:type="dxa"/>
            <w:tcBorders>
              <w:top w:val="single" w:color="auto" w:sz="4" w:space="0"/>
              <w:left w:val="single" w:color="auto" w:sz="4" w:space="0"/>
              <w:bottom w:val="single" w:color="auto" w:sz="4" w:space="0"/>
              <w:right w:val="single" w:color="auto" w:sz="4" w:space="0"/>
            </w:tcBorders>
            <w:vAlign w:val="center"/>
          </w:tcPr>
          <w:p w14:paraId="69408CC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по ставкам рынка</w:t>
            </w:r>
          </w:p>
        </w:tc>
      </w:tr>
      <w:tr w14:paraId="15C05ECE">
        <w:tc>
          <w:tcPr>
            <w:tcW w:w="5386" w:type="dxa"/>
            <w:tcBorders>
              <w:top w:val="single" w:color="auto" w:sz="4" w:space="0"/>
              <w:left w:val="single" w:color="auto" w:sz="4" w:space="0"/>
              <w:bottom w:val="single" w:color="auto" w:sz="4" w:space="0"/>
              <w:right w:val="single" w:color="auto" w:sz="4" w:space="0"/>
            </w:tcBorders>
            <w:vAlign w:val="center"/>
          </w:tcPr>
          <w:p w14:paraId="067BEA3A">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M</w:t>
            </w:r>
            <w:r>
              <w:rPr>
                <w:rFonts w:ascii="Times New Roman" w:hAnsi="Times New Roman" w:eastAsia="Times New Roman" w:cs="Times New Roman"/>
                <w:color w:val="000000"/>
                <w:kern w:val="0"/>
                <w:sz w:val="24"/>
                <w:szCs w:val="24"/>
                <w:lang w:eastAsia="ru-RU"/>
                <w14:ligatures w14:val="none"/>
              </w:rPr>
              <w:t>3 (месяцы 7–9): интеграции, стабилизация, пилот одной клиники сети</w:t>
            </w:r>
          </w:p>
        </w:tc>
        <w:tc>
          <w:tcPr>
            <w:tcW w:w="1417" w:type="dxa"/>
            <w:tcBorders>
              <w:top w:val="single" w:color="auto" w:sz="4" w:space="0"/>
              <w:left w:val="single" w:color="auto" w:sz="4" w:space="0"/>
              <w:bottom w:val="single" w:color="auto" w:sz="4" w:space="0"/>
              <w:right w:val="single" w:color="auto" w:sz="4" w:space="0"/>
            </w:tcBorders>
            <w:vAlign w:val="center"/>
          </w:tcPr>
          <w:p w14:paraId="5AD5702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5,5</w:t>
            </w:r>
          </w:p>
        </w:tc>
        <w:tc>
          <w:tcPr>
            <w:tcW w:w="2551" w:type="dxa"/>
            <w:tcBorders>
              <w:top w:val="single" w:color="auto" w:sz="4" w:space="0"/>
              <w:left w:val="single" w:color="auto" w:sz="4" w:space="0"/>
              <w:bottom w:val="single" w:color="auto" w:sz="4" w:space="0"/>
              <w:right w:val="single" w:color="auto" w:sz="4" w:space="0"/>
            </w:tcBorders>
            <w:vAlign w:val="center"/>
          </w:tcPr>
          <w:p w14:paraId="493BC9FA">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по ставкам рынка</w:t>
            </w:r>
          </w:p>
        </w:tc>
      </w:tr>
      <w:tr w14:paraId="4F17DFB0">
        <w:tc>
          <w:tcPr>
            <w:tcW w:w="5386" w:type="dxa"/>
            <w:tcBorders>
              <w:top w:val="single" w:color="auto" w:sz="4" w:space="0"/>
              <w:left w:val="single" w:color="auto" w:sz="4" w:space="0"/>
              <w:bottom w:val="single" w:color="auto" w:sz="4" w:space="0"/>
              <w:right w:val="single" w:color="auto" w:sz="4" w:space="0"/>
            </w:tcBorders>
            <w:vAlign w:val="center"/>
          </w:tcPr>
          <w:p w14:paraId="1001B64B">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Непрямые расходы: </w:t>
            </w:r>
            <w:r>
              <w:rPr>
                <w:rFonts w:ascii="Times New Roman" w:hAnsi="Times New Roman" w:eastAsia="Times New Roman" w:cs="Times New Roman"/>
                <w:color w:val="000000"/>
                <w:kern w:val="0"/>
                <w:sz w:val="24"/>
                <w:szCs w:val="24"/>
                <w:lang w:val="en-US" w:eastAsia="ru-RU"/>
                <w14:ligatures w14:val="none"/>
              </w:rPr>
              <w:t>HR</w:t>
            </w:r>
            <w:r>
              <w:rPr>
                <w:rFonts w:ascii="Times New Roman" w:hAnsi="Times New Roman" w:eastAsia="Times New Roman" w:cs="Times New Roman"/>
                <w:color w:val="000000"/>
                <w:kern w:val="0"/>
                <w:sz w:val="24"/>
                <w:szCs w:val="24"/>
                <w:lang w:eastAsia="ru-RU"/>
                <w14:ligatures w14:val="none"/>
              </w:rPr>
              <w:t>, менеджмент, юридическое сопровождение</w:t>
            </w:r>
          </w:p>
        </w:tc>
        <w:tc>
          <w:tcPr>
            <w:tcW w:w="1417" w:type="dxa"/>
            <w:tcBorders>
              <w:top w:val="single" w:color="auto" w:sz="4" w:space="0"/>
              <w:left w:val="single" w:color="auto" w:sz="4" w:space="0"/>
              <w:bottom w:val="single" w:color="auto" w:sz="4" w:space="0"/>
              <w:right w:val="single" w:color="auto" w:sz="4" w:space="0"/>
            </w:tcBorders>
            <w:vAlign w:val="center"/>
          </w:tcPr>
          <w:p w14:paraId="2CBB0A3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1,5</w:t>
            </w:r>
          </w:p>
        </w:tc>
        <w:tc>
          <w:tcPr>
            <w:tcW w:w="2551" w:type="dxa"/>
            <w:tcBorders>
              <w:top w:val="single" w:color="auto" w:sz="4" w:space="0"/>
              <w:left w:val="single" w:color="auto" w:sz="4" w:space="0"/>
              <w:bottom w:val="single" w:color="auto" w:sz="4" w:space="0"/>
              <w:right w:val="single" w:color="auto" w:sz="4" w:space="0"/>
            </w:tcBorders>
            <w:vAlign w:val="center"/>
          </w:tcPr>
          <w:p w14:paraId="1E8428A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(до 6 % от прямых затрат)</w:t>
            </w:r>
          </w:p>
        </w:tc>
      </w:tr>
      <w:tr w14:paraId="3F4DBF0B">
        <w:tc>
          <w:tcPr>
            <w:tcW w:w="5386" w:type="dxa"/>
            <w:tcBorders>
              <w:top w:val="single" w:color="auto" w:sz="4" w:space="0"/>
              <w:left w:val="single" w:color="auto" w:sz="4" w:space="0"/>
              <w:bottom w:val="single" w:color="auto" w:sz="4" w:space="0"/>
              <w:right w:val="single" w:color="auto" w:sz="4" w:space="0"/>
            </w:tcBorders>
            <w:vAlign w:val="center"/>
          </w:tcPr>
          <w:p w14:paraId="61ED410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Резерв 10 %</w:t>
            </w:r>
          </w:p>
        </w:tc>
        <w:tc>
          <w:tcPr>
            <w:tcW w:w="1417" w:type="dxa"/>
            <w:tcBorders>
              <w:top w:val="single" w:color="auto" w:sz="4" w:space="0"/>
              <w:left w:val="single" w:color="auto" w:sz="4" w:space="0"/>
              <w:bottom w:val="single" w:color="auto" w:sz="4" w:space="0"/>
              <w:right w:val="single" w:color="auto" w:sz="4" w:space="0"/>
            </w:tcBorders>
            <w:vAlign w:val="center"/>
          </w:tcPr>
          <w:p w14:paraId="65E5489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1,0</w:t>
            </w:r>
          </w:p>
        </w:tc>
        <w:tc>
          <w:tcPr>
            <w:tcW w:w="2551" w:type="dxa"/>
            <w:tcBorders>
              <w:top w:val="single" w:color="auto" w:sz="4" w:space="0"/>
              <w:left w:val="single" w:color="auto" w:sz="4" w:space="0"/>
              <w:bottom w:val="single" w:color="auto" w:sz="4" w:space="0"/>
              <w:right w:val="single" w:color="auto" w:sz="4" w:space="0"/>
            </w:tcBorders>
            <w:vAlign w:val="center"/>
          </w:tcPr>
          <w:p w14:paraId="281EC3E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Модельная оценка</w:t>
            </w:r>
          </w:p>
        </w:tc>
      </w:tr>
      <w:tr w14:paraId="1125135A">
        <w:tc>
          <w:tcPr>
            <w:tcW w:w="5386" w:type="dxa"/>
            <w:tcBorders>
              <w:top w:val="single" w:color="auto" w:sz="4" w:space="0"/>
              <w:left w:val="single" w:color="auto" w:sz="4" w:space="0"/>
              <w:bottom w:val="single" w:color="auto" w:sz="4" w:space="0"/>
              <w:right w:val="single" w:color="auto" w:sz="4" w:space="0"/>
            </w:tcBorders>
            <w:vAlign w:val="center"/>
          </w:tcPr>
          <w:p w14:paraId="24A6F23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Итого CAPEX</w:t>
            </w:r>
          </w:p>
        </w:tc>
        <w:tc>
          <w:tcPr>
            <w:tcW w:w="1417" w:type="dxa"/>
            <w:tcBorders>
              <w:top w:val="single" w:color="auto" w:sz="4" w:space="0"/>
              <w:left w:val="single" w:color="auto" w:sz="4" w:space="0"/>
              <w:bottom w:val="single" w:color="auto" w:sz="4" w:space="0"/>
              <w:right w:val="single" w:color="auto" w:sz="4" w:space="0"/>
            </w:tcBorders>
            <w:vAlign w:val="center"/>
          </w:tcPr>
          <w:p w14:paraId="33A642E7">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26,0</w:t>
            </w:r>
          </w:p>
        </w:tc>
        <w:tc>
          <w:tcPr>
            <w:tcW w:w="2551" w:type="dxa"/>
            <w:tcBorders>
              <w:top w:val="single" w:color="auto" w:sz="4" w:space="0"/>
              <w:left w:val="single" w:color="auto" w:sz="4" w:space="0"/>
              <w:bottom w:val="single" w:color="auto" w:sz="4" w:space="0"/>
              <w:right w:val="single" w:color="auto" w:sz="4" w:space="0"/>
            </w:tcBorders>
            <w:vAlign w:val="center"/>
          </w:tcPr>
          <w:p w14:paraId="0C61707D">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Сумма строк выше</w:t>
            </w:r>
          </w:p>
        </w:tc>
      </w:tr>
    </w:tbl>
    <w:p w14:paraId="63412235">
      <w:pPr>
        <w:spacing w:before="0" w:after="0"/>
        <w:ind w:firstLine="709"/>
        <w:jc w:val="both"/>
      </w:pPr>
      <w:r>
        <w:rPr>
          <w:rFonts w:ascii="Times New Roman" w:hAnsi="Times New Roman"/>
          <w:b w:val="0"/>
          <w:sz w:val="28"/>
        </w:rPr>
        <w:t>Капитальные затраты детализированы по трём этапам разработки. Первый этап (ТЗ, архитектура, дизайн, инфраструктура) составляет 7,0 млн руб., второй (разработка пациентского контура и административного кабинета) — 11,0 млн руб., третий (интеграции, стабилизация, пилот одной клиники) — 5,5 млн руб. С учётом непрямых расходов и резерва 10% суммарный CAPEX составляет 26,0 млн руб. Наибольшая доля затрат приходится на второй этап, что отражает трудоёмкость разработки пользовательской части продукта.</w:t>
      </w:r>
    </w:p>
    <w:p w14:paraId="5664100D">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44 — Структура операционных затрат (OPEX) после запуска, руб./месяц</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1984"/>
        <w:gridCol w:w="2835"/>
      </w:tblGrid>
      <w:tr w14:paraId="132E0191">
        <w:tc>
          <w:tcPr>
            <w:tcW w:w="4535" w:type="dxa"/>
            <w:tcBorders>
              <w:top w:val="single" w:color="auto" w:sz="4" w:space="0"/>
              <w:left w:val="single" w:color="auto" w:sz="4" w:space="0"/>
              <w:bottom w:val="single" w:color="auto" w:sz="4" w:space="0"/>
              <w:right w:val="single" w:color="auto" w:sz="4" w:space="0"/>
            </w:tcBorders>
            <w:vAlign w:val="center"/>
          </w:tcPr>
          <w:p w14:paraId="57C8B0F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Статья</w:t>
            </w:r>
          </w:p>
        </w:tc>
        <w:tc>
          <w:tcPr>
            <w:tcW w:w="1984" w:type="dxa"/>
            <w:tcBorders>
              <w:top w:val="single" w:color="auto" w:sz="4" w:space="0"/>
              <w:left w:val="single" w:color="auto" w:sz="4" w:space="0"/>
              <w:bottom w:val="single" w:color="auto" w:sz="4" w:space="0"/>
              <w:right w:val="single" w:color="auto" w:sz="4" w:space="0"/>
            </w:tcBorders>
            <w:vAlign w:val="center"/>
          </w:tcPr>
          <w:p w14:paraId="4938EEC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 xml:space="preserve">Значение, </w:t>
            </w:r>
            <w:r>
              <w:rPr>
                <w:rFonts w:ascii="Times New Roman" w:hAnsi="Times New Roman" w:eastAsia="Times New Roman" w:cs="Times New Roman"/>
                <w:b/>
                <w:color w:val="000000"/>
                <w:kern w:val="0"/>
                <w:sz w:val="24"/>
                <w:szCs w:val="24"/>
                <w:lang w:eastAsia="ru-RU"/>
                <w14:ligatures w14:val="none"/>
              </w:rPr>
              <w:t>руб.</w:t>
            </w:r>
            <w:r>
              <w:rPr>
                <w:rFonts w:ascii="Times New Roman" w:hAnsi="Times New Roman" w:eastAsia="Times New Roman" w:cs="Times New Roman"/>
                <w:b/>
                <w:color w:val="000000"/>
                <w:kern w:val="0"/>
                <w:sz w:val="24"/>
                <w:szCs w:val="24"/>
                <w:lang w:val="en-US" w:eastAsia="ru-RU"/>
                <w14:ligatures w14:val="none"/>
              </w:rPr>
              <w:t>/мес</w:t>
            </w:r>
          </w:p>
        </w:tc>
        <w:tc>
          <w:tcPr>
            <w:tcW w:w="2835" w:type="dxa"/>
            <w:tcBorders>
              <w:top w:val="single" w:color="auto" w:sz="4" w:space="0"/>
              <w:left w:val="single" w:color="auto" w:sz="4" w:space="0"/>
              <w:bottom w:val="single" w:color="auto" w:sz="4" w:space="0"/>
              <w:right w:val="single" w:color="auto" w:sz="4" w:space="0"/>
            </w:tcBorders>
            <w:vAlign w:val="center"/>
          </w:tcPr>
          <w:p w14:paraId="282E4C3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Источник / статус</w:t>
            </w:r>
          </w:p>
        </w:tc>
      </w:tr>
      <w:tr w14:paraId="0E5D304E">
        <w:tc>
          <w:tcPr>
            <w:tcW w:w="4535" w:type="dxa"/>
            <w:tcBorders>
              <w:top w:val="single" w:color="auto" w:sz="4" w:space="0"/>
              <w:left w:val="single" w:color="auto" w:sz="4" w:space="0"/>
              <w:bottom w:val="single" w:color="auto" w:sz="4" w:space="0"/>
              <w:right w:val="single" w:color="auto" w:sz="4" w:space="0"/>
            </w:tcBorders>
            <w:vAlign w:val="center"/>
          </w:tcPr>
          <w:p w14:paraId="66FEE4A0">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Инфраструктура (Yandex Cloud, Selectel)</w:t>
            </w:r>
          </w:p>
        </w:tc>
        <w:tc>
          <w:tcPr>
            <w:tcW w:w="1984" w:type="dxa"/>
            <w:tcBorders>
              <w:top w:val="single" w:color="auto" w:sz="4" w:space="0"/>
              <w:left w:val="single" w:color="auto" w:sz="4" w:space="0"/>
              <w:bottom w:val="single" w:color="auto" w:sz="4" w:space="0"/>
              <w:right w:val="single" w:color="auto" w:sz="4" w:space="0"/>
            </w:tcBorders>
            <w:vAlign w:val="center"/>
          </w:tcPr>
          <w:p w14:paraId="5B95BCDE">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21 000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1A7B7C5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vendor_pricing, verified</w:t>
            </w:r>
          </w:p>
        </w:tc>
      </w:tr>
      <w:tr w14:paraId="70D98A88">
        <w:tc>
          <w:tcPr>
            <w:tcW w:w="4535" w:type="dxa"/>
            <w:tcBorders>
              <w:top w:val="single" w:color="auto" w:sz="4" w:space="0"/>
              <w:left w:val="single" w:color="auto" w:sz="4" w:space="0"/>
              <w:bottom w:val="single" w:color="auto" w:sz="4" w:space="0"/>
              <w:right w:val="single" w:color="auto" w:sz="4" w:space="0"/>
            </w:tcBorders>
            <w:vAlign w:val="center"/>
          </w:tcPr>
          <w:p w14:paraId="2812E3F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SMS-шлюз (SMSC)</w:t>
            </w:r>
          </w:p>
        </w:tc>
        <w:tc>
          <w:tcPr>
            <w:tcW w:w="1984" w:type="dxa"/>
            <w:tcBorders>
              <w:top w:val="single" w:color="auto" w:sz="4" w:space="0"/>
              <w:left w:val="single" w:color="auto" w:sz="4" w:space="0"/>
              <w:bottom w:val="single" w:color="auto" w:sz="4" w:space="0"/>
              <w:right w:val="single" w:color="auto" w:sz="4" w:space="0"/>
            </w:tcBorders>
            <w:vAlign w:val="center"/>
          </w:tcPr>
          <w:p w14:paraId="77C1884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45 000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5696C392">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Модельная оценка по тарифам </w:t>
            </w:r>
            <w:r>
              <w:rPr>
                <w:rFonts w:ascii="Times New Roman" w:hAnsi="Times New Roman" w:eastAsia="Times New Roman" w:cs="Times New Roman"/>
                <w:color w:val="000000"/>
                <w:kern w:val="0"/>
                <w:sz w:val="24"/>
                <w:szCs w:val="24"/>
                <w:lang w:val="en-US" w:eastAsia="ru-RU"/>
                <w14:ligatures w14:val="none"/>
              </w:rPr>
              <w:t>SMSC</w:t>
            </w:r>
          </w:p>
        </w:tc>
      </w:tr>
      <w:tr w14:paraId="06B37C3B">
        <w:tc>
          <w:tcPr>
            <w:tcW w:w="4535" w:type="dxa"/>
            <w:tcBorders>
              <w:top w:val="single" w:color="auto" w:sz="4" w:space="0"/>
              <w:left w:val="single" w:color="auto" w:sz="4" w:space="0"/>
              <w:bottom w:val="single" w:color="auto" w:sz="4" w:space="0"/>
              <w:right w:val="single" w:color="auto" w:sz="4" w:space="0"/>
            </w:tcBorders>
            <w:vAlign w:val="center"/>
          </w:tcPr>
          <w:p w14:paraId="64A4831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ЭДО (Диадок/СБИС)</w:t>
            </w:r>
          </w:p>
        </w:tc>
        <w:tc>
          <w:tcPr>
            <w:tcW w:w="1984" w:type="dxa"/>
            <w:tcBorders>
              <w:top w:val="single" w:color="auto" w:sz="4" w:space="0"/>
              <w:left w:val="single" w:color="auto" w:sz="4" w:space="0"/>
              <w:bottom w:val="single" w:color="auto" w:sz="4" w:space="0"/>
              <w:right w:val="single" w:color="auto" w:sz="4" w:space="0"/>
            </w:tcBorders>
            <w:vAlign w:val="center"/>
          </w:tcPr>
          <w:p w14:paraId="1645AA40">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12 000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09A1292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по публичным тарифам</w:t>
            </w:r>
          </w:p>
        </w:tc>
      </w:tr>
      <w:tr w14:paraId="1C9E62E5">
        <w:tc>
          <w:tcPr>
            <w:tcW w:w="4535" w:type="dxa"/>
            <w:tcBorders>
              <w:top w:val="single" w:color="auto" w:sz="4" w:space="0"/>
              <w:left w:val="single" w:color="auto" w:sz="4" w:space="0"/>
              <w:bottom w:val="single" w:color="auto" w:sz="4" w:space="0"/>
              <w:right w:val="single" w:color="auto" w:sz="4" w:space="0"/>
            </w:tcBorders>
            <w:vAlign w:val="center"/>
          </w:tcPr>
          <w:p w14:paraId="2EB1A17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Команда поддержки (Middle + 0,5 Senior)</w:t>
            </w:r>
          </w:p>
        </w:tc>
        <w:tc>
          <w:tcPr>
            <w:tcW w:w="1984" w:type="dxa"/>
            <w:tcBorders>
              <w:top w:val="single" w:color="auto" w:sz="4" w:space="0"/>
              <w:left w:val="single" w:color="auto" w:sz="4" w:space="0"/>
              <w:bottom w:val="single" w:color="auto" w:sz="4" w:space="0"/>
              <w:right w:val="single" w:color="auto" w:sz="4" w:space="0"/>
            </w:tcBorders>
            <w:vAlign w:val="center"/>
          </w:tcPr>
          <w:p w14:paraId="6F8C881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600 000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7D4D6165">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по рыночным ставкам</w:t>
            </w:r>
          </w:p>
        </w:tc>
      </w:tr>
      <w:tr w14:paraId="29C3C99F">
        <w:tc>
          <w:tcPr>
            <w:tcW w:w="4535" w:type="dxa"/>
            <w:tcBorders>
              <w:top w:val="single" w:color="auto" w:sz="4" w:space="0"/>
              <w:left w:val="single" w:color="auto" w:sz="4" w:space="0"/>
              <w:bottom w:val="single" w:color="auto" w:sz="4" w:space="0"/>
              <w:right w:val="single" w:color="auto" w:sz="4" w:space="0"/>
            </w:tcBorders>
            <w:vAlign w:val="center"/>
          </w:tcPr>
          <w:p w14:paraId="0344A0C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Compliance (пентесты, ротация ключей)</w:t>
            </w:r>
          </w:p>
        </w:tc>
        <w:tc>
          <w:tcPr>
            <w:tcW w:w="1984" w:type="dxa"/>
            <w:tcBorders>
              <w:top w:val="single" w:color="auto" w:sz="4" w:space="0"/>
              <w:left w:val="single" w:color="auto" w:sz="4" w:space="0"/>
              <w:bottom w:val="single" w:color="auto" w:sz="4" w:space="0"/>
              <w:right w:val="single" w:color="auto" w:sz="4" w:space="0"/>
            </w:tcBorders>
            <w:vAlign w:val="center"/>
          </w:tcPr>
          <w:p w14:paraId="7AD8542B">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20 000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5821F513">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Модельная оценка</w:t>
            </w:r>
          </w:p>
        </w:tc>
      </w:tr>
      <w:tr w14:paraId="2CA12690">
        <w:tc>
          <w:tcPr>
            <w:tcW w:w="4535" w:type="dxa"/>
            <w:tcBorders>
              <w:top w:val="single" w:color="auto" w:sz="4" w:space="0"/>
              <w:left w:val="single" w:color="auto" w:sz="4" w:space="0"/>
              <w:bottom w:val="single" w:color="auto" w:sz="4" w:space="0"/>
              <w:right w:val="single" w:color="auto" w:sz="4" w:space="0"/>
            </w:tcBorders>
            <w:vAlign w:val="center"/>
          </w:tcPr>
          <w:p w14:paraId="571AABEE">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Резерв 10 %</w:t>
            </w:r>
          </w:p>
        </w:tc>
        <w:tc>
          <w:tcPr>
            <w:tcW w:w="1984" w:type="dxa"/>
            <w:tcBorders>
              <w:top w:val="single" w:color="auto" w:sz="4" w:space="0"/>
              <w:left w:val="single" w:color="auto" w:sz="4" w:space="0"/>
              <w:bottom w:val="single" w:color="auto" w:sz="4" w:space="0"/>
              <w:right w:val="single" w:color="auto" w:sz="4" w:space="0"/>
            </w:tcBorders>
            <w:vAlign w:val="center"/>
          </w:tcPr>
          <w:p w14:paraId="3542BB21">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69 800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5C11A984">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Модельная оценка</w:t>
            </w:r>
          </w:p>
        </w:tc>
      </w:tr>
      <w:tr w14:paraId="1ACB3BE3">
        <w:tc>
          <w:tcPr>
            <w:tcW w:w="4535" w:type="dxa"/>
            <w:tcBorders>
              <w:top w:val="single" w:color="auto" w:sz="4" w:space="0"/>
              <w:left w:val="single" w:color="auto" w:sz="4" w:space="0"/>
              <w:bottom w:val="single" w:color="auto" w:sz="4" w:space="0"/>
              <w:right w:val="single" w:color="auto" w:sz="4" w:space="0"/>
            </w:tcBorders>
            <w:vAlign w:val="center"/>
          </w:tcPr>
          <w:p w14:paraId="3D513496">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Итого OPEX</w:t>
            </w:r>
          </w:p>
        </w:tc>
        <w:tc>
          <w:tcPr>
            <w:tcW w:w="1984" w:type="dxa"/>
            <w:tcBorders>
              <w:top w:val="single" w:color="auto" w:sz="4" w:space="0"/>
              <w:left w:val="single" w:color="auto" w:sz="4" w:space="0"/>
              <w:bottom w:val="single" w:color="auto" w:sz="4" w:space="0"/>
              <w:right w:val="single" w:color="auto" w:sz="4" w:space="0"/>
            </w:tcBorders>
            <w:vAlign w:val="center"/>
          </w:tcPr>
          <w:p w14:paraId="6F5B22E6">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767 800 </w:t>
            </w:r>
            <w:r>
              <w:rPr>
                <w:rFonts w:ascii="Times New Roman" w:hAnsi="Times New Roman" w:eastAsia="Times New Roman" w:cs="Times New Roman"/>
                <w:color w:val="000000"/>
                <w:kern w:val="0"/>
                <w:sz w:val="24"/>
                <w:szCs w:val="24"/>
                <w:lang w:eastAsia="ru-RU"/>
                <w14:ligatures w14:val="none"/>
              </w:rPr>
              <w:t>руб.</w:t>
            </w:r>
          </w:p>
        </w:tc>
        <w:tc>
          <w:tcPr>
            <w:tcW w:w="2835" w:type="dxa"/>
            <w:tcBorders>
              <w:top w:val="single" w:color="auto" w:sz="4" w:space="0"/>
              <w:left w:val="single" w:color="auto" w:sz="4" w:space="0"/>
              <w:bottom w:val="single" w:color="auto" w:sz="4" w:space="0"/>
              <w:right w:val="single" w:color="auto" w:sz="4" w:space="0"/>
            </w:tcBorders>
            <w:vAlign w:val="center"/>
          </w:tcPr>
          <w:p w14:paraId="1656CB8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Сумма строк выше</w:t>
            </w:r>
          </w:p>
        </w:tc>
      </w:tr>
    </w:tbl>
    <w:p w14:paraId="01C52346">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Количественная оценка экономического эффекта опирается на четыре формулы. Экономия на неявках </w:t>
      </w:r>
      <w:r>
        <w:rPr>
          <w:rFonts w:ascii="Times New Roman" w:hAnsi="Times New Roman" w:eastAsia="Times New Roman" w:cs="Times New Roman"/>
          <w:color w:val="000000"/>
          <w:kern w:val="0"/>
          <w:sz w:val="28"/>
          <w:szCs w:val="22"/>
          <w:lang w:val="en-US"/>
          <w14:ligatures w14:val="none"/>
        </w:rPr>
        <w:t>Economy</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no</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show</w:t>
      </w:r>
      <w:r>
        <w:rPr>
          <w:rFonts w:ascii="Times New Roman" w:hAnsi="Times New Roman" w:eastAsia="Times New Roman" w:cs="Times New Roman"/>
          <w:color w:val="000000"/>
          <w:kern w:val="0"/>
          <w:sz w:val="28"/>
          <w:szCs w:val="22"/>
          <w14:ligatures w14:val="none"/>
        </w:rPr>
        <w:t xml:space="preserve"> получается как произведение годового числа визитов, базового уровня неявок, относительного снижения за счёт напоминаний и среднего чека первичного приёма. Прирост выручки от удержания </w:t>
      </w:r>
      <w:r>
        <w:rPr>
          <w:rFonts w:ascii="Times New Roman" w:hAnsi="Times New Roman" w:eastAsia="Times New Roman" w:cs="Times New Roman"/>
          <w:color w:val="000000"/>
          <w:kern w:val="0"/>
          <w:sz w:val="28"/>
          <w:szCs w:val="22"/>
          <w:lang w:val="en-US"/>
          <w14:ligatures w14:val="none"/>
        </w:rPr>
        <w:t>ΔRevenue</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retention</w:t>
      </w:r>
      <w:r>
        <w:rPr>
          <w:rFonts w:ascii="Times New Roman" w:hAnsi="Times New Roman" w:eastAsia="Times New Roman" w:cs="Times New Roman"/>
          <w:color w:val="000000"/>
          <w:kern w:val="0"/>
          <w:sz w:val="28"/>
          <w:szCs w:val="22"/>
          <w14:ligatures w14:val="none"/>
        </w:rPr>
        <w:t xml:space="preserve"> – произведение числа активных пациентов, прироста доли удержания и среднего </w:t>
      </w:r>
      <w:r>
        <w:rPr>
          <w:rFonts w:ascii="Times New Roman" w:hAnsi="Times New Roman" w:eastAsia="Times New Roman" w:cs="Times New Roman"/>
          <w:color w:val="000000"/>
          <w:kern w:val="0"/>
          <w:sz w:val="28"/>
          <w:szCs w:val="22"/>
          <w:lang w:val="en-US"/>
          <w14:ligatures w14:val="none"/>
        </w:rPr>
        <w:t>LTV</w:t>
      </w:r>
      <w:r>
        <w:rPr>
          <w:rFonts w:ascii="Times New Roman" w:hAnsi="Times New Roman" w:eastAsia="Times New Roman" w:cs="Times New Roman"/>
          <w:color w:val="000000"/>
          <w:kern w:val="0"/>
          <w:sz w:val="28"/>
          <w:szCs w:val="22"/>
          <w14:ligatures w14:val="none"/>
        </w:rPr>
        <w:t xml:space="preserve">. Срок окупаемости </w:t>
      </w:r>
      <w:r>
        <w:rPr>
          <w:rFonts w:ascii="Times New Roman" w:hAnsi="Times New Roman" w:eastAsia="Times New Roman" w:cs="Times New Roman"/>
          <w:color w:val="000000"/>
          <w:kern w:val="0"/>
          <w:sz w:val="28"/>
          <w:szCs w:val="22"/>
          <w:lang w:val="en-US"/>
          <w14:ligatures w14:val="none"/>
        </w:rPr>
        <w:t>Payback</w:t>
      </w:r>
      <w:r>
        <w:rPr>
          <w:rFonts w:ascii="Times New Roman" w:hAnsi="Times New Roman" w:eastAsia="Times New Roman" w:cs="Times New Roman"/>
          <w:color w:val="000000"/>
          <w:kern w:val="0"/>
          <w:sz w:val="28"/>
          <w:szCs w:val="22"/>
          <w14:ligatures w14:val="none"/>
        </w:rPr>
        <w:t xml:space="preserve"> – отношение капитальных затрат к сумме годовых экономий и прироста выручки за вычетом годовых операционных затрат. </w:t>
      </w:r>
      <w:r>
        <w:rPr>
          <w:rFonts w:ascii="Times New Roman" w:hAnsi="Times New Roman" w:eastAsia="Times New Roman" w:cs="Times New Roman"/>
          <w:color w:val="000000"/>
          <w:kern w:val="0"/>
          <w:sz w:val="28"/>
          <w:szCs w:val="22"/>
          <w:lang w:val="en-US"/>
          <w14:ligatures w14:val="none"/>
        </w:rPr>
        <w:t>ROI</w:t>
      </w:r>
      <w:r>
        <w:rPr>
          <w:rFonts w:ascii="Times New Roman" w:hAnsi="Times New Roman" w:eastAsia="Times New Roman" w:cs="Times New Roman"/>
          <w:color w:val="000000"/>
          <w:kern w:val="0"/>
          <w:sz w:val="28"/>
          <w:szCs w:val="22"/>
          <w14:ligatures w14:val="none"/>
        </w:rPr>
        <w:t xml:space="preserve"> за 24 месяца соотносит возвращённую и прирастающую выручку с суммой капитальных и операционных затрат:</w:t>
      </w:r>
    </w:p>
    <w:p w14:paraId="02E6E390">
      <w:pPr>
        <w:tabs>
          <w:tab w:val="center" w:pos="4677"/>
          <w:tab w:val="right" w:pos="9355"/>
        </w:tabs>
        <w:spacing w:before="0" w:after="0"/>
        <w:ind w:firstLine="709"/>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ab/>
      </w:r>
      <m:oMath>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Economy</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nos</m:t>
            </m:r>
            <m:r>
              <m:rPr/>
              <w:rPr>
                <w:rFonts w:ascii="Cambria Math" w:hAnsi="Cambria Math" w:eastAsia="Cambria Math" w:cs="Times New Roman"/>
                <w:color w:val="000000"/>
                <w:kern w:val="0"/>
                <w:sz w:val="28"/>
                <w:szCs w:val="28"/>
                <w14:ligatures w14:val="none"/>
              </w:rPr>
              <m:t>h</m:t>
            </m:r>
            <m:r>
              <m:rPr/>
              <w:rPr>
                <w:rFonts w:ascii="Cambria Math" w:hAnsi="Cambria Math" w:eastAsia="Cambria Math" w:cs="Times New Roman"/>
                <w:color w:val="000000"/>
                <w:kern w:val="0"/>
                <w:sz w:val="28"/>
                <w:szCs w:val="28"/>
                <w:lang w:val="en-US"/>
                <w14:ligatures w14:val="none"/>
              </w:rPr>
              <m:t>ow</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N</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visits</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r</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nos</m:t>
            </m:r>
            <m:r>
              <m:rPr/>
              <w:rPr>
                <w:rFonts w:ascii="Cambria Math" w:hAnsi="Cambria Math" w:eastAsia="Cambria Math" w:cs="Times New Roman"/>
                <w:color w:val="000000"/>
                <w:kern w:val="0"/>
                <w:sz w:val="28"/>
                <w:szCs w:val="28"/>
                <w14:ligatures w14:val="none"/>
              </w:rPr>
              <m:t>h</m:t>
            </m:r>
            <m:r>
              <m:rPr/>
              <w:rPr>
                <w:rFonts w:ascii="Cambria Math" w:hAnsi="Cambria Math" w:eastAsia="Cambria Math" w:cs="Times New Roman"/>
                <w:color w:val="000000"/>
                <w:kern w:val="0"/>
                <w:sz w:val="28"/>
                <w:szCs w:val="28"/>
                <w:lang w:val="en-US"/>
                <w14:ligatures w14:val="none"/>
              </w:rPr>
              <m:t>ow</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k</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reminder</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r>
          <m:rPr/>
          <w:rPr>
            <w:rFonts w:ascii="Cambria Math" w:hAnsi="Cambria Math" w:eastAsia="Cambria Math" w:cs="Times New Roman"/>
            <w:color w:val="000000"/>
            <w:kern w:val="0"/>
            <w:sz w:val="28"/>
            <w:szCs w:val="28"/>
            <w:lang w:val="en-US"/>
            <w14:ligatures w14:val="none"/>
          </w:rPr>
          <m:t>AvgTicket</m:t>
        </m:r>
      </m:oMath>
      <w:r>
        <w:rPr>
          <w:rFonts w:ascii="Times New Roman" w:hAnsi="Times New Roman" w:eastAsia="Times New Roman" w:cs="Times New Roman"/>
          <w:color w:val="000000"/>
          <w:kern w:val="0"/>
          <w:sz w:val="28"/>
          <w:szCs w:val="22"/>
          <w14:ligatures w14:val="none"/>
        </w:rPr>
        <w:tab/>
      </w:r>
      <w:r>
        <w:rPr>
          <w:rFonts w:ascii="Times New Roman" w:hAnsi="Times New Roman" w:eastAsia="Times New Roman" w:cs="Times New Roman"/>
          <w:color w:val="000000"/>
          <w:kern w:val="0"/>
          <w:sz w:val="28"/>
          <w:szCs w:val="22"/>
          <w14:ligatures w14:val="none"/>
        </w:rPr>
        <w:t>(3.1)</w:t>
      </w:r>
    </w:p>
    <w:p w14:paraId="6EB4C874">
      <w:pPr>
        <w:tabs>
          <w:tab w:val="center" w:pos="4677"/>
          <w:tab w:val="right" w:pos="9355"/>
        </w:tabs>
        <w:spacing w:before="0" w:after="0"/>
        <w:ind w:firstLine="709"/>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ab/>
      </w:r>
      <m:oMath>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ΔRevenue</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retention</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N</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active</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r>
          <m:rPr/>
          <w:rPr>
            <w:rFonts w:ascii="Cambria Math" w:hAnsi="Cambria Math" w:eastAsia="Cambria Math" w:cs="Times New Roman"/>
            <w:color w:val="000000"/>
            <w:kern w:val="0"/>
            <w:sz w:val="28"/>
            <w:szCs w:val="28"/>
            <w:lang w:val="en-US"/>
            <w14:ligatures w14:val="none"/>
          </w:rPr>
          <m:t>ΔRetention</m:t>
        </m:r>
        <m:r>
          <m:rPr/>
          <w:rPr>
            <w:rFonts w:ascii="Cambria Math" w:hAnsi="Cambria Math" w:eastAsia="Cambria Math" w:cs="Times New Roman"/>
            <w:color w:val="000000"/>
            <w:kern w:val="0"/>
            <w:sz w:val="28"/>
            <w:szCs w:val="28"/>
            <w14:ligatures w14:val="none"/>
          </w:rPr>
          <m:t>×</m:t>
        </m:r>
        <m:r>
          <m:rPr/>
          <w:rPr>
            <w:rFonts w:ascii="Cambria Math" w:hAnsi="Cambria Math" w:eastAsia="Cambria Math" w:cs="Times New Roman"/>
            <w:color w:val="000000"/>
            <w:kern w:val="0"/>
            <w:sz w:val="28"/>
            <w:szCs w:val="28"/>
            <w:lang w:val="en-US"/>
            <w14:ligatures w14:val="none"/>
          </w:rPr>
          <m:t>AvgLTV</m:t>
        </m:r>
      </m:oMath>
      <w:r>
        <w:rPr>
          <w:rFonts w:ascii="Times New Roman" w:hAnsi="Times New Roman" w:eastAsia="Times New Roman" w:cs="Times New Roman"/>
          <w:color w:val="000000"/>
          <w:kern w:val="0"/>
          <w:sz w:val="28"/>
          <w:szCs w:val="22"/>
          <w14:ligatures w14:val="none"/>
        </w:rPr>
        <w:tab/>
      </w:r>
      <w:r>
        <w:rPr>
          <w:rFonts w:ascii="Times New Roman" w:hAnsi="Times New Roman" w:eastAsia="Times New Roman" w:cs="Times New Roman"/>
          <w:color w:val="000000"/>
          <w:kern w:val="0"/>
          <w:sz w:val="28"/>
          <w:szCs w:val="22"/>
          <w14:ligatures w14:val="none"/>
        </w:rPr>
        <w:t>(3.2)</w:t>
      </w:r>
    </w:p>
    <w:p w14:paraId="287B035F">
      <w:pPr>
        <w:tabs>
          <w:tab w:val="center" w:pos="4677"/>
          <w:tab w:val="right" w:pos="9355"/>
        </w:tabs>
        <w:spacing w:before="0" w:after="0"/>
        <w:ind w:firstLine="709"/>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ab/>
      </w:r>
      <m:oMath>
        <m:r>
          <m:rPr/>
          <w:rPr>
            <w:rFonts w:ascii="Cambria Math" w:hAnsi="Cambria Math" w:eastAsia="Cambria Math" w:cs="Times New Roman"/>
            <w:color w:val="000000"/>
            <w:kern w:val="0"/>
            <w:sz w:val="28"/>
            <w:szCs w:val="28"/>
            <w:lang w:val="en-US"/>
            <w14:ligatures w14:val="none"/>
          </w:rPr>
          <m:t>Payback</m:t>
        </m:r>
        <m:r>
          <m:rPr/>
          <w:rPr>
            <w:rFonts w:ascii="Cambria Math" w:hAnsi="Cambria Math" w:eastAsia="Cambria Math" w:cs="Times New Roman"/>
            <w:color w:val="000000"/>
            <w:kern w:val="0"/>
            <w:sz w:val="28"/>
            <w:szCs w:val="28"/>
            <w14:ligatures w14:val="none"/>
          </w:rPr>
          <m:t>=</m:t>
        </m:r>
        <m:f>
          <m:fPr>
            <m:ctrlPr>
              <w:rPr>
                <w:rFonts w:ascii="Cambria Math" w:hAnsi="Cambria Math" w:eastAsia="Times New Roman" w:cs="Times New Roman"/>
                <w:color w:val="000000"/>
                <w:kern w:val="0"/>
                <w:sz w:val="28"/>
                <w:szCs w:val="22"/>
                <w:lang w:val="en-US"/>
                <w14:ligatures w14:val="none"/>
              </w:rPr>
            </m:ctrlPr>
          </m:fPr>
          <m:num>
            <m:r>
              <m:rPr/>
              <w:rPr>
                <w:rFonts w:ascii="Cambria Math" w:hAnsi="Cambria Math" w:eastAsia="Cambria Math" w:cs="Times New Roman"/>
                <w:color w:val="000000"/>
                <w:kern w:val="0"/>
                <w:sz w:val="28"/>
                <w:szCs w:val="28"/>
                <w:lang w:val="en-US"/>
                <w14:ligatures w14:val="none"/>
              </w:rPr>
              <m:t>CAPEX</m:t>
            </m:r>
            <m:ctrlPr>
              <w:rPr>
                <w:rFonts w:ascii="Cambria Math" w:hAnsi="Cambria Math" w:eastAsia="Times New Roman" w:cs="Times New Roman"/>
                <w:color w:val="000000"/>
                <w:kern w:val="0"/>
                <w:sz w:val="28"/>
                <w:szCs w:val="22"/>
                <w:lang w:val="en-US"/>
                <w14:ligatures w14:val="none"/>
              </w:rPr>
            </m:ctrlPr>
          </m:num>
          <m:den>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Economy</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nos</m:t>
                </m:r>
                <m:r>
                  <m:rPr/>
                  <w:rPr>
                    <w:rFonts w:ascii="Cambria Math" w:hAnsi="Cambria Math" w:eastAsia="Cambria Math" w:cs="Times New Roman"/>
                    <w:color w:val="000000"/>
                    <w:kern w:val="0"/>
                    <w:sz w:val="28"/>
                    <w:szCs w:val="28"/>
                    <w14:ligatures w14:val="none"/>
                  </w:rPr>
                  <m:t>h</m:t>
                </m:r>
                <m:r>
                  <m:rPr/>
                  <w:rPr>
                    <w:rFonts w:ascii="Cambria Math" w:hAnsi="Cambria Math" w:eastAsia="Cambria Math" w:cs="Times New Roman"/>
                    <w:color w:val="000000"/>
                    <w:kern w:val="0"/>
                    <w:sz w:val="28"/>
                    <w:szCs w:val="28"/>
                    <w:lang w:val="en-US"/>
                    <w14:ligatures w14:val="none"/>
                  </w:rPr>
                  <m:t>ow</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ΔRevenue</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retention</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−12×</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OPEX</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mont</m:t>
                </m:r>
                <m:r>
                  <m:rPr/>
                  <w:rPr>
                    <w:rFonts w:ascii="Cambria Math" w:hAnsi="Cambria Math" w:eastAsia="Cambria Math" w:cs="Times New Roman"/>
                    <w:color w:val="000000"/>
                    <w:kern w:val="0"/>
                    <w:sz w:val="28"/>
                    <w:szCs w:val="28"/>
                    <w14:ligatures w14:val="none"/>
                  </w:rPr>
                  <m:t>h</m:t>
                </m:r>
                <m:r>
                  <m:rPr/>
                  <w:rPr>
                    <w:rFonts w:ascii="Cambria Math" w:hAnsi="Cambria Math" w:eastAsia="Cambria Math" w:cs="Times New Roman"/>
                    <w:color w:val="000000"/>
                    <w:kern w:val="0"/>
                    <w:sz w:val="28"/>
                    <w:szCs w:val="28"/>
                    <w:lang w:val="en-US"/>
                    <w14:ligatures w14:val="none"/>
                  </w:rPr>
                  <m:t>ly</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ctrlPr>
              <w:rPr>
                <w:rFonts w:ascii="Cambria Math" w:hAnsi="Cambria Math" w:eastAsia="Times New Roman" w:cs="Times New Roman"/>
                <w:color w:val="000000"/>
                <w:kern w:val="0"/>
                <w:sz w:val="28"/>
                <w:szCs w:val="22"/>
                <w:lang w:val="en-US"/>
                <w14:ligatures w14:val="none"/>
              </w:rPr>
            </m:ctrlPr>
          </m:den>
        </m:f>
      </m:oMath>
      <w:r>
        <w:rPr>
          <w:rFonts w:ascii="Times New Roman" w:hAnsi="Times New Roman" w:eastAsia="Times New Roman" w:cs="Times New Roman"/>
          <w:color w:val="000000"/>
          <w:kern w:val="0"/>
          <w:sz w:val="28"/>
          <w:szCs w:val="22"/>
          <w14:ligatures w14:val="none"/>
        </w:rPr>
        <w:tab/>
      </w:r>
      <w:r>
        <w:rPr>
          <w:rFonts w:ascii="Times New Roman" w:hAnsi="Times New Roman" w:eastAsia="Times New Roman" w:cs="Times New Roman"/>
          <w:color w:val="000000"/>
          <w:kern w:val="0"/>
          <w:sz w:val="28"/>
          <w:szCs w:val="22"/>
          <w14:ligatures w14:val="none"/>
        </w:rPr>
        <w:t>(3.3)</w:t>
      </w:r>
    </w:p>
    <w:p w14:paraId="123D21D1">
      <w:pPr>
        <w:tabs>
          <w:tab w:val="center" w:pos="4677"/>
          <w:tab w:val="right" w:pos="9355"/>
        </w:tabs>
        <w:spacing w:before="0" w:after="0"/>
        <w:ind w:firstLine="709"/>
        <w:jc w:val="center"/>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ab/>
      </w:r>
      <m:oMath>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ROI</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14:ligatures w14:val="none"/>
              </w:rPr>
              <m:t>24</m:t>
            </m:r>
            <m:r>
              <m:rPr/>
              <w:rPr>
                <w:rFonts w:ascii="Cambria Math" w:hAnsi="Cambria Math" w:eastAsia="Cambria Math" w:cs="Times New Roman"/>
                <w:color w:val="000000"/>
                <w:kern w:val="0"/>
                <w:sz w:val="28"/>
                <w:szCs w:val="28"/>
                <w:lang w:val="en-US"/>
                <w14:ligatures w14:val="none"/>
              </w:rPr>
              <m:t>mo</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f>
          <m:fPr>
            <m:ctrlPr>
              <w:rPr>
                <w:rFonts w:ascii="Cambria Math" w:hAnsi="Cambria Math" w:eastAsia="Times New Roman" w:cs="Times New Roman"/>
                <w:color w:val="000000"/>
                <w:kern w:val="0"/>
                <w:sz w:val="28"/>
                <w:szCs w:val="22"/>
                <w:lang w:val="en-US"/>
                <w14:ligatures w14:val="none"/>
              </w:rPr>
            </m:ctrlPr>
          </m:fPr>
          <m:num>
            <m:r>
              <m:rPr/>
              <w:rPr>
                <w:rFonts w:ascii="Cambria Math" w:hAnsi="Cambria Math" w:eastAsia="Cambria Math" w:cs="Times New Roman"/>
                <w:color w:val="000000"/>
                <w:kern w:val="0"/>
                <w:sz w:val="28"/>
                <w:szCs w:val="28"/>
                <w14:ligatures w14:val="none"/>
              </w:rPr>
              <m:t>(2×(</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Economy</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nos</m:t>
                </m:r>
                <m:r>
                  <m:rPr/>
                  <w:rPr>
                    <w:rFonts w:ascii="Cambria Math" w:hAnsi="Cambria Math" w:eastAsia="Cambria Math" w:cs="Times New Roman"/>
                    <w:color w:val="000000"/>
                    <w:kern w:val="0"/>
                    <w:sz w:val="28"/>
                    <w:szCs w:val="28"/>
                    <w14:ligatures w14:val="none"/>
                  </w:rPr>
                  <m:t>h</m:t>
                </m:r>
                <m:r>
                  <m:rPr/>
                  <w:rPr>
                    <w:rFonts w:ascii="Cambria Math" w:hAnsi="Cambria Math" w:eastAsia="Cambria Math" w:cs="Times New Roman"/>
                    <w:color w:val="000000"/>
                    <w:kern w:val="0"/>
                    <w:sz w:val="28"/>
                    <w:szCs w:val="28"/>
                    <w:lang w:val="en-US"/>
                    <w14:ligatures w14:val="none"/>
                  </w:rPr>
                  <m:t>ow</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ΔRevenue</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retention</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r>
              <m:rPr/>
              <w:rPr>
                <w:rFonts w:ascii="Cambria Math" w:hAnsi="Cambria Math" w:eastAsia="Cambria Math" w:cs="Times New Roman"/>
                <w:color w:val="000000"/>
                <w:kern w:val="0"/>
                <w:sz w:val="28"/>
                <w:szCs w:val="28"/>
                <w:lang w:val="en-US"/>
                <w14:ligatures w14:val="none"/>
              </w:rPr>
              <m:t>CAPEX</m:t>
            </m:r>
            <m:r>
              <m:rPr/>
              <w:rPr>
                <w:rFonts w:ascii="Cambria Math" w:hAnsi="Cambria Math" w:eastAsia="Cambria Math" w:cs="Times New Roman"/>
                <w:color w:val="000000"/>
                <w:kern w:val="0"/>
                <w:sz w:val="28"/>
                <w:szCs w:val="28"/>
                <w14:ligatures w14:val="none"/>
              </w:rPr>
              <m:t>−24×</m:t>
            </m:r>
            <m:sSub>
              <m:sSubPr>
                <m:ctrlPr>
                  <w:rPr>
                    <w:rFonts w:ascii="Cambria Math" w:hAnsi="Cambria Math" w:eastAsia="Times New Roman" w:cs="Times New Roman"/>
                    <w:color w:val="000000"/>
                    <w:kern w:val="0"/>
                    <w:sz w:val="28"/>
                    <w:szCs w:val="22"/>
                    <w:lang w:val="en-US"/>
                    <w14:ligatures w14:val="none"/>
                  </w:rPr>
                </m:ctrlPr>
              </m:sSubPr>
              <m:e>
                <m:r>
                  <m:rPr/>
                  <w:rPr>
                    <w:rFonts w:ascii="Cambria Math" w:hAnsi="Cambria Math" w:eastAsia="Cambria Math" w:cs="Times New Roman"/>
                    <w:color w:val="000000"/>
                    <w:kern w:val="0"/>
                    <w:sz w:val="28"/>
                    <w:szCs w:val="28"/>
                    <w:lang w:val="en-US"/>
                    <w14:ligatures w14:val="none"/>
                  </w:rPr>
                  <m:t>OPEX</m:t>
                </m:r>
                <m:ctrlPr>
                  <w:rPr>
                    <w:rFonts w:ascii="Cambria Math" w:hAnsi="Cambria Math" w:eastAsia="Times New Roman" w:cs="Times New Roman"/>
                    <w:color w:val="000000"/>
                    <w:kern w:val="0"/>
                    <w:sz w:val="28"/>
                    <w:szCs w:val="22"/>
                    <w:lang w:val="en-US"/>
                    <w14:ligatures w14:val="none"/>
                  </w:rPr>
                </m:ctrlPr>
              </m:e>
              <m:sub>
                <m:r>
                  <m:rPr/>
                  <w:rPr>
                    <w:rFonts w:ascii="Cambria Math" w:hAnsi="Cambria Math" w:eastAsia="Cambria Math" w:cs="Times New Roman"/>
                    <w:color w:val="000000"/>
                    <w:kern w:val="0"/>
                    <w:sz w:val="28"/>
                    <w:szCs w:val="28"/>
                    <w:lang w:val="en-US"/>
                    <w14:ligatures w14:val="none"/>
                  </w:rPr>
                  <m:t>mont</m:t>
                </m:r>
                <m:r>
                  <m:rPr/>
                  <w:rPr>
                    <w:rFonts w:ascii="Cambria Math" w:hAnsi="Cambria Math" w:eastAsia="Cambria Math" w:cs="Times New Roman"/>
                    <w:color w:val="000000"/>
                    <w:kern w:val="0"/>
                    <w:sz w:val="28"/>
                    <w:szCs w:val="28"/>
                    <w14:ligatures w14:val="none"/>
                  </w:rPr>
                  <m:t>h</m:t>
                </m:r>
                <m:r>
                  <m:rPr/>
                  <w:rPr>
                    <w:rFonts w:ascii="Cambria Math" w:hAnsi="Cambria Math" w:eastAsia="Cambria Math" w:cs="Times New Roman"/>
                    <w:color w:val="000000"/>
                    <w:kern w:val="0"/>
                    <w:sz w:val="28"/>
                    <w:szCs w:val="28"/>
                    <w:lang w:val="en-US"/>
                    <w14:ligatures w14:val="none"/>
                  </w:rPr>
                  <m:t>ly</m:t>
                </m:r>
                <m:ctrlPr>
                  <w:rPr>
                    <w:rFonts w:ascii="Cambria Math" w:hAnsi="Cambria Math" w:eastAsia="Times New Roman" w:cs="Times New Roman"/>
                    <w:color w:val="000000"/>
                    <w:kern w:val="0"/>
                    <w:sz w:val="28"/>
                    <w:szCs w:val="22"/>
                    <w:lang w:val="en-US"/>
                    <w14:ligatures w14:val="none"/>
                  </w:rPr>
                </m:ctrlPr>
              </m:sub>
            </m:sSub>
            <m:r>
              <m:rPr/>
              <w:rPr>
                <w:rFonts w:ascii="Cambria Math" w:hAnsi="Cambria Math" w:eastAsia="Cambria Math" w:cs="Times New Roman"/>
                <w:color w:val="000000"/>
                <w:kern w:val="0"/>
                <w:sz w:val="28"/>
                <w:szCs w:val="28"/>
                <w14:ligatures w14:val="none"/>
              </w:rPr>
              <m:t>)</m:t>
            </m:r>
            <m:ctrlPr>
              <w:rPr>
                <w:rFonts w:ascii="Cambria Math" w:hAnsi="Cambria Math" w:eastAsia="Times New Roman" w:cs="Times New Roman"/>
                <w:color w:val="000000"/>
                <w:kern w:val="0"/>
                <w:sz w:val="28"/>
                <w:szCs w:val="22"/>
                <w:lang w:val="en-US"/>
                <w14:ligatures w14:val="none"/>
              </w:rPr>
            </m:ctrlPr>
          </m:num>
          <m:den>
            <m:r>
              <m:rPr/>
              <w:rPr>
                <w:rFonts w:ascii="Cambria Math" w:hAnsi="Cambria Math" w:eastAsia="Cambria Math" w:cs="Times New Roman"/>
                <w:color w:val="000000"/>
                <w:kern w:val="0"/>
                <w:sz w:val="28"/>
                <w:szCs w:val="28"/>
                <w:lang w:val="en-US"/>
                <w14:ligatures w14:val="none"/>
              </w:rPr>
              <m:t>CAPEX</m:t>
            </m:r>
            <m:ctrlPr>
              <w:rPr>
                <w:rFonts w:ascii="Cambria Math" w:hAnsi="Cambria Math" w:eastAsia="Times New Roman" w:cs="Times New Roman"/>
                <w:color w:val="000000"/>
                <w:kern w:val="0"/>
                <w:sz w:val="28"/>
                <w:szCs w:val="22"/>
                <w:lang w:val="en-US"/>
                <w14:ligatures w14:val="none"/>
              </w:rPr>
            </m:ctrlPr>
          </m:den>
        </m:f>
      </m:oMath>
      <w:r>
        <w:rPr>
          <w:rFonts w:ascii="Times New Roman" w:hAnsi="Times New Roman" w:eastAsia="Times New Roman" w:cs="Times New Roman"/>
          <w:color w:val="000000"/>
          <w:kern w:val="0"/>
          <w:sz w:val="28"/>
          <w:szCs w:val="22"/>
          <w14:ligatures w14:val="none"/>
        </w:rPr>
        <w:tab/>
      </w:r>
      <w:r>
        <w:rPr>
          <w:rFonts w:ascii="Times New Roman" w:hAnsi="Times New Roman" w:eastAsia="Times New Roman" w:cs="Times New Roman"/>
          <w:color w:val="000000"/>
          <w:kern w:val="0"/>
          <w:sz w:val="28"/>
          <w:szCs w:val="22"/>
          <w14:ligatures w14:val="none"/>
        </w:rPr>
        <w:t>(3.4)</w:t>
      </w:r>
    </w:p>
    <w:p w14:paraId="4E46FB48">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где </w:t>
      </w:r>
      <w:r>
        <w:rPr>
          <w:rFonts w:ascii="Times New Roman" w:hAnsi="Times New Roman" w:eastAsia="Times New Roman" w:cs="Times New Roman"/>
          <w:color w:val="000000"/>
          <w:kern w:val="0"/>
          <w:sz w:val="28"/>
          <w:szCs w:val="22"/>
          <w:lang w:val="en-US"/>
          <w14:ligatures w14:val="none"/>
        </w:rPr>
        <w:t>Economy</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noshow</w:t>
      </w:r>
      <w:r>
        <w:rPr>
          <w:rFonts w:ascii="Times New Roman" w:hAnsi="Times New Roman" w:eastAsia="Times New Roman" w:cs="Times New Roman"/>
          <w:color w:val="000000"/>
          <w:kern w:val="0"/>
          <w:sz w:val="28"/>
          <w:szCs w:val="22"/>
          <w14:ligatures w14:val="none"/>
        </w:rPr>
        <w:t xml:space="preserve"> – годовая экономия от сокращения неявок; </w:t>
      </w:r>
      <w:r>
        <w:rPr>
          <w:rFonts w:ascii="Times New Roman" w:hAnsi="Times New Roman" w:eastAsia="Times New Roman" w:cs="Times New Roman"/>
          <w:color w:val="000000"/>
          <w:kern w:val="0"/>
          <w:sz w:val="28"/>
          <w:szCs w:val="22"/>
          <w:lang w:val="en-US"/>
          <w14:ligatures w14:val="none"/>
        </w:rPr>
        <w:t>N</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visits</w:t>
      </w:r>
      <w:r>
        <w:rPr>
          <w:rFonts w:ascii="Times New Roman" w:hAnsi="Times New Roman" w:eastAsia="Times New Roman" w:cs="Times New Roman"/>
          <w:color w:val="000000"/>
          <w:kern w:val="0"/>
          <w:sz w:val="28"/>
          <w:szCs w:val="22"/>
          <w14:ligatures w14:val="none"/>
        </w:rPr>
        <w:t xml:space="preserve"> – число визитов за год; </w:t>
      </w:r>
      <w:r>
        <w:rPr>
          <w:rFonts w:ascii="Times New Roman" w:hAnsi="Times New Roman" w:eastAsia="Times New Roman" w:cs="Times New Roman"/>
          <w:color w:val="000000"/>
          <w:kern w:val="0"/>
          <w:sz w:val="28"/>
          <w:szCs w:val="22"/>
          <w:lang w:val="en-US"/>
          <w14:ligatures w14:val="none"/>
        </w:rPr>
        <w:t>r</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noshow</w:t>
      </w:r>
      <w:r>
        <w:rPr>
          <w:rFonts w:ascii="Times New Roman" w:hAnsi="Times New Roman" w:eastAsia="Times New Roman" w:cs="Times New Roman"/>
          <w:color w:val="000000"/>
          <w:kern w:val="0"/>
          <w:sz w:val="28"/>
          <w:szCs w:val="22"/>
          <w14:ligatures w14:val="none"/>
        </w:rPr>
        <w:t xml:space="preserve"> – базовый уровень неявок; </w:t>
      </w:r>
      <w:r>
        <w:rPr>
          <w:rFonts w:ascii="Times New Roman" w:hAnsi="Times New Roman" w:eastAsia="Times New Roman" w:cs="Times New Roman"/>
          <w:color w:val="000000"/>
          <w:kern w:val="0"/>
          <w:sz w:val="28"/>
          <w:szCs w:val="22"/>
          <w:lang w:val="en-US"/>
          <w14:ligatures w14:val="none"/>
        </w:rPr>
        <w:t>k</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reminder</w:t>
      </w:r>
      <w:r>
        <w:rPr>
          <w:rFonts w:ascii="Times New Roman" w:hAnsi="Times New Roman" w:eastAsia="Times New Roman" w:cs="Times New Roman"/>
          <w:color w:val="000000"/>
          <w:kern w:val="0"/>
          <w:sz w:val="28"/>
          <w:szCs w:val="22"/>
          <w14:ligatures w14:val="none"/>
        </w:rPr>
        <w:t xml:space="preserve"> – относительное снижение неявок за счёт напоминаний; </w:t>
      </w:r>
      <w:r>
        <w:rPr>
          <w:rFonts w:ascii="Times New Roman" w:hAnsi="Times New Roman" w:eastAsia="Times New Roman" w:cs="Times New Roman"/>
          <w:color w:val="000000"/>
          <w:kern w:val="0"/>
          <w:sz w:val="28"/>
          <w:szCs w:val="22"/>
          <w:lang w:val="en-US"/>
          <w14:ligatures w14:val="none"/>
        </w:rPr>
        <w:t>AvgTicket</w:t>
      </w:r>
      <w:r>
        <w:rPr>
          <w:rFonts w:ascii="Times New Roman" w:hAnsi="Times New Roman" w:eastAsia="Times New Roman" w:cs="Times New Roman"/>
          <w:color w:val="000000"/>
          <w:kern w:val="0"/>
          <w:sz w:val="28"/>
          <w:szCs w:val="22"/>
          <w14:ligatures w14:val="none"/>
        </w:rPr>
        <w:t xml:space="preserve"> – средний чек первичного приёма; </w:t>
      </w:r>
      <w:r>
        <w:rPr>
          <w:rFonts w:ascii="Times New Roman" w:hAnsi="Times New Roman" w:eastAsia="Times New Roman" w:cs="Times New Roman"/>
          <w:color w:val="000000"/>
          <w:kern w:val="0"/>
          <w:sz w:val="28"/>
          <w:szCs w:val="22"/>
          <w:lang w:val="en-US"/>
          <w14:ligatures w14:val="none"/>
        </w:rPr>
        <w:t>ΔRevenue</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retention</w:t>
      </w:r>
      <w:r>
        <w:rPr>
          <w:rFonts w:ascii="Times New Roman" w:hAnsi="Times New Roman" w:eastAsia="Times New Roman" w:cs="Times New Roman"/>
          <w:color w:val="000000"/>
          <w:kern w:val="0"/>
          <w:sz w:val="28"/>
          <w:szCs w:val="22"/>
          <w14:ligatures w14:val="none"/>
        </w:rPr>
        <w:t xml:space="preserve"> – прирост выручки за счёт удержания; </w:t>
      </w:r>
      <w:r>
        <w:rPr>
          <w:rFonts w:ascii="Times New Roman" w:hAnsi="Times New Roman" w:eastAsia="Times New Roman" w:cs="Times New Roman"/>
          <w:color w:val="000000"/>
          <w:kern w:val="0"/>
          <w:sz w:val="28"/>
          <w:szCs w:val="22"/>
          <w:lang w:val="en-US"/>
          <w14:ligatures w14:val="none"/>
        </w:rPr>
        <w:t>N</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active</w:t>
      </w:r>
      <w:r>
        <w:rPr>
          <w:rFonts w:ascii="Times New Roman" w:hAnsi="Times New Roman" w:eastAsia="Times New Roman" w:cs="Times New Roman"/>
          <w:color w:val="000000"/>
          <w:kern w:val="0"/>
          <w:sz w:val="28"/>
          <w:szCs w:val="22"/>
          <w14:ligatures w14:val="none"/>
        </w:rPr>
        <w:t xml:space="preserve"> – число активных пациентов; </w:t>
      </w:r>
      <w:r>
        <w:rPr>
          <w:rFonts w:ascii="Times New Roman" w:hAnsi="Times New Roman" w:eastAsia="Times New Roman" w:cs="Times New Roman"/>
          <w:color w:val="000000"/>
          <w:kern w:val="0"/>
          <w:sz w:val="28"/>
          <w:szCs w:val="22"/>
          <w:lang w:val="en-US"/>
          <w14:ligatures w14:val="none"/>
        </w:rPr>
        <w:t>ΔRetention</w:t>
      </w:r>
      <w:r>
        <w:rPr>
          <w:rFonts w:ascii="Times New Roman" w:hAnsi="Times New Roman" w:eastAsia="Times New Roman" w:cs="Times New Roman"/>
          <w:color w:val="000000"/>
          <w:kern w:val="0"/>
          <w:sz w:val="28"/>
          <w:szCs w:val="22"/>
          <w14:ligatures w14:val="none"/>
        </w:rPr>
        <w:t xml:space="preserve"> – прирост удержания; </w:t>
      </w:r>
      <w:r>
        <w:rPr>
          <w:rFonts w:ascii="Times New Roman" w:hAnsi="Times New Roman" w:eastAsia="Times New Roman" w:cs="Times New Roman"/>
          <w:color w:val="000000"/>
          <w:kern w:val="0"/>
          <w:sz w:val="28"/>
          <w:szCs w:val="22"/>
          <w:lang w:val="en-US"/>
          <w14:ligatures w14:val="none"/>
        </w:rPr>
        <w:t>AvgLTV</w:t>
      </w:r>
      <w:r>
        <w:rPr>
          <w:rFonts w:ascii="Times New Roman" w:hAnsi="Times New Roman" w:eastAsia="Times New Roman" w:cs="Times New Roman"/>
          <w:color w:val="000000"/>
          <w:kern w:val="0"/>
          <w:sz w:val="28"/>
          <w:szCs w:val="22"/>
          <w14:ligatures w14:val="none"/>
        </w:rPr>
        <w:t xml:space="preserve"> – средний жизненный доход от пациента; </w:t>
      </w:r>
      <w:r>
        <w:rPr>
          <w:rFonts w:ascii="Times New Roman" w:hAnsi="Times New Roman" w:eastAsia="Times New Roman" w:cs="Times New Roman"/>
          <w:color w:val="000000"/>
          <w:kern w:val="0"/>
          <w:sz w:val="28"/>
          <w:szCs w:val="22"/>
          <w:lang w:val="en-US"/>
          <w14:ligatures w14:val="none"/>
        </w:rPr>
        <w:t>CAPEX</w:t>
      </w:r>
      <w:r>
        <w:rPr>
          <w:rFonts w:ascii="Times New Roman" w:hAnsi="Times New Roman" w:eastAsia="Times New Roman" w:cs="Times New Roman"/>
          <w:color w:val="000000"/>
          <w:kern w:val="0"/>
          <w:sz w:val="28"/>
          <w:szCs w:val="22"/>
          <w14:ligatures w14:val="none"/>
        </w:rPr>
        <w:t xml:space="preserve"> – капитальные затраты; </w:t>
      </w:r>
      <w:r>
        <w:rPr>
          <w:rFonts w:ascii="Times New Roman" w:hAnsi="Times New Roman" w:eastAsia="Times New Roman" w:cs="Times New Roman"/>
          <w:color w:val="000000"/>
          <w:kern w:val="0"/>
          <w:sz w:val="28"/>
          <w:szCs w:val="22"/>
          <w:lang w:val="en-US"/>
          <w14:ligatures w14:val="none"/>
        </w:rPr>
        <w:t>OPEX</w:t>
      </w:r>
      <w:r>
        <w:rPr>
          <w:rFonts w:ascii="Times New Roman" w:hAnsi="Times New Roman" w:eastAsia="Times New Roman" w:cs="Times New Roman"/>
          <w:color w:val="000000"/>
          <w:kern w:val="0"/>
          <w:sz w:val="28"/>
          <w:szCs w:val="22"/>
          <w14:ligatures w14:val="none"/>
        </w:rPr>
        <w:t>_</w:t>
      </w:r>
      <w:r>
        <w:rPr>
          <w:rFonts w:ascii="Times New Roman" w:hAnsi="Times New Roman" w:eastAsia="Times New Roman" w:cs="Times New Roman"/>
          <w:color w:val="000000"/>
          <w:kern w:val="0"/>
          <w:sz w:val="28"/>
          <w:szCs w:val="22"/>
          <w:lang w:val="en-US"/>
          <w14:ligatures w14:val="none"/>
        </w:rPr>
        <w:t>monthly</w:t>
      </w:r>
      <w:r>
        <w:rPr>
          <w:rFonts w:ascii="Times New Roman" w:hAnsi="Times New Roman" w:eastAsia="Times New Roman" w:cs="Times New Roman"/>
          <w:color w:val="000000"/>
          <w:kern w:val="0"/>
          <w:sz w:val="28"/>
          <w:szCs w:val="22"/>
          <w14:ligatures w14:val="none"/>
        </w:rPr>
        <w:t xml:space="preserve"> – ежемесячные операционные затраты.</w:t>
      </w:r>
    </w:p>
    <w:p w14:paraId="1422E761">
      <w:pPr>
        <w:spacing w:before="0" w:after="0" w:line="360" w:lineRule="auto"/>
        <w:jc w:val="left"/>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Таблица 45 — Чувствительность периода окупаемости к ключевым допущениям</w:t>
      </w:r>
    </w:p>
    <w:tbl>
      <w:tblPr>
        <w:tblStyle w:val="1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25"/>
        <w:gridCol w:w="1388"/>
        <w:gridCol w:w="2061"/>
        <w:gridCol w:w="1864"/>
      </w:tblGrid>
      <w:tr w14:paraId="072FFD2A">
        <w:tc>
          <w:tcPr>
            <w:tcW w:w="2608" w:type="dxa"/>
            <w:tcBorders>
              <w:top w:val="single" w:color="auto" w:sz="4" w:space="0"/>
              <w:left w:val="single" w:color="auto" w:sz="4" w:space="0"/>
              <w:bottom w:val="single" w:color="auto" w:sz="4" w:space="0"/>
              <w:right w:val="single" w:color="auto" w:sz="4" w:space="0"/>
            </w:tcBorders>
            <w:vAlign w:val="center"/>
          </w:tcPr>
          <w:p w14:paraId="1A132F2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Параметр</w:t>
            </w:r>
          </w:p>
        </w:tc>
        <w:tc>
          <w:tcPr>
            <w:tcW w:w="1587" w:type="dxa"/>
            <w:tcBorders>
              <w:top w:val="single" w:color="auto" w:sz="4" w:space="0"/>
              <w:left w:val="single" w:color="auto" w:sz="4" w:space="0"/>
              <w:bottom w:val="single" w:color="auto" w:sz="4" w:space="0"/>
              <w:right w:val="single" w:color="auto" w:sz="4" w:space="0"/>
            </w:tcBorders>
            <w:vAlign w:val="center"/>
          </w:tcPr>
          <w:p w14:paraId="6D03FC59">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Пессимистичный</w:t>
            </w:r>
          </w:p>
        </w:tc>
        <w:tc>
          <w:tcPr>
            <w:tcW w:w="1587" w:type="dxa"/>
            <w:tcBorders>
              <w:top w:val="single" w:color="auto" w:sz="4" w:space="0"/>
              <w:left w:val="single" w:color="auto" w:sz="4" w:space="0"/>
              <w:bottom w:val="single" w:color="auto" w:sz="4" w:space="0"/>
              <w:right w:val="single" w:color="auto" w:sz="4" w:space="0"/>
            </w:tcBorders>
            <w:vAlign w:val="center"/>
          </w:tcPr>
          <w:p w14:paraId="4CF4C9BC">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Базовый</w:t>
            </w:r>
          </w:p>
        </w:tc>
        <w:tc>
          <w:tcPr>
            <w:tcW w:w="1587" w:type="dxa"/>
            <w:tcBorders>
              <w:top w:val="single" w:color="auto" w:sz="4" w:space="0"/>
              <w:left w:val="single" w:color="auto" w:sz="4" w:space="0"/>
              <w:bottom w:val="single" w:color="auto" w:sz="4" w:space="0"/>
              <w:right w:val="single" w:color="auto" w:sz="4" w:space="0"/>
            </w:tcBorders>
            <w:vAlign w:val="center"/>
          </w:tcPr>
          <w:p w14:paraId="65EBFE3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Оптимистичный</w:t>
            </w:r>
          </w:p>
        </w:tc>
        <w:tc>
          <w:tcPr>
            <w:tcW w:w="1984" w:type="dxa"/>
            <w:tcBorders>
              <w:top w:val="single" w:color="auto" w:sz="4" w:space="0"/>
              <w:left w:val="single" w:color="auto" w:sz="4" w:space="0"/>
              <w:bottom w:val="single" w:color="auto" w:sz="4" w:space="0"/>
              <w:right w:val="single" w:color="auto" w:sz="4" w:space="0"/>
            </w:tcBorders>
            <w:vAlign w:val="center"/>
          </w:tcPr>
          <w:p w14:paraId="2985A5A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b/>
                <w:color w:val="000000"/>
                <w:kern w:val="0"/>
                <w:sz w:val="24"/>
                <w:szCs w:val="24"/>
                <w:lang w:val="en-US" w:eastAsia="ru-RU"/>
                <w14:ligatures w14:val="none"/>
              </w:rPr>
              <w:t>Комментарий</w:t>
            </w:r>
          </w:p>
        </w:tc>
      </w:tr>
      <w:tr w14:paraId="6EA3E835">
        <w:tc>
          <w:tcPr>
            <w:tcW w:w="2608" w:type="dxa"/>
            <w:tcBorders>
              <w:top w:val="single" w:color="auto" w:sz="4" w:space="0"/>
              <w:left w:val="single" w:color="auto" w:sz="4" w:space="0"/>
              <w:bottom w:val="single" w:color="auto" w:sz="4" w:space="0"/>
              <w:right w:val="single" w:color="auto" w:sz="4" w:space="0"/>
            </w:tcBorders>
            <w:vAlign w:val="center"/>
          </w:tcPr>
          <w:p w14:paraId="570FE86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No-show до внедрения, %</w:t>
            </w:r>
          </w:p>
        </w:tc>
        <w:tc>
          <w:tcPr>
            <w:tcW w:w="1587" w:type="dxa"/>
            <w:tcBorders>
              <w:top w:val="single" w:color="auto" w:sz="4" w:space="0"/>
              <w:left w:val="single" w:color="auto" w:sz="4" w:space="0"/>
              <w:bottom w:val="single" w:color="auto" w:sz="4" w:space="0"/>
              <w:right w:val="single" w:color="auto" w:sz="4" w:space="0"/>
            </w:tcBorders>
            <w:vAlign w:val="center"/>
          </w:tcPr>
          <w:p w14:paraId="1853C7C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12,0 %</w:t>
            </w:r>
          </w:p>
        </w:tc>
        <w:tc>
          <w:tcPr>
            <w:tcW w:w="1587" w:type="dxa"/>
            <w:tcBorders>
              <w:top w:val="single" w:color="auto" w:sz="4" w:space="0"/>
              <w:left w:val="single" w:color="auto" w:sz="4" w:space="0"/>
              <w:bottom w:val="single" w:color="auto" w:sz="4" w:space="0"/>
              <w:right w:val="single" w:color="auto" w:sz="4" w:space="0"/>
            </w:tcBorders>
            <w:vAlign w:val="center"/>
          </w:tcPr>
          <w:p w14:paraId="6125047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18,0 %</w:t>
            </w:r>
          </w:p>
        </w:tc>
        <w:tc>
          <w:tcPr>
            <w:tcW w:w="1587" w:type="dxa"/>
            <w:tcBorders>
              <w:top w:val="single" w:color="auto" w:sz="4" w:space="0"/>
              <w:left w:val="single" w:color="auto" w:sz="4" w:space="0"/>
              <w:bottom w:val="single" w:color="auto" w:sz="4" w:space="0"/>
              <w:right w:val="single" w:color="auto" w:sz="4" w:space="0"/>
            </w:tcBorders>
            <w:vAlign w:val="center"/>
          </w:tcPr>
          <w:p w14:paraId="642A741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25,0 %</w:t>
            </w:r>
          </w:p>
        </w:tc>
        <w:tc>
          <w:tcPr>
            <w:tcW w:w="1984" w:type="dxa"/>
            <w:tcBorders>
              <w:top w:val="single" w:color="auto" w:sz="4" w:space="0"/>
              <w:left w:val="single" w:color="auto" w:sz="4" w:space="0"/>
              <w:bottom w:val="single" w:color="auto" w:sz="4" w:space="0"/>
              <w:right w:val="single" w:color="auto" w:sz="4" w:space="0"/>
            </w:tcBorders>
            <w:vAlign w:val="center"/>
          </w:tcPr>
          <w:p w14:paraId="4BB4B581">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Диапазон по отраслевым данным</w:t>
            </w:r>
          </w:p>
        </w:tc>
      </w:tr>
      <w:tr w14:paraId="1E42501E">
        <w:tc>
          <w:tcPr>
            <w:tcW w:w="2608" w:type="dxa"/>
            <w:tcBorders>
              <w:top w:val="single" w:color="auto" w:sz="4" w:space="0"/>
              <w:left w:val="single" w:color="auto" w:sz="4" w:space="0"/>
              <w:bottom w:val="single" w:color="auto" w:sz="4" w:space="0"/>
              <w:right w:val="single" w:color="auto" w:sz="4" w:space="0"/>
            </w:tcBorders>
            <w:vAlign w:val="center"/>
          </w:tcPr>
          <w:p w14:paraId="21102AFF">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Прирост удержания </w:t>
            </w:r>
            <w:r>
              <w:rPr>
                <w:rFonts w:ascii="Times New Roman" w:hAnsi="Times New Roman" w:eastAsia="Times New Roman" w:cs="Times New Roman"/>
                <w:color w:val="000000"/>
                <w:kern w:val="0"/>
                <w:sz w:val="24"/>
                <w:szCs w:val="24"/>
                <w:lang w:val="en-US" w:eastAsia="ru-RU"/>
                <w14:ligatures w14:val="none"/>
              </w:rPr>
              <w:t>ΔRetention</w:t>
            </w:r>
            <w:r>
              <w:rPr>
                <w:rFonts w:ascii="Times New Roman" w:hAnsi="Times New Roman" w:eastAsia="Times New Roman" w:cs="Times New Roman"/>
                <w:color w:val="000000"/>
                <w:kern w:val="0"/>
                <w:sz w:val="24"/>
                <w:szCs w:val="24"/>
                <w:lang w:eastAsia="ru-RU"/>
                <w14:ligatures w14:val="none"/>
              </w:rPr>
              <w:t>, п.п.</w:t>
            </w:r>
          </w:p>
        </w:tc>
        <w:tc>
          <w:tcPr>
            <w:tcW w:w="1587" w:type="dxa"/>
            <w:tcBorders>
              <w:top w:val="single" w:color="auto" w:sz="4" w:space="0"/>
              <w:left w:val="single" w:color="auto" w:sz="4" w:space="0"/>
              <w:bottom w:val="single" w:color="auto" w:sz="4" w:space="0"/>
              <w:right w:val="single" w:color="auto" w:sz="4" w:space="0"/>
            </w:tcBorders>
            <w:vAlign w:val="center"/>
          </w:tcPr>
          <w:p w14:paraId="044E484A">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+1,5</w:t>
            </w:r>
          </w:p>
        </w:tc>
        <w:tc>
          <w:tcPr>
            <w:tcW w:w="1587" w:type="dxa"/>
            <w:tcBorders>
              <w:top w:val="single" w:color="auto" w:sz="4" w:space="0"/>
              <w:left w:val="single" w:color="auto" w:sz="4" w:space="0"/>
              <w:bottom w:val="single" w:color="auto" w:sz="4" w:space="0"/>
              <w:right w:val="single" w:color="auto" w:sz="4" w:space="0"/>
            </w:tcBorders>
            <w:vAlign w:val="center"/>
          </w:tcPr>
          <w:p w14:paraId="4A37F59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+3,0</w:t>
            </w:r>
          </w:p>
        </w:tc>
        <w:tc>
          <w:tcPr>
            <w:tcW w:w="1587" w:type="dxa"/>
            <w:tcBorders>
              <w:top w:val="single" w:color="auto" w:sz="4" w:space="0"/>
              <w:left w:val="single" w:color="auto" w:sz="4" w:space="0"/>
              <w:bottom w:val="single" w:color="auto" w:sz="4" w:space="0"/>
              <w:right w:val="single" w:color="auto" w:sz="4" w:space="0"/>
            </w:tcBorders>
            <w:vAlign w:val="center"/>
          </w:tcPr>
          <w:p w14:paraId="5FD51F88">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+5,0</w:t>
            </w:r>
          </w:p>
        </w:tc>
        <w:tc>
          <w:tcPr>
            <w:tcW w:w="1984" w:type="dxa"/>
            <w:tcBorders>
              <w:top w:val="single" w:color="auto" w:sz="4" w:space="0"/>
              <w:left w:val="single" w:color="auto" w:sz="4" w:space="0"/>
              <w:bottom w:val="single" w:color="auto" w:sz="4" w:space="0"/>
              <w:right w:val="single" w:color="auto" w:sz="4" w:space="0"/>
            </w:tcBorders>
            <w:vAlign w:val="center"/>
          </w:tcPr>
          <w:p w14:paraId="0E278C69">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Модельная оценка, валидация в пилоте</w:t>
            </w:r>
          </w:p>
        </w:tc>
      </w:tr>
      <w:tr w14:paraId="5781F43E">
        <w:tc>
          <w:tcPr>
            <w:tcW w:w="2608" w:type="dxa"/>
            <w:tcBorders>
              <w:top w:val="single" w:color="auto" w:sz="4" w:space="0"/>
              <w:left w:val="single" w:color="auto" w:sz="4" w:space="0"/>
              <w:bottom w:val="single" w:color="auto" w:sz="4" w:space="0"/>
              <w:right w:val="single" w:color="auto" w:sz="4" w:space="0"/>
            </w:tcBorders>
            <w:vAlign w:val="center"/>
          </w:tcPr>
          <w:p w14:paraId="71085CAC">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Средний LTV пациента, </w:t>
            </w:r>
            <w:r>
              <w:rPr>
                <w:rFonts w:ascii="Times New Roman" w:hAnsi="Times New Roman" w:eastAsia="Times New Roman" w:cs="Times New Roman"/>
                <w:color w:val="000000"/>
                <w:kern w:val="0"/>
                <w:sz w:val="24"/>
                <w:szCs w:val="24"/>
                <w:lang w:eastAsia="ru-RU"/>
                <w14:ligatures w14:val="none"/>
              </w:rPr>
              <w:t>руб.</w:t>
            </w:r>
          </w:p>
        </w:tc>
        <w:tc>
          <w:tcPr>
            <w:tcW w:w="1587" w:type="dxa"/>
            <w:tcBorders>
              <w:top w:val="single" w:color="auto" w:sz="4" w:space="0"/>
              <w:left w:val="single" w:color="auto" w:sz="4" w:space="0"/>
              <w:bottom w:val="single" w:color="auto" w:sz="4" w:space="0"/>
              <w:right w:val="single" w:color="auto" w:sz="4" w:space="0"/>
            </w:tcBorders>
            <w:vAlign w:val="center"/>
          </w:tcPr>
          <w:p w14:paraId="68D82127">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80 000 </w:t>
            </w:r>
            <w:r>
              <w:rPr>
                <w:rFonts w:ascii="Times New Roman" w:hAnsi="Times New Roman" w:eastAsia="Times New Roman" w:cs="Times New Roman"/>
                <w:color w:val="000000"/>
                <w:kern w:val="0"/>
                <w:sz w:val="24"/>
                <w:szCs w:val="24"/>
                <w:lang w:eastAsia="ru-RU"/>
                <w14:ligatures w14:val="none"/>
              </w:rPr>
              <w:t>руб.</w:t>
            </w:r>
          </w:p>
        </w:tc>
        <w:tc>
          <w:tcPr>
            <w:tcW w:w="1587" w:type="dxa"/>
            <w:tcBorders>
              <w:top w:val="single" w:color="auto" w:sz="4" w:space="0"/>
              <w:left w:val="single" w:color="auto" w:sz="4" w:space="0"/>
              <w:bottom w:val="single" w:color="auto" w:sz="4" w:space="0"/>
              <w:right w:val="single" w:color="auto" w:sz="4" w:space="0"/>
            </w:tcBorders>
            <w:vAlign w:val="center"/>
          </w:tcPr>
          <w:p w14:paraId="467CB9F2">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120 000 </w:t>
            </w:r>
            <w:r>
              <w:rPr>
                <w:rFonts w:ascii="Times New Roman" w:hAnsi="Times New Roman" w:eastAsia="Times New Roman" w:cs="Times New Roman"/>
                <w:color w:val="000000"/>
                <w:kern w:val="0"/>
                <w:sz w:val="24"/>
                <w:szCs w:val="24"/>
                <w:lang w:eastAsia="ru-RU"/>
                <w14:ligatures w14:val="none"/>
              </w:rPr>
              <w:t>руб.</w:t>
            </w:r>
          </w:p>
        </w:tc>
        <w:tc>
          <w:tcPr>
            <w:tcW w:w="1587" w:type="dxa"/>
            <w:tcBorders>
              <w:top w:val="single" w:color="auto" w:sz="4" w:space="0"/>
              <w:left w:val="single" w:color="auto" w:sz="4" w:space="0"/>
              <w:bottom w:val="single" w:color="auto" w:sz="4" w:space="0"/>
              <w:right w:val="single" w:color="auto" w:sz="4" w:space="0"/>
            </w:tcBorders>
            <w:vAlign w:val="center"/>
          </w:tcPr>
          <w:p w14:paraId="39F65E84">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val="en-US" w:eastAsia="ru-RU"/>
                <w14:ligatures w14:val="none"/>
              </w:rPr>
              <w:t xml:space="preserve">180 000 </w:t>
            </w:r>
            <w:r>
              <w:rPr>
                <w:rFonts w:ascii="Times New Roman" w:hAnsi="Times New Roman" w:eastAsia="Times New Roman" w:cs="Times New Roman"/>
                <w:color w:val="000000"/>
                <w:kern w:val="0"/>
                <w:sz w:val="24"/>
                <w:szCs w:val="24"/>
                <w:lang w:eastAsia="ru-RU"/>
                <w14:ligatures w14:val="none"/>
              </w:rPr>
              <w:t>руб.</w:t>
            </w:r>
          </w:p>
        </w:tc>
        <w:tc>
          <w:tcPr>
            <w:tcW w:w="1984" w:type="dxa"/>
            <w:tcBorders>
              <w:top w:val="single" w:color="auto" w:sz="4" w:space="0"/>
              <w:left w:val="single" w:color="auto" w:sz="4" w:space="0"/>
              <w:bottom w:val="single" w:color="auto" w:sz="4" w:space="0"/>
              <w:right w:val="single" w:color="auto" w:sz="4" w:space="0"/>
            </w:tcBorders>
            <w:vAlign w:val="center"/>
          </w:tcPr>
          <w:p w14:paraId="3B94D37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Гипотеза, требует валидации</w:t>
            </w:r>
          </w:p>
        </w:tc>
      </w:tr>
      <w:tr w14:paraId="3B1FFFF4">
        <w:tc>
          <w:tcPr>
            <w:tcW w:w="2608" w:type="dxa"/>
            <w:tcBorders>
              <w:top w:val="single" w:color="auto" w:sz="4" w:space="0"/>
              <w:left w:val="single" w:color="auto" w:sz="4" w:space="0"/>
              <w:bottom w:val="single" w:color="auto" w:sz="4" w:space="0"/>
              <w:right w:val="single" w:color="auto" w:sz="4" w:space="0"/>
            </w:tcBorders>
            <w:vAlign w:val="center"/>
          </w:tcPr>
          <w:p w14:paraId="2F83D135">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Срок окупаемости</w:t>
            </w:r>
          </w:p>
        </w:tc>
        <w:tc>
          <w:tcPr>
            <w:tcW w:w="1587" w:type="dxa"/>
            <w:tcBorders>
              <w:top w:val="single" w:color="auto" w:sz="4" w:space="0"/>
              <w:left w:val="single" w:color="auto" w:sz="4" w:space="0"/>
              <w:bottom w:val="single" w:color="auto" w:sz="4" w:space="0"/>
              <w:right w:val="single" w:color="auto" w:sz="4" w:space="0"/>
            </w:tcBorders>
            <w:vAlign w:val="center"/>
          </w:tcPr>
          <w:p w14:paraId="6EFD9A32">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не достигается</w:t>
            </w:r>
          </w:p>
        </w:tc>
        <w:tc>
          <w:tcPr>
            <w:tcW w:w="1587" w:type="dxa"/>
            <w:tcBorders>
              <w:top w:val="single" w:color="auto" w:sz="4" w:space="0"/>
              <w:left w:val="single" w:color="auto" w:sz="4" w:space="0"/>
              <w:bottom w:val="single" w:color="auto" w:sz="4" w:space="0"/>
              <w:right w:val="single" w:color="auto" w:sz="4" w:space="0"/>
            </w:tcBorders>
            <w:vAlign w:val="center"/>
          </w:tcPr>
          <w:p w14:paraId="121155FF">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19,1 мес.</w:t>
            </w:r>
          </w:p>
        </w:tc>
        <w:tc>
          <w:tcPr>
            <w:tcW w:w="1587" w:type="dxa"/>
            <w:tcBorders>
              <w:top w:val="single" w:color="auto" w:sz="4" w:space="0"/>
              <w:left w:val="single" w:color="auto" w:sz="4" w:space="0"/>
              <w:bottom w:val="single" w:color="auto" w:sz="4" w:space="0"/>
              <w:right w:val="single" w:color="auto" w:sz="4" w:space="0"/>
            </w:tcBorders>
            <w:vAlign w:val="center"/>
          </w:tcPr>
          <w:p w14:paraId="3E1CC56B">
            <w:pPr>
              <w:spacing w:before="0" w:after="0" w:line="240" w:lineRule="auto"/>
              <w:ind w:firstLine="0"/>
              <w:jc w:val="both"/>
              <w:rPr>
                <w:rFonts w:ascii="Times New Roman" w:hAnsi="Times New Roman" w:eastAsia="Times New Roman" w:cs="Times New Roman"/>
                <w:color w:val="000000"/>
                <w:kern w:val="0"/>
                <w:sz w:val="24"/>
                <w:szCs w:val="24"/>
                <w:lang w:val="en-US" w:eastAsia="ru-RU"/>
                <w14:ligatures w14:val="none"/>
              </w:rPr>
            </w:pPr>
            <w:r>
              <w:rPr>
                <w:rFonts w:ascii="Times New Roman" w:hAnsi="Times New Roman" w:eastAsia="Times New Roman" w:cs="Times New Roman"/>
                <w:color w:val="000000"/>
                <w:kern w:val="0"/>
                <w:sz w:val="24"/>
                <w:szCs w:val="24"/>
                <w:lang w:val="en-US" w:eastAsia="ru-RU"/>
                <w14:ligatures w14:val="none"/>
              </w:rPr>
              <w:t>5,7 мес.</w:t>
            </w:r>
          </w:p>
        </w:tc>
        <w:tc>
          <w:tcPr>
            <w:tcW w:w="1984" w:type="dxa"/>
            <w:tcBorders>
              <w:top w:val="single" w:color="auto" w:sz="4" w:space="0"/>
              <w:left w:val="single" w:color="auto" w:sz="4" w:space="0"/>
              <w:bottom w:val="single" w:color="auto" w:sz="4" w:space="0"/>
              <w:right w:val="single" w:color="auto" w:sz="4" w:space="0"/>
            </w:tcBorders>
            <w:vAlign w:val="center"/>
          </w:tcPr>
          <w:p w14:paraId="70CE7308">
            <w:pPr>
              <w:spacing w:before="0" w:after="0" w:line="240" w:lineRule="auto"/>
              <w:ind w:firstLine="0"/>
              <w:jc w:val="both"/>
              <w:rPr>
                <w:rFonts w:ascii="Times New Roman" w:hAnsi="Times New Roman" w:eastAsia="Times New Roman" w:cs="Times New Roman"/>
                <w:color w:val="000000"/>
                <w:kern w:val="0"/>
                <w:sz w:val="24"/>
                <w:szCs w:val="24"/>
                <w:lang w:eastAsia="ru-RU"/>
                <w14:ligatures w14:val="none"/>
              </w:rPr>
            </w:pPr>
            <w:r>
              <w:rPr>
                <w:rFonts w:ascii="Times New Roman" w:hAnsi="Times New Roman" w:eastAsia="Times New Roman" w:cs="Times New Roman"/>
                <w:color w:val="000000"/>
                <w:kern w:val="0"/>
                <w:sz w:val="24"/>
                <w:szCs w:val="24"/>
                <w:lang w:eastAsia="ru-RU"/>
                <w14:ligatures w14:val="none"/>
              </w:rPr>
              <w:t xml:space="preserve">Расчёт по формуле </w:t>
            </w:r>
            <w:r>
              <w:rPr>
                <w:rFonts w:ascii="Times New Roman" w:hAnsi="Times New Roman" w:eastAsia="Times New Roman" w:cs="Times New Roman"/>
                <w:color w:val="000000"/>
                <w:kern w:val="0"/>
                <w:sz w:val="24"/>
                <w:szCs w:val="24"/>
                <w:lang w:val="en-US" w:eastAsia="ru-RU"/>
                <w14:ligatures w14:val="none"/>
              </w:rPr>
              <w:t>Payback</w:t>
            </w:r>
            <w:r>
              <w:rPr>
                <w:rFonts w:ascii="Times New Roman" w:hAnsi="Times New Roman" w:eastAsia="Times New Roman" w:cs="Times New Roman"/>
                <w:color w:val="000000"/>
                <w:kern w:val="0"/>
                <w:sz w:val="24"/>
                <w:szCs w:val="24"/>
                <w:lang w:eastAsia="ru-RU"/>
                <w14:ligatures w14:val="none"/>
              </w:rPr>
              <w:t xml:space="preserve"> выше</w:t>
            </w:r>
          </w:p>
        </w:tc>
      </w:tr>
    </w:tbl>
    <w:p w14:paraId="55AB0BD5">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В базовом сценарии годовая экономия на неявках – 3,92 млн руб., прогнозируемый прирост выручки от удержания – 21,60 млн руб. При годовых операционных затратах 9,21 млн руб. чистый годовой эффект – 16,30 млн руб. Срок окупаемости в базовом сценарии – 19,1 мес., </w:t>
      </w:r>
      <w:r>
        <w:rPr>
          <w:rFonts w:ascii="Times New Roman" w:hAnsi="Times New Roman" w:eastAsia="Times New Roman" w:cs="Times New Roman"/>
          <w:color w:val="000000"/>
          <w:kern w:val="0"/>
          <w:sz w:val="28"/>
          <w:szCs w:val="22"/>
          <w:lang w:val="en-US"/>
          <w14:ligatures w14:val="none"/>
        </w:rPr>
        <w:t>ROI</w:t>
      </w:r>
      <w:r>
        <w:rPr>
          <w:rFonts w:ascii="Times New Roman" w:hAnsi="Times New Roman" w:eastAsia="Times New Roman" w:cs="Times New Roman"/>
          <w:color w:val="000000"/>
          <w:kern w:val="0"/>
          <w:sz w:val="28"/>
          <w:szCs w:val="22"/>
          <w14:ligatures w14:val="none"/>
        </w:rPr>
        <w:t xml:space="preserve"> за 24 месяца – 25 %. Значения прогнозные: окончательные цифры уточняются по итогам пилота одной клиники сети и пересчитываются после подтверждения фактических </w:t>
      </w:r>
      <w:r>
        <w:rPr>
          <w:rFonts w:ascii="Times New Roman" w:hAnsi="Times New Roman" w:eastAsia="Times New Roman" w:cs="Times New Roman"/>
          <w:color w:val="000000"/>
          <w:kern w:val="0"/>
          <w:sz w:val="28"/>
          <w:szCs w:val="22"/>
          <w:lang w:val="en-US"/>
          <w14:ligatures w14:val="none"/>
        </w:rPr>
        <w:t>LTV</w:t>
      </w:r>
      <w:r>
        <w:rPr>
          <w:rFonts w:ascii="Times New Roman" w:hAnsi="Times New Roman" w:eastAsia="Times New Roman" w:cs="Times New Roman"/>
          <w:color w:val="000000"/>
          <w:kern w:val="0"/>
          <w:sz w:val="28"/>
          <w:szCs w:val="22"/>
          <w14:ligatures w14:val="none"/>
        </w:rPr>
        <w:t xml:space="preserve">, доли </w:t>
      </w:r>
      <w:r>
        <w:rPr>
          <w:rFonts w:ascii="Times New Roman" w:hAnsi="Times New Roman" w:eastAsia="Times New Roman" w:cs="Times New Roman"/>
          <w:color w:val="000000"/>
          <w:kern w:val="0"/>
          <w:sz w:val="28"/>
          <w:szCs w:val="22"/>
          <w:lang w:val="en-US"/>
          <w14:ligatures w14:val="none"/>
        </w:rPr>
        <w:t>no</w:t>
      </w:r>
      <w:r>
        <w:rPr>
          <w:rFonts w:ascii="Times New Roman" w:hAnsi="Times New Roman" w:eastAsia="Times New Roman" w:cs="Times New Roman"/>
          <w:color w:val="000000"/>
          <w:kern w:val="0"/>
          <w:sz w:val="28"/>
          <w:szCs w:val="22"/>
          <w14:ligatures w14:val="none"/>
        </w:rPr>
        <w:t>-</w:t>
      </w:r>
      <w:r>
        <w:rPr>
          <w:rFonts w:ascii="Times New Roman" w:hAnsi="Times New Roman" w:eastAsia="Times New Roman" w:cs="Times New Roman"/>
          <w:color w:val="000000"/>
          <w:kern w:val="0"/>
          <w:sz w:val="28"/>
          <w:szCs w:val="22"/>
          <w:lang w:val="en-US"/>
          <w14:ligatures w14:val="none"/>
        </w:rPr>
        <w:t>show</w:t>
      </w:r>
      <w:r>
        <w:rPr>
          <w:rFonts w:ascii="Times New Roman" w:hAnsi="Times New Roman" w:eastAsia="Times New Roman" w:cs="Times New Roman"/>
          <w:color w:val="000000"/>
          <w:kern w:val="0"/>
          <w:sz w:val="28"/>
          <w:szCs w:val="22"/>
          <w14:ligatures w14:val="none"/>
        </w:rPr>
        <w:t xml:space="preserve"> и прироста удержания.</w:t>
      </w:r>
    </w:p>
    <w:p w14:paraId="56CC9B94">
      <w:pPr>
        <w:spacing w:before="0" w:after="0"/>
        <w:ind w:firstLine="709"/>
        <w:jc w:val="both"/>
      </w:pPr>
      <w:r>
        <w:rPr>
          <w:rFonts w:ascii="Times New Roman" w:hAnsi="Times New Roman"/>
          <w:b w:val="0"/>
          <w:sz w:val="28"/>
        </w:rPr>
        <w:t>Для оценки устойчивости прогнозных показателей проведён анализ чувствительности NPV к пяти ключевым параметрам модели: среднему LTV пациента, приросту удержания, базовому уровню неявок, эффективности SMS-напоминаний и среднему чеку первичного приёма. Диапазоны варьирования взяты из бенчмарков B1–B11; влияние каждого параметра оценено при фиксированных прочих. Базовые значения модели приняты консервативно: средний LTV соответствует нижней границе отраслевого диапазона (B5), а снижение неявок — верхней границе (B4), поэтому часть параметров имеет значимое влияние преимущественно в одну сторону. Результаты представлены на рисунке  30: параметры упорядочены по размаху влияния на NPV.</w:t>
      </w:r>
    </w:p>
    <w:p w14:paraId="671A753D">
      <w:pPr>
        <w:spacing w:before="0" w:after="0"/>
        <w:jc w:val="center"/>
      </w:pPr>
      <w:r>
        <w:drawing>
          <wp:inline distT="0" distB="0" distL="114300" distR="114300">
            <wp:extent cx="5398135" cy="2522220"/>
            <wp:effectExtent l="0" t="0" r="12065" b="17780"/>
            <wp:docPr id="2130539291" name="Picture 213053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9291" name="Picture 2130539291"/>
                    <pic:cNvPicPr>
                      <a:picLocks noChangeAspect="1"/>
                    </pic:cNvPicPr>
                  </pic:nvPicPr>
                  <pic:blipFill>
                    <a:blip r:embed="rId46"/>
                    <a:stretch>
                      <a:fillRect/>
                    </a:stretch>
                  </pic:blipFill>
                  <pic:spPr>
                    <a:xfrm>
                      <a:off x="0" y="0"/>
                      <a:ext cx="5398135" cy="2522220"/>
                    </a:xfrm>
                    <a:prstGeom prst="rect">
                      <a:avLst/>
                    </a:prstGeom>
                  </pic:spPr>
                </pic:pic>
              </a:graphicData>
            </a:graphic>
          </wp:inline>
        </w:drawing>
      </w:r>
    </w:p>
    <w:p w14:paraId="4CD0A0B4">
      <w:pPr>
        <w:spacing w:before="0" w:after="0"/>
        <w:jc w:val="center"/>
      </w:pPr>
      <w:r>
        <w:rPr>
          <w:rFonts w:ascii="Times New Roman" w:hAnsi="Times New Roman"/>
          <w:b w:val="0"/>
          <w:sz w:val="28"/>
        </w:rPr>
        <w:t>Рисунок 30 — Анализ чувствительности NPV: диаграмма «Торнадо»</w:t>
      </w:r>
    </w:p>
    <w:p w14:paraId="0CA4654D">
      <w:pPr>
        <w:spacing w:before="0" w:after="0"/>
        <w:ind w:firstLine="709"/>
        <w:jc w:val="both"/>
      </w:pPr>
      <w:r>
        <w:rPr>
          <w:rFonts w:ascii="Times New Roman" w:hAnsi="Times New Roman"/>
          <w:b w:val="0"/>
          <w:sz w:val="28"/>
        </w:rPr>
        <w:t>Для каждого параметра определено пороговое значение, при котором NPV проекта (ставка дисконтирования 25 %) обращается в ноль — прочие параметры зафиксированы на базовых уровнях. Пересечен</w:t>
      </w:r>
      <w:bookmarkStart w:id="26" w:name="_GoBack"/>
      <w:bookmarkEnd w:id="26"/>
      <w:r>
        <w:rPr>
          <w:rFonts w:ascii="Times New Roman" w:hAnsi="Times New Roman"/>
          <w:b w:val="0"/>
          <w:sz w:val="28"/>
        </w:rPr>
        <w:t>ие порога означает, что проект не окупается на горизонте трёх лет.</w:t>
      </w:r>
    </w:p>
    <w:p w14:paraId="1C0FEEE4">
      <w:pPr>
        <w:spacing w:before="0" w:after="0"/>
        <w:ind w:firstLine="709"/>
        <w:jc w:val="both"/>
      </w:pPr>
      <w:r>
        <w:rPr>
          <w:rFonts w:ascii="Times New Roman" w:hAnsi="Times New Roman"/>
          <w:b w:val="0"/>
          <w:sz w:val="28"/>
        </w:rPr>
        <w:t>Наибольшую угрозу окупаемости представляют LTV и прирост удержания пациентов. Критическое значение среднего LTV — 118 621 руб., что на 1 379 руб. ниже базового значения 120 000 руб. Маржа составляет менее 1,2 %, поэтому даже незначительное снижение среднего дохода от пациента переводит NPV в отрицательную зону. Аналогичная ситуация с приростом удержания: пороговое значение — 2,97 п.п. против базовых 3,0 п.п., разрыв составляет 0,03 п.п.</w:t>
      </w:r>
    </w:p>
    <w:p w14:paraId="108C2531">
      <w:pPr>
        <w:spacing w:before="0" w:after="0"/>
        <w:ind w:firstLine="709"/>
        <w:jc w:val="both"/>
      </w:pPr>
      <w:r>
        <w:rPr>
          <w:rFonts w:ascii="Times New Roman" w:hAnsi="Times New Roman"/>
          <w:b w:val="0"/>
          <w:sz w:val="28"/>
        </w:rPr>
        <w:t>Параметры, связанные с экономией на неявках, располагают большим запасом устойчивости. Уровень неявок допускает снижение с 18,0 % до 16,86 % (запас 1,14 п.п.), эффективность SMS-напоминаний — с 29,0 % до 27,16 %, средний чек — с 5 000 руб. до 4 683 руб. Эти параметры остаются в пределах нормальных отраслевых колебаний и не формируют критического риска в одиночку.</w:t>
      </w:r>
    </w:p>
    <w:p w14:paraId="6C6EA944">
      <w:pPr>
        <w:spacing w:before="0" w:after="0"/>
        <w:ind w:firstLine="709"/>
        <w:jc w:val="both"/>
      </w:pPr>
      <w:r>
        <w:rPr>
          <w:rFonts w:ascii="Times New Roman" w:hAnsi="Times New Roman"/>
          <w:b w:val="0"/>
          <w:sz w:val="28"/>
        </w:rPr>
        <w:t>Проект наиболее чувствителен к показателям удержания; валидация LTV и прироста удержания в ходе пилота является приоритетным условием управления рисками проекта.</w:t>
      </w:r>
    </w:p>
    <w:p w14:paraId="2B44F9C6">
      <w:pPr>
        <w:spacing w:before="0" w:after="0"/>
        <w:ind w:firstLine="709"/>
        <w:jc w:val="both"/>
      </w:pPr>
      <w:r>
        <w:rPr>
          <w:rFonts w:ascii="Times New Roman" w:hAnsi="Times New Roman"/>
          <w:b w:val="0"/>
          <w:sz w:val="28"/>
        </w:rPr>
        <w:t>Ставка дисконтирования выбрана на уровне 25 % годовых: ключевая ставка ЦБ РФ составляет 14,5 %, оставшиеся 10,5 п.п. — надбавка за риск ИТ-проекта с неподтверждёнными показателями удержания. Для оценки чувствительности дополнительно рассмотрены ставки 20 % и 30 %. При базовой ставке 25 % проект выходит в положительную зону дисконтированного денежного потока в 12-м квартале: NPV равен 0,36 млн руб., дисконтированный срок окупаемости — 35,5 мес. При ставке 30 % NPV принимает значение –0,91 млн руб. — проект не покрывает стоимость капитала на трёхлетнем горизонте. Снижение ставки до 20 % улучшает NPV до 1,83 млн руб. (DPP 33,7 мес.). Внутренняя норма доходности составляет 26,3 %, что лишь на 1,3 п.п. превышает базовую ставку и указывает на узкий запас устойчивости к росту стоимости финансирования. Полный поквартальный расчёт приведён в Приложении В.</w:t>
      </w:r>
    </w:p>
    <w:p w14:paraId="5C81552B">
      <w:pPr>
        <w:spacing w:before="0" w:after="0"/>
        <w:ind w:firstLine="709"/>
        <w:jc w:val="both"/>
      </w:pPr>
      <w:r>
        <w:rPr>
          <w:rFonts w:ascii="Times New Roman" w:hAnsi="Times New Roman"/>
          <w:b w:val="0"/>
          <w:sz w:val="28"/>
        </w:rPr>
        <w:t>Стоимость разработки платформы фиксирована и не зависит от числа филиалов, подключённых впоследствии: каждый новый филиал получает готовый продукт без повторных вложений в разработку. Переменная составляющая OPEX — инфраструктура и SMS-шлюз — растёт пропорционально охвату сети, тогда как централизованные расходы (поддержка, compliance, ЭДО) распределяются на весь охват без увеличения. Таблица отражает расчётные показатели срока окупаемости при поэтапном подключении филиалов.</w:t>
      </w:r>
    </w:p>
    <w:p w14:paraId="262F0458">
      <w:pPr>
        <w:spacing w:before="0" w:after="0"/>
        <w:jc w:val="left"/>
      </w:pPr>
      <w:r>
        <w:rPr>
          <w:rFonts w:ascii="Times New Roman" w:hAnsi="Times New Roman"/>
          <w:b w:val="0"/>
          <w:sz w:val="28"/>
        </w:rPr>
        <w:t>Таблица 46 — Окупаемость платформы при масштабировании на сеть филиалов</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1F1AF4B9">
        <w:tc>
          <w:tcPr>
            <w:tcW w:w="1871" w:type="dxa"/>
          </w:tcPr>
          <w:p w14:paraId="2D2F8302">
            <w:pPr>
              <w:spacing w:before="0" w:after="0" w:line="240" w:lineRule="auto"/>
              <w:ind w:firstLine="0"/>
              <w:jc w:val="both"/>
              <w:rPr>
                <w:kern w:val="0"/>
                <w14:ligatures w14:val="none"/>
              </w:rPr>
            </w:pPr>
            <w:r>
              <w:rPr>
                <w:rFonts w:ascii="Times New Roman" w:hAnsi="Times New Roman"/>
                <w:b/>
                <w:kern w:val="0"/>
                <w:sz w:val="24"/>
                <w14:ligatures w14:val="none"/>
              </w:rPr>
              <w:t>Число охваченных филиалов</w:t>
            </w:r>
          </w:p>
        </w:tc>
        <w:tc>
          <w:tcPr>
            <w:tcW w:w="1871" w:type="dxa"/>
          </w:tcPr>
          <w:p w14:paraId="08B8464F">
            <w:pPr>
              <w:spacing w:before="0" w:after="0" w:line="240" w:lineRule="auto"/>
              <w:ind w:firstLine="0"/>
              <w:jc w:val="both"/>
              <w:rPr>
                <w:kern w:val="0"/>
                <w14:ligatures w14:val="none"/>
              </w:rPr>
            </w:pPr>
            <w:r>
              <w:rPr>
                <w:rFonts w:ascii="Times New Roman" w:hAnsi="Times New Roman"/>
                <w:b/>
                <w:kern w:val="0"/>
                <w:sz w:val="24"/>
                <w14:ligatures w14:val="none"/>
              </w:rPr>
              <w:t>Распределённый CAPEX, млн руб.</w:t>
            </w:r>
          </w:p>
        </w:tc>
        <w:tc>
          <w:tcPr>
            <w:tcW w:w="1871" w:type="dxa"/>
          </w:tcPr>
          <w:p w14:paraId="2E785EEF">
            <w:pPr>
              <w:spacing w:before="0" w:after="0" w:line="240" w:lineRule="auto"/>
              <w:ind w:firstLine="0"/>
              <w:jc w:val="both"/>
              <w:rPr>
                <w:kern w:val="0"/>
                <w14:ligatures w14:val="none"/>
              </w:rPr>
            </w:pPr>
            <w:r>
              <w:rPr>
                <w:rFonts w:ascii="Times New Roman" w:hAnsi="Times New Roman"/>
                <w:b/>
                <w:kern w:val="0"/>
                <w:sz w:val="24"/>
                <w14:ligatures w14:val="none"/>
              </w:rPr>
              <w:t>OPEX (фикс. + перем.), млн руб./год</w:t>
            </w:r>
          </w:p>
        </w:tc>
        <w:tc>
          <w:tcPr>
            <w:tcW w:w="1871" w:type="dxa"/>
          </w:tcPr>
          <w:p w14:paraId="49590A3E">
            <w:pPr>
              <w:spacing w:before="0" w:after="0" w:line="240" w:lineRule="auto"/>
              <w:ind w:firstLine="0"/>
              <w:jc w:val="both"/>
              <w:rPr>
                <w:kern w:val="0"/>
                <w14:ligatures w14:val="none"/>
              </w:rPr>
            </w:pPr>
            <w:r>
              <w:rPr>
                <w:rFonts w:ascii="Times New Roman" w:hAnsi="Times New Roman"/>
                <w:b/>
                <w:kern w:val="0"/>
                <w:sz w:val="24"/>
                <w14:ligatures w14:val="none"/>
              </w:rPr>
              <w:t>Годовой эффект по сети, млн руб.</w:t>
            </w:r>
          </w:p>
        </w:tc>
        <w:tc>
          <w:tcPr>
            <w:tcW w:w="1871" w:type="dxa"/>
          </w:tcPr>
          <w:p w14:paraId="723FDE01">
            <w:pPr>
              <w:spacing w:before="0" w:after="0" w:line="240" w:lineRule="auto"/>
              <w:ind w:firstLine="0"/>
              <w:jc w:val="both"/>
              <w:rPr>
                <w:kern w:val="0"/>
                <w14:ligatures w14:val="none"/>
              </w:rPr>
            </w:pPr>
            <w:r>
              <w:rPr>
                <w:rFonts w:ascii="Times New Roman" w:hAnsi="Times New Roman"/>
                <w:b/>
                <w:kern w:val="0"/>
                <w:sz w:val="24"/>
                <w14:ligatures w14:val="none"/>
              </w:rPr>
              <w:t>Срок окупаемости, мес.</w:t>
            </w:r>
          </w:p>
        </w:tc>
      </w:tr>
      <w:tr w14:paraId="0E8C3C37">
        <w:tc>
          <w:tcPr>
            <w:tcW w:w="1871" w:type="dxa"/>
          </w:tcPr>
          <w:p w14:paraId="4139964D">
            <w:pPr>
              <w:spacing w:before="0" w:after="0" w:line="240" w:lineRule="auto"/>
              <w:ind w:firstLine="0"/>
              <w:jc w:val="both"/>
              <w:rPr>
                <w:kern w:val="0"/>
                <w14:ligatures w14:val="none"/>
              </w:rPr>
            </w:pPr>
            <w:r>
              <w:rPr>
                <w:rFonts w:ascii="Times New Roman" w:hAnsi="Times New Roman"/>
                <w:b w:val="0"/>
                <w:kern w:val="0"/>
                <w:sz w:val="24"/>
                <w14:ligatures w14:val="none"/>
              </w:rPr>
              <w:t>1</w:t>
            </w:r>
          </w:p>
        </w:tc>
        <w:tc>
          <w:tcPr>
            <w:tcW w:w="1871" w:type="dxa"/>
          </w:tcPr>
          <w:p w14:paraId="33BB0CFC">
            <w:pPr>
              <w:spacing w:before="0" w:after="0" w:line="240" w:lineRule="auto"/>
              <w:ind w:firstLine="0"/>
              <w:jc w:val="both"/>
              <w:rPr>
                <w:kern w:val="0"/>
                <w14:ligatures w14:val="none"/>
              </w:rPr>
            </w:pPr>
            <w:r>
              <w:rPr>
                <w:rFonts w:ascii="Times New Roman" w:hAnsi="Times New Roman"/>
                <w:b w:val="0"/>
                <w:kern w:val="0"/>
                <w:sz w:val="24"/>
                <w14:ligatures w14:val="none"/>
              </w:rPr>
              <w:t>2,17</w:t>
            </w:r>
          </w:p>
        </w:tc>
        <w:tc>
          <w:tcPr>
            <w:tcW w:w="1871" w:type="dxa"/>
          </w:tcPr>
          <w:p w14:paraId="4B0A5353">
            <w:pPr>
              <w:spacing w:before="0" w:after="0" w:line="240" w:lineRule="auto"/>
              <w:ind w:firstLine="0"/>
              <w:jc w:val="both"/>
              <w:rPr>
                <w:kern w:val="0"/>
                <w14:ligatures w14:val="none"/>
              </w:rPr>
            </w:pPr>
            <w:r>
              <w:rPr>
                <w:rFonts w:ascii="Times New Roman" w:hAnsi="Times New Roman"/>
                <w:b w:val="0"/>
                <w:kern w:val="0"/>
                <w:sz w:val="24"/>
                <w14:ligatures w14:val="none"/>
              </w:rPr>
              <w:t>9,21</w:t>
            </w:r>
          </w:p>
        </w:tc>
        <w:tc>
          <w:tcPr>
            <w:tcW w:w="1871" w:type="dxa"/>
          </w:tcPr>
          <w:p w14:paraId="43E8CF54">
            <w:pPr>
              <w:spacing w:before="0" w:after="0" w:line="240" w:lineRule="auto"/>
              <w:ind w:firstLine="0"/>
              <w:jc w:val="both"/>
              <w:rPr>
                <w:kern w:val="0"/>
                <w14:ligatures w14:val="none"/>
              </w:rPr>
            </w:pPr>
            <w:r>
              <w:rPr>
                <w:rFonts w:ascii="Times New Roman" w:hAnsi="Times New Roman"/>
                <w:b w:val="0"/>
                <w:kern w:val="0"/>
                <w:sz w:val="24"/>
                <w14:ligatures w14:val="none"/>
              </w:rPr>
              <w:t>16,30</w:t>
            </w:r>
          </w:p>
        </w:tc>
        <w:tc>
          <w:tcPr>
            <w:tcW w:w="1871" w:type="dxa"/>
          </w:tcPr>
          <w:p w14:paraId="7BA74301">
            <w:pPr>
              <w:spacing w:before="0" w:after="0" w:line="240" w:lineRule="auto"/>
              <w:ind w:firstLine="0"/>
              <w:jc w:val="both"/>
              <w:rPr>
                <w:kern w:val="0"/>
                <w14:ligatures w14:val="none"/>
              </w:rPr>
            </w:pPr>
            <w:r>
              <w:rPr>
                <w:rFonts w:ascii="Times New Roman" w:hAnsi="Times New Roman"/>
                <w:b w:val="0"/>
                <w:kern w:val="0"/>
                <w:sz w:val="24"/>
                <w14:ligatures w14:val="none"/>
              </w:rPr>
              <w:t>19,1</w:t>
            </w:r>
          </w:p>
        </w:tc>
      </w:tr>
      <w:tr w14:paraId="3B8775F3">
        <w:tc>
          <w:tcPr>
            <w:tcW w:w="1871" w:type="dxa"/>
          </w:tcPr>
          <w:p w14:paraId="23517B8C">
            <w:pPr>
              <w:spacing w:before="0" w:after="0" w:line="240" w:lineRule="auto"/>
              <w:ind w:firstLine="0"/>
              <w:jc w:val="both"/>
              <w:rPr>
                <w:kern w:val="0"/>
                <w14:ligatures w14:val="none"/>
              </w:rPr>
            </w:pPr>
            <w:r>
              <w:rPr>
                <w:rFonts w:ascii="Times New Roman" w:hAnsi="Times New Roman"/>
                <w:b w:val="0"/>
                <w:kern w:val="0"/>
                <w:sz w:val="24"/>
                <w14:ligatures w14:val="none"/>
              </w:rPr>
              <w:t>2</w:t>
            </w:r>
          </w:p>
        </w:tc>
        <w:tc>
          <w:tcPr>
            <w:tcW w:w="1871" w:type="dxa"/>
          </w:tcPr>
          <w:p w14:paraId="1E2E2168">
            <w:pPr>
              <w:spacing w:before="0" w:after="0" w:line="240" w:lineRule="auto"/>
              <w:ind w:firstLine="0"/>
              <w:jc w:val="both"/>
              <w:rPr>
                <w:kern w:val="0"/>
                <w14:ligatures w14:val="none"/>
              </w:rPr>
            </w:pPr>
            <w:r>
              <w:rPr>
                <w:rFonts w:ascii="Times New Roman" w:hAnsi="Times New Roman"/>
                <w:b w:val="0"/>
                <w:kern w:val="0"/>
                <w:sz w:val="24"/>
                <w14:ligatures w14:val="none"/>
              </w:rPr>
              <w:t>4,33</w:t>
            </w:r>
          </w:p>
        </w:tc>
        <w:tc>
          <w:tcPr>
            <w:tcW w:w="1871" w:type="dxa"/>
          </w:tcPr>
          <w:p w14:paraId="7BA33D24">
            <w:pPr>
              <w:spacing w:before="0" w:after="0" w:line="240" w:lineRule="auto"/>
              <w:ind w:firstLine="0"/>
              <w:jc w:val="both"/>
              <w:rPr>
                <w:kern w:val="0"/>
                <w14:ligatures w14:val="none"/>
              </w:rPr>
            </w:pPr>
            <w:r>
              <w:rPr>
                <w:rFonts w:ascii="Times New Roman" w:hAnsi="Times New Roman"/>
                <w:b w:val="0"/>
                <w:kern w:val="0"/>
                <w:sz w:val="24"/>
                <w14:ligatures w14:val="none"/>
              </w:rPr>
              <w:t>10,08</w:t>
            </w:r>
          </w:p>
        </w:tc>
        <w:tc>
          <w:tcPr>
            <w:tcW w:w="1871" w:type="dxa"/>
          </w:tcPr>
          <w:p w14:paraId="0D8ADF07">
            <w:pPr>
              <w:spacing w:before="0" w:after="0" w:line="240" w:lineRule="auto"/>
              <w:ind w:firstLine="0"/>
              <w:jc w:val="both"/>
              <w:rPr>
                <w:kern w:val="0"/>
                <w14:ligatures w14:val="none"/>
              </w:rPr>
            </w:pPr>
            <w:r>
              <w:rPr>
                <w:rFonts w:ascii="Times New Roman" w:hAnsi="Times New Roman"/>
                <w:b w:val="0"/>
                <w:kern w:val="0"/>
                <w:sz w:val="24"/>
                <w14:ligatures w14:val="none"/>
              </w:rPr>
              <w:t>40,95</w:t>
            </w:r>
          </w:p>
        </w:tc>
        <w:tc>
          <w:tcPr>
            <w:tcW w:w="1871" w:type="dxa"/>
          </w:tcPr>
          <w:p w14:paraId="601E86AB">
            <w:pPr>
              <w:spacing w:before="0" w:after="0" w:line="240" w:lineRule="auto"/>
              <w:ind w:firstLine="0"/>
              <w:jc w:val="both"/>
              <w:rPr>
                <w:kern w:val="0"/>
                <w14:ligatures w14:val="none"/>
              </w:rPr>
            </w:pPr>
            <w:r>
              <w:rPr>
                <w:rFonts w:ascii="Times New Roman" w:hAnsi="Times New Roman"/>
                <w:b w:val="0"/>
                <w:kern w:val="0"/>
                <w:sz w:val="24"/>
                <w14:ligatures w14:val="none"/>
              </w:rPr>
              <w:t>7,6</w:t>
            </w:r>
          </w:p>
        </w:tc>
      </w:tr>
      <w:tr w14:paraId="0E4C5EAF">
        <w:tc>
          <w:tcPr>
            <w:tcW w:w="1871" w:type="dxa"/>
          </w:tcPr>
          <w:p w14:paraId="1F35C9B9">
            <w:pPr>
              <w:spacing w:before="0" w:after="0" w:line="240" w:lineRule="auto"/>
              <w:ind w:firstLine="0"/>
              <w:jc w:val="both"/>
              <w:rPr>
                <w:kern w:val="0"/>
                <w14:ligatures w14:val="none"/>
              </w:rPr>
            </w:pPr>
            <w:r>
              <w:rPr>
                <w:rFonts w:ascii="Times New Roman" w:hAnsi="Times New Roman"/>
                <w:b w:val="0"/>
                <w:kern w:val="0"/>
                <w:sz w:val="24"/>
                <w14:ligatures w14:val="none"/>
              </w:rPr>
              <w:t>3</w:t>
            </w:r>
          </w:p>
        </w:tc>
        <w:tc>
          <w:tcPr>
            <w:tcW w:w="1871" w:type="dxa"/>
          </w:tcPr>
          <w:p w14:paraId="13AA4165">
            <w:pPr>
              <w:spacing w:before="0" w:after="0" w:line="240" w:lineRule="auto"/>
              <w:ind w:firstLine="0"/>
              <w:jc w:val="both"/>
              <w:rPr>
                <w:kern w:val="0"/>
                <w14:ligatures w14:val="none"/>
              </w:rPr>
            </w:pPr>
            <w:r>
              <w:rPr>
                <w:rFonts w:ascii="Times New Roman" w:hAnsi="Times New Roman"/>
                <w:b w:val="0"/>
                <w:kern w:val="0"/>
                <w:sz w:val="24"/>
                <w14:ligatures w14:val="none"/>
              </w:rPr>
              <w:t>6,50</w:t>
            </w:r>
          </w:p>
        </w:tc>
        <w:tc>
          <w:tcPr>
            <w:tcW w:w="1871" w:type="dxa"/>
          </w:tcPr>
          <w:p w14:paraId="1FF844BE">
            <w:pPr>
              <w:spacing w:before="0" w:after="0" w:line="240" w:lineRule="auto"/>
              <w:ind w:firstLine="0"/>
              <w:jc w:val="both"/>
              <w:rPr>
                <w:kern w:val="0"/>
                <w14:ligatures w14:val="none"/>
              </w:rPr>
            </w:pPr>
            <w:r>
              <w:rPr>
                <w:rFonts w:ascii="Times New Roman" w:hAnsi="Times New Roman"/>
                <w:b w:val="0"/>
                <w:kern w:val="0"/>
                <w:sz w:val="24"/>
                <w14:ligatures w14:val="none"/>
              </w:rPr>
              <w:t>10,96</w:t>
            </w:r>
          </w:p>
        </w:tc>
        <w:tc>
          <w:tcPr>
            <w:tcW w:w="1871" w:type="dxa"/>
          </w:tcPr>
          <w:p w14:paraId="299F2E1C">
            <w:pPr>
              <w:spacing w:before="0" w:after="0" w:line="240" w:lineRule="auto"/>
              <w:ind w:firstLine="0"/>
              <w:jc w:val="both"/>
              <w:rPr>
                <w:kern w:val="0"/>
                <w14:ligatures w14:val="none"/>
              </w:rPr>
            </w:pPr>
            <w:r>
              <w:rPr>
                <w:rFonts w:ascii="Times New Roman" w:hAnsi="Times New Roman"/>
                <w:b w:val="0"/>
                <w:kern w:val="0"/>
                <w:sz w:val="24"/>
                <w14:ligatures w14:val="none"/>
              </w:rPr>
              <w:t>65,59</w:t>
            </w:r>
          </w:p>
        </w:tc>
        <w:tc>
          <w:tcPr>
            <w:tcW w:w="1871" w:type="dxa"/>
          </w:tcPr>
          <w:p w14:paraId="1F294237">
            <w:pPr>
              <w:spacing w:before="0" w:after="0" w:line="240" w:lineRule="auto"/>
              <w:ind w:firstLine="0"/>
              <w:jc w:val="both"/>
              <w:rPr>
                <w:kern w:val="0"/>
                <w14:ligatures w14:val="none"/>
              </w:rPr>
            </w:pPr>
            <w:r>
              <w:rPr>
                <w:rFonts w:ascii="Times New Roman" w:hAnsi="Times New Roman"/>
                <w:b w:val="0"/>
                <w:kern w:val="0"/>
                <w:sz w:val="24"/>
                <w14:ligatures w14:val="none"/>
              </w:rPr>
              <w:t>4,8</w:t>
            </w:r>
          </w:p>
        </w:tc>
      </w:tr>
      <w:tr w14:paraId="0F6AC5CD">
        <w:tc>
          <w:tcPr>
            <w:tcW w:w="1871" w:type="dxa"/>
          </w:tcPr>
          <w:p w14:paraId="267F04E6">
            <w:pPr>
              <w:spacing w:before="0" w:after="0" w:line="240" w:lineRule="auto"/>
              <w:ind w:firstLine="0"/>
              <w:jc w:val="both"/>
              <w:rPr>
                <w:kern w:val="0"/>
                <w14:ligatures w14:val="none"/>
              </w:rPr>
            </w:pPr>
            <w:r>
              <w:rPr>
                <w:rFonts w:ascii="Times New Roman" w:hAnsi="Times New Roman"/>
                <w:b w:val="0"/>
                <w:kern w:val="0"/>
                <w:sz w:val="24"/>
                <w14:ligatures w14:val="none"/>
              </w:rPr>
              <w:t>4</w:t>
            </w:r>
          </w:p>
        </w:tc>
        <w:tc>
          <w:tcPr>
            <w:tcW w:w="1871" w:type="dxa"/>
          </w:tcPr>
          <w:p w14:paraId="6DEA77B1">
            <w:pPr>
              <w:spacing w:before="0" w:after="0" w:line="240" w:lineRule="auto"/>
              <w:ind w:firstLine="0"/>
              <w:jc w:val="both"/>
              <w:rPr>
                <w:kern w:val="0"/>
                <w14:ligatures w14:val="none"/>
              </w:rPr>
            </w:pPr>
            <w:r>
              <w:rPr>
                <w:rFonts w:ascii="Times New Roman" w:hAnsi="Times New Roman"/>
                <w:b w:val="0"/>
                <w:kern w:val="0"/>
                <w:sz w:val="24"/>
                <w14:ligatures w14:val="none"/>
              </w:rPr>
              <w:t>8,67</w:t>
            </w:r>
          </w:p>
        </w:tc>
        <w:tc>
          <w:tcPr>
            <w:tcW w:w="1871" w:type="dxa"/>
          </w:tcPr>
          <w:p w14:paraId="77F31C9F">
            <w:pPr>
              <w:spacing w:before="0" w:after="0" w:line="240" w:lineRule="auto"/>
              <w:ind w:firstLine="0"/>
              <w:jc w:val="both"/>
              <w:rPr>
                <w:kern w:val="0"/>
                <w14:ligatures w14:val="none"/>
              </w:rPr>
            </w:pPr>
            <w:r>
              <w:rPr>
                <w:rFonts w:ascii="Times New Roman" w:hAnsi="Times New Roman"/>
                <w:b w:val="0"/>
                <w:kern w:val="0"/>
                <w:sz w:val="24"/>
                <w14:ligatures w14:val="none"/>
              </w:rPr>
              <w:t>11,83</w:t>
            </w:r>
          </w:p>
        </w:tc>
        <w:tc>
          <w:tcPr>
            <w:tcW w:w="1871" w:type="dxa"/>
          </w:tcPr>
          <w:p w14:paraId="30181C6A">
            <w:pPr>
              <w:spacing w:before="0" w:after="0" w:line="240" w:lineRule="auto"/>
              <w:ind w:firstLine="0"/>
              <w:jc w:val="both"/>
              <w:rPr>
                <w:kern w:val="0"/>
                <w14:ligatures w14:val="none"/>
              </w:rPr>
            </w:pPr>
            <w:r>
              <w:rPr>
                <w:rFonts w:ascii="Times New Roman" w:hAnsi="Times New Roman"/>
                <w:b w:val="0"/>
                <w:kern w:val="0"/>
                <w:sz w:val="24"/>
                <w14:ligatures w14:val="none"/>
              </w:rPr>
              <w:t>90,23</w:t>
            </w:r>
          </w:p>
        </w:tc>
        <w:tc>
          <w:tcPr>
            <w:tcW w:w="1871" w:type="dxa"/>
          </w:tcPr>
          <w:p w14:paraId="31C2733E">
            <w:pPr>
              <w:spacing w:before="0" w:after="0" w:line="240" w:lineRule="auto"/>
              <w:ind w:firstLine="0"/>
              <w:jc w:val="both"/>
              <w:rPr>
                <w:kern w:val="0"/>
                <w14:ligatures w14:val="none"/>
              </w:rPr>
            </w:pPr>
            <w:r>
              <w:rPr>
                <w:rFonts w:ascii="Times New Roman" w:hAnsi="Times New Roman"/>
                <w:b w:val="0"/>
                <w:kern w:val="0"/>
                <w:sz w:val="24"/>
                <w14:ligatures w14:val="none"/>
              </w:rPr>
              <w:t>3,5</w:t>
            </w:r>
          </w:p>
        </w:tc>
      </w:tr>
      <w:tr w14:paraId="1D049B5C">
        <w:tc>
          <w:tcPr>
            <w:tcW w:w="1871" w:type="dxa"/>
          </w:tcPr>
          <w:p w14:paraId="47255058">
            <w:pPr>
              <w:spacing w:before="0" w:after="0" w:line="240" w:lineRule="auto"/>
              <w:ind w:firstLine="0"/>
              <w:jc w:val="both"/>
              <w:rPr>
                <w:kern w:val="0"/>
                <w14:ligatures w14:val="none"/>
              </w:rPr>
            </w:pPr>
            <w:r>
              <w:rPr>
                <w:rFonts w:ascii="Times New Roman" w:hAnsi="Times New Roman"/>
                <w:b w:val="0"/>
                <w:kern w:val="0"/>
                <w:sz w:val="24"/>
                <w14:ligatures w14:val="none"/>
              </w:rPr>
              <w:t>5</w:t>
            </w:r>
          </w:p>
        </w:tc>
        <w:tc>
          <w:tcPr>
            <w:tcW w:w="1871" w:type="dxa"/>
          </w:tcPr>
          <w:p w14:paraId="3742BC4A">
            <w:pPr>
              <w:spacing w:before="0" w:after="0" w:line="240" w:lineRule="auto"/>
              <w:ind w:firstLine="0"/>
              <w:jc w:val="both"/>
              <w:rPr>
                <w:kern w:val="0"/>
                <w14:ligatures w14:val="none"/>
              </w:rPr>
            </w:pPr>
            <w:r>
              <w:rPr>
                <w:rFonts w:ascii="Times New Roman" w:hAnsi="Times New Roman"/>
                <w:b w:val="0"/>
                <w:kern w:val="0"/>
                <w:sz w:val="24"/>
                <w14:ligatures w14:val="none"/>
              </w:rPr>
              <w:t>10,83</w:t>
            </w:r>
          </w:p>
        </w:tc>
        <w:tc>
          <w:tcPr>
            <w:tcW w:w="1871" w:type="dxa"/>
          </w:tcPr>
          <w:p w14:paraId="4AF30029">
            <w:pPr>
              <w:spacing w:before="0" w:after="0" w:line="240" w:lineRule="auto"/>
              <w:ind w:firstLine="0"/>
              <w:jc w:val="both"/>
              <w:rPr>
                <w:kern w:val="0"/>
                <w14:ligatures w14:val="none"/>
              </w:rPr>
            </w:pPr>
            <w:r>
              <w:rPr>
                <w:rFonts w:ascii="Times New Roman" w:hAnsi="Times New Roman"/>
                <w:b w:val="0"/>
                <w:kern w:val="0"/>
                <w:sz w:val="24"/>
                <w14:ligatures w14:val="none"/>
              </w:rPr>
              <w:t>12,70</w:t>
            </w:r>
          </w:p>
        </w:tc>
        <w:tc>
          <w:tcPr>
            <w:tcW w:w="1871" w:type="dxa"/>
          </w:tcPr>
          <w:p w14:paraId="520D24A8">
            <w:pPr>
              <w:spacing w:before="0" w:after="0" w:line="240" w:lineRule="auto"/>
              <w:ind w:firstLine="0"/>
              <w:jc w:val="both"/>
              <w:rPr>
                <w:kern w:val="0"/>
                <w14:ligatures w14:val="none"/>
              </w:rPr>
            </w:pPr>
            <w:r>
              <w:rPr>
                <w:rFonts w:ascii="Times New Roman" w:hAnsi="Times New Roman"/>
                <w:b w:val="0"/>
                <w:kern w:val="0"/>
                <w:sz w:val="24"/>
                <w14:ligatures w14:val="none"/>
              </w:rPr>
              <w:t>114,88</w:t>
            </w:r>
          </w:p>
        </w:tc>
        <w:tc>
          <w:tcPr>
            <w:tcW w:w="1871" w:type="dxa"/>
          </w:tcPr>
          <w:p w14:paraId="03F20D09">
            <w:pPr>
              <w:spacing w:before="0" w:after="0" w:line="240" w:lineRule="auto"/>
              <w:ind w:firstLine="0"/>
              <w:jc w:val="both"/>
              <w:rPr>
                <w:kern w:val="0"/>
                <w14:ligatures w14:val="none"/>
              </w:rPr>
            </w:pPr>
            <w:r>
              <w:rPr>
                <w:rFonts w:ascii="Times New Roman" w:hAnsi="Times New Roman"/>
                <w:b w:val="0"/>
                <w:kern w:val="0"/>
                <w:sz w:val="24"/>
                <w14:ligatures w14:val="none"/>
              </w:rPr>
              <w:t>2,7</w:t>
            </w:r>
          </w:p>
        </w:tc>
      </w:tr>
      <w:tr w14:paraId="2AA3561D">
        <w:tc>
          <w:tcPr>
            <w:tcW w:w="1871" w:type="dxa"/>
          </w:tcPr>
          <w:p w14:paraId="7A51AF7A">
            <w:pPr>
              <w:spacing w:before="0" w:after="0" w:line="240" w:lineRule="auto"/>
              <w:ind w:firstLine="0"/>
              <w:jc w:val="both"/>
              <w:rPr>
                <w:kern w:val="0"/>
                <w14:ligatures w14:val="none"/>
              </w:rPr>
            </w:pPr>
            <w:r>
              <w:rPr>
                <w:rFonts w:ascii="Times New Roman" w:hAnsi="Times New Roman"/>
                <w:b w:val="0"/>
                <w:kern w:val="0"/>
                <w:sz w:val="24"/>
                <w14:ligatures w14:val="none"/>
              </w:rPr>
              <w:t>6</w:t>
            </w:r>
          </w:p>
        </w:tc>
        <w:tc>
          <w:tcPr>
            <w:tcW w:w="1871" w:type="dxa"/>
          </w:tcPr>
          <w:p w14:paraId="32436916">
            <w:pPr>
              <w:spacing w:before="0" w:after="0" w:line="240" w:lineRule="auto"/>
              <w:ind w:firstLine="0"/>
              <w:jc w:val="both"/>
              <w:rPr>
                <w:kern w:val="0"/>
                <w14:ligatures w14:val="none"/>
              </w:rPr>
            </w:pPr>
            <w:r>
              <w:rPr>
                <w:rFonts w:ascii="Times New Roman" w:hAnsi="Times New Roman"/>
                <w:b w:val="0"/>
                <w:kern w:val="0"/>
                <w:sz w:val="24"/>
                <w14:ligatures w14:val="none"/>
              </w:rPr>
              <w:t>13,00</w:t>
            </w:r>
          </w:p>
        </w:tc>
        <w:tc>
          <w:tcPr>
            <w:tcW w:w="1871" w:type="dxa"/>
          </w:tcPr>
          <w:p w14:paraId="58365DFB">
            <w:pPr>
              <w:spacing w:before="0" w:after="0" w:line="240" w:lineRule="auto"/>
              <w:ind w:firstLine="0"/>
              <w:jc w:val="both"/>
              <w:rPr>
                <w:kern w:val="0"/>
                <w14:ligatures w14:val="none"/>
              </w:rPr>
            </w:pPr>
            <w:r>
              <w:rPr>
                <w:rFonts w:ascii="Times New Roman" w:hAnsi="Times New Roman"/>
                <w:b w:val="0"/>
                <w:kern w:val="0"/>
                <w:sz w:val="24"/>
                <w14:ligatures w14:val="none"/>
              </w:rPr>
              <w:t>13,57</w:t>
            </w:r>
          </w:p>
        </w:tc>
        <w:tc>
          <w:tcPr>
            <w:tcW w:w="1871" w:type="dxa"/>
          </w:tcPr>
          <w:p w14:paraId="4F8839E9">
            <w:pPr>
              <w:spacing w:before="0" w:after="0" w:line="240" w:lineRule="auto"/>
              <w:ind w:firstLine="0"/>
              <w:jc w:val="both"/>
              <w:rPr>
                <w:kern w:val="0"/>
                <w14:ligatures w14:val="none"/>
              </w:rPr>
            </w:pPr>
            <w:r>
              <w:rPr>
                <w:rFonts w:ascii="Times New Roman" w:hAnsi="Times New Roman"/>
                <w:b w:val="0"/>
                <w:kern w:val="0"/>
                <w:sz w:val="24"/>
                <w14:ligatures w14:val="none"/>
              </w:rPr>
              <w:t>139,52</w:t>
            </w:r>
          </w:p>
        </w:tc>
        <w:tc>
          <w:tcPr>
            <w:tcW w:w="1871" w:type="dxa"/>
          </w:tcPr>
          <w:p w14:paraId="20B77746">
            <w:pPr>
              <w:spacing w:before="0" w:after="0" w:line="240" w:lineRule="auto"/>
              <w:ind w:firstLine="0"/>
              <w:jc w:val="both"/>
              <w:rPr>
                <w:kern w:val="0"/>
                <w14:ligatures w14:val="none"/>
              </w:rPr>
            </w:pPr>
            <w:r>
              <w:rPr>
                <w:rFonts w:ascii="Times New Roman" w:hAnsi="Times New Roman"/>
                <w:b w:val="0"/>
                <w:kern w:val="0"/>
                <w:sz w:val="24"/>
                <w14:ligatures w14:val="none"/>
              </w:rPr>
              <w:t>2,2</w:t>
            </w:r>
          </w:p>
        </w:tc>
      </w:tr>
      <w:tr w14:paraId="7552538E">
        <w:tc>
          <w:tcPr>
            <w:tcW w:w="1871" w:type="dxa"/>
          </w:tcPr>
          <w:p w14:paraId="1E2631F5">
            <w:pPr>
              <w:spacing w:before="0" w:after="0" w:line="240" w:lineRule="auto"/>
              <w:ind w:firstLine="0"/>
              <w:jc w:val="both"/>
              <w:rPr>
                <w:kern w:val="0"/>
                <w14:ligatures w14:val="none"/>
              </w:rPr>
            </w:pPr>
            <w:r>
              <w:rPr>
                <w:rFonts w:ascii="Times New Roman" w:hAnsi="Times New Roman"/>
                <w:b w:val="0"/>
                <w:kern w:val="0"/>
                <w:sz w:val="24"/>
                <w14:ligatures w14:val="none"/>
              </w:rPr>
              <w:t>7</w:t>
            </w:r>
          </w:p>
        </w:tc>
        <w:tc>
          <w:tcPr>
            <w:tcW w:w="1871" w:type="dxa"/>
          </w:tcPr>
          <w:p w14:paraId="3DF6998D">
            <w:pPr>
              <w:spacing w:before="0" w:after="0" w:line="240" w:lineRule="auto"/>
              <w:ind w:firstLine="0"/>
              <w:jc w:val="both"/>
              <w:rPr>
                <w:kern w:val="0"/>
                <w14:ligatures w14:val="none"/>
              </w:rPr>
            </w:pPr>
            <w:r>
              <w:rPr>
                <w:rFonts w:ascii="Times New Roman" w:hAnsi="Times New Roman"/>
                <w:b w:val="0"/>
                <w:kern w:val="0"/>
                <w:sz w:val="24"/>
                <w14:ligatures w14:val="none"/>
              </w:rPr>
              <w:t>15,17</w:t>
            </w:r>
          </w:p>
        </w:tc>
        <w:tc>
          <w:tcPr>
            <w:tcW w:w="1871" w:type="dxa"/>
          </w:tcPr>
          <w:p w14:paraId="2459F8F0">
            <w:pPr>
              <w:spacing w:before="0" w:after="0" w:line="240" w:lineRule="auto"/>
              <w:ind w:firstLine="0"/>
              <w:jc w:val="both"/>
              <w:rPr>
                <w:kern w:val="0"/>
                <w14:ligatures w14:val="none"/>
              </w:rPr>
            </w:pPr>
            <w:r>
              <w:rPr>
                <w:rFonts w:ascii="Times New Roman" w:hAnsi="Times New Roman"/>
                <w:b w:val="0"/>
                <w:kern w:val="0"/>
                <w:sz w:val="24"/>
                <w14:ligatures w14:val="none"/>
              </w:rPr>
              <w:t>14,44</w:t>
            </w:r>
          </w:p>
        </w:tc>
        <w:tc>
          <w:tcPr>
            <w:tcW w:w="1871" w:type="dxa"/>
          </w:tcPr>
          <w:p w14:paraId="4B4B9C61">
            <w:pPr>
              <w:spacing w:before="0" w:after="0" w:line="240" w:lineRule="auto"/>
              <w:ind w:firstLine="0"/>
              <w:jc w:val="both"/>
              <w:rPr>
                <w:kern w:val="0"/>
                <w14:ligatures w14:val="none"/>
              </w:rPr>
            </w:pPr>
            <w:r>
              <w:rPr>
                <w:rFonts w:ascii="Times New Roman" w:hAnsi="Times New Roman"/>
                <w:b w:val="0"/>
                <w:kern w:val="0"/>
                <w:sz w:val="24"/>
                <w14:ligatures w14:val="none"/>
              </w:rPr>
              <w:t>164,16</w:t>
            </w:r>
          </w:p>
        </w:tc>
        <w:tc>
          <w:tcPr>
            <w:tcW w:w="1871" w:type="dxa"/>
          </w:tcPr>
          <w:p w14:paraId="02728690">
            <w:pPr>
              <w:spacing w:before="0" w:after="0" w:line="240" w:lineRule="auto"/>
              <w:ind w:firstLine="0"/>
              <w:jc w:val="both"/>
              <w:rPr>
                <w:kern w:val="0"/>
                <w14:ligatures w14:val="none"/>
              </w:rPr>
            </w:pPr>
            <w:r>
              <w:rPr>
                <w:rFonts w:ascii="Times New Roman" w:hAnsi="Times New Roman"/>
                <w:b w:val="0"/>
                <w:kern w:val="0"/>
                <w:sz w:val="24"/>
                <w14:ligatures w14:val="none"/>
              </w:rPr>
              <w:t>1,9</w:t>
            </w:r>
          </w:p>
        </w:tc>
      </w:tr>
      <w:tr w14:paraId="5ED28F5D">
        <w:tc>
          <w:tcPr>
            <w:tcW w:w="1871" w:type="dxa"/>
          </w:tcPr>
          <w:p w14:paraId="750152F7">
            <w:pPr>
              <w:spacing w:before="0" w:after="0" w:line="240" w:lineRule="auto"/>
              <w:ind w:firstLine="0"/>
              <w:jc w:val="both"/>
              <w:rPr>
                <w:kern w:val="0"/>
                <w14:ligatures w14:val="none"/>
              </w:rPr>
            </w:pPr>
            <w:r>
              <w:rPr>
                <w:rFonts w:ascii="Times New Roman" w:hAnsi="Times New Roman"/>
                <w:b w:val="0"/>
                <w:kern w:val="0"/>
                <w:sz w:val="24"/>
                <w14:ligatures w14:val="none"/>
              </w:rPr>
              <w:t>8</w:t>
            </w:r>
          </w:p>
        </w:tc>
        <w:tc>
          <w:tcPr>
            <w:tcW w:w="1871" w:type="dxa"/>
          </w:tcPr>
          <w:p w14:paraId="5A1E25B5">
            <w:pPr>
              <w:spacing w:before="0" w:after="0" w:line="240" w:lineRule="auto"/>
              <w:ind w:firstLine="0"/>
              <w:jc w:val="both"/>
              <w:rPr>
                <w:kern w:val="0"/>
                <w14:ligatures w14:val="none"/>
              </w:rPr>
            </w:pPr>
            <w:r>
              <w:rPr>
                <w:rFonts w:ascii="Times New Roman" w:hAnsi="Times New Roman"/>
                <w:b w:val="0"/>
                <w:kern w:val="0"/>
                <w:sz w:val="24"/>
                <w14:ligatures w14:val="none"/>
              </w:rPr>
              <w:t>17,33</w:t>
            </w:r>
          </w:p>
        </w:tc>
        <w:tc>
          <w:tcPr>
            <w:tcW w:w="1871" w:type="dxa"/>
          </w:tcPr>
          <w:p w14:paraId="6EAB902F">
            <w:pPr>
              <w:spacing w:before="0" w:after="0" w:line="240" w:lineRule="auto"/>
              <w:ind w:firstLine="0"/>
              <w:jc w:val="both"/>
              <w:rPr>
                <w:kern w:val="0"/>
                <w14:ligatures w14:val="none"/>
              </w:rPr>
            </w:pPr>
            <w:r>
              <w:rPr>
                <w:rFonts w:ascii="Times New Roman" w:hAnsi="Times New Roman"/>
                <w:b w:val="0"/>
                <w:kern w:val="0"/>
                <w:sz w:val="24"/>
                <w14:ligatures w14:val="none"/>
              </w:rPr>
              <w:t>15,31</w:t>
            </w:r>
          </w:p>
        </w:tc>
        <w:tc>
          <w:tcPr>
            <w:tcW w:w="1871" w:type="dxa"/>
          </w:tcPr>
          <w:p w14:paraId="6FBD1855">
            <w:pPr>
              <w:spacing w:before="0" w:after="0" w:line="240" w:lineRule="auto"/>
              <w:ind w:firstLine="0"/>
              <w:jc w:val="both"/>
              <w:rPr>
                <w:kern w:val="0"/>
                <w14:ligatures w14:val="none"/>
              </w:rPr>
            </w:pPr>
            <w:r>
              <w:rPr>
                <w:rFonts w:ascii="Times New Roman" w:hAnsi="Times New Roman"/>
                <w:b w:val="0"/>
                <w:kern w:val="0"/>
                <w:sz w:val="24"/>
                <w14:ligatures w14:val="none"/>
              </w:rPr>
              <w:t>188,81</w:t>
            </w:r>
          </w:p>
        </w:tc>
        <w:tc>
          <w:tcPr>
            <w:tcW w:w="1871" w:type="dxa"/>
          </w:tcPr>
          <w:p w14:paraId="63EBBC6F">
            <w:pPr>
              <w:spacing w:before="0" w:after="0" w:line="240" w:lineRule="auto"/>
              <w:ind w:firstLine="0"/>
              <w:jc w:val="both"/>
              <w:rPr>
                <w:kern w:val="0"/>
                <w14:ligatures w14:val="none"/>
              </w:rPr>
            </w:pPr>
            <w:r>
              <w:rPr>
                <w:rFonts w:ascii="Times New Roman" w:hAnsi="Times New Roman"/>
                <w:b w:val="0"/>
                <w:kern w:val="0"/>
                <w:sz w:val="24"/>
                <w14:ligatures w14:val="none"/>
              </w:rPr>
              <w:t>1,7</w:t>
            </w:r>
          </w:p>
        </w:tc>
      </w:tr>
      <w:tr w14:paraId="66961B01">
        <w:tc>
          <w:tcPr>
            <w:tcW w:w="1871" w:type="dxa"/>
          </w:tcPr>
          <w:p w14:paraId="304955EA">
            <w:pPr>
              <w:spacing w:before="0" w:after="0" w:line="240" w:lineRule="auto"/>
              <w:ind w:firstLine="0"/>
              <w:jc w:val="both"/>
              <w:rPr>
                <w:kern w:val="0"/>
                <w14:ligatures w14:val="none"/>
              </w:rPr>
            </w:pPr>
            <w:r>
              <w:rPr>
                <w:rFonts w:ascii="Times New Roman" w:hAnsi="Times New Roman"/>
                <w:b w:val="0"/>
                <w:kern w:val="0"/>
                <w:sz w:val="24"/>
                <w14:ligatures w14:val="none"/>
              </w:rPr>
              <w:t>9</w:t>
            </w:r>
          </w:p>
        </w:tc>
        <w:tc>
          <w:tcPr>
            <w:tcW w:w="1871" w:type="dxa"/>
          </w:tcPr>
          <w:p w14:paraId="705B0B8C">
            <w:pPr>
              <w:spacing w:before="0" w:after="0" w:line="240" w:lineRule="auto"/>
              <w:ind w:firstLine="0"/>
              <w:jc w:val="both"/>
              <w:rPr>
                <w:kern w:val="0"/>
                <w14:ligatures w14:val="none"/>
              </w:rPr>
            </w:pPr>
            <w:r>
              <w:rPr>
                <w:rFonts w:ascii="Times New Roman" w:hAnsi="Times New Roman"/>
                <w:b w:val="0"/>
                <w:kern w:val="0"/>
                <w:sz w:val="24"/>
                <w14:ligatures w14:val="none"/>
              </w:rPr>
              <w:t>19,50</w:t>
            </w:r>
          </w:p>
        </w:tc>
        <w:tc>
          <w:tcPr>
            <w:tcW w:w="1871" w:type="dxa"/>
          </w:tcPr>
          <w:p w14:paraId="26FE9F12">
            <w:pPr>
              <w:spacing w:before="0" w:after="0" w:line="240" w:lineRule="auto"/>
              <w:ind w:firstLine="0"/>
              <w:jc w:val="both"/>
              <w:rPr>
                <w:kern w:val="0"/>
                <w14:ligatures w14:val="none"/>
              </w:rPr>
            </w:pPr>
            <w:r>
              <w:rPr>
                <w:rFonts w:ascii="Times New Roman" w:hAnsi="Times New Roman"/>
                <w:b w:val="0"/>
                <w:kern w:val="0"/>
                <w:sz w:val="24"/>
                <w14:ligatures w14:val="none"/>
              </w:rPr>
              <w:t>16,18</w:t>
            </w:r>
          </w:p>
        </w:tc>
        <w:tc>
          <w:tcPr>
            <w:tcW w:w="1871" w:type="dxa"/>
          </w:tcPr>
          <w:p w14:paraId="73B4257D">
            <w:pPr>
              <w:spacing w:before="0" w:after="0" w:line="240" w:lineRule="auto"/>
              <w:ind w:firstLine="0"/>
              <w:jc w:val="both"/>
              <w:rPr>
                <w:kern w:val="0"/>
                <w14:ligatures w14:val="none"/>
              </w:rPr>
            </w:pPr>
            <w:r>
              <w:rPr>
                <w:rFonts w:ascii="Times New Roman" w:hAnsi="Times New Roman"/>
                <w:b w:val="0"/>
                <w:kern w:val="0"/>
                <w:sz w:val="24"/>
                <w14:ligatures w14:val="none"/>
              </w:rPr>
              <w:t>213,45</w:t>
            </w:r>
          </w:p>
        </w:tc>
        <w:tc>
          <w:tcPr>
            <w:tcW w:w="1871" w:type="dxa"/>
          </w:tcPr>
          <w:p w14:paraId="3B857F1E">
            <w:pPr>
              <w:spacing w:before="0" w:after="0" w:line="240" w:lineRule="auto"/>
              <w:ind w:firstLine="0"/>
              <w:jc w:val="both"/>
              <w:rPr>
                <w:kern w:val="0"/>
                <w14:ligatures w14:val="none"/>
              </w:rPr>
            </w:pPr>
            <w:r>
              <w:rPr>
                <w:rFonts w:ascii="Times New Roman" w:hAnsi="Times New Roman"/>
                <w:b w:val="0"/>
                <w:kern w:val="0"/>
                <w:sz w:val="24"/>
                <w14:ligatures w14:val="none"/>
              </w:rPr>
              <w:t>1,5</w:t>
            </w:r>
          </w:p>
        </w:tc>
      </w:tr>
      <w:tr w14:paraId="245F063F">
        <w:tc>
          <w:tcPr>
            <w:tcW w:w="1871" w:type="dxa"/>
          </w:tcPr>
          <w:p w14:paraId="684D7134">
            <w:pPr>
              <w:spacing w:before="0" w:after="0" w:line="240" w:lineRule="auto"/>
              <w:ind w:firstLine="0"/>
              <w:jc w:val="both"/>
              <w:rPr>
                <w:kern w:val="0"/>
                <w14:ligatures w14:val="none"/>
              </w:rPr>
            </w:pPr>
            <w:r>
              <w:rPr>
                <w:rFonts w:ascii="Times New Roman" w:hAnsi="Times New Roman"/>
                <w:b w:val="0"/>
                <w:kern w:val="0"/>
                <w:sz w:val="24"/>
                <w14:ligatures w14:val="none"/>
              </w:rPr>
              <w:t>10</w:t>
            </w:r>
          </w:p>
        </w:tc>
        <w:tc>
          <w:tcPr>
            <w:tcW w:w="1871" w:type="dxa"/>
          </w:tcPr>
          <w:p w14:paraId="2A613318">
            <w:pPr>
              <w:spacing w:before="0" w:after="0" w:line="240" w:lineRule="auto"/>
              <w:ind w:firstLine="0"/>
              <w:jc w:val="both"/>
              <w:rPr>
                <w:kern w:val="0"/>
                <w14:ligatures w14:val="none"/>
              </w:rPr>
            </w:pPr>
            <w:r>
              <w:rPr>
                <w:rFonts w:ascii="Times New Roman" w:hAnsi="Times New Roman"/>
                <w:b w:val="0"/>
                <w:kern w:val="0"/>
                <w:sz w:val="24"/>
                <w14:ligatures w14:val="none"/>
              </w:rPr>
              <w:t>21,67</w:t>
            </w:r>
          </w:p>
        </w:tc>
        <w:tc>
          <w:tcPr>
            <w:tcW w:w="1871" w:type="dxa"/>
          </w:tcPr>
          <w:p w14:paraId="7977100C">
            <w:pPr>
              <w:spacing w:before="0" w:after="0" w:line="240" w:lineRule="auto"/>
              <w:ind w:firstLine="0"/>
              <w:jc w:val="both"/>
              <w:rPr>
                <w:kern w:val="0"/>
                <w14:ligatures w14:val="none"/>
              </w:rPr>
            </w:pPr>
            <w:r>
              <w:rPr>
                <w:rFonts w:ascii="Times New Roman" w:hAnsi="Times New Roman"/>
                <w:b w:val="0"/>
                <w:kern w:val="0"/>
                <w:sz w:val="24"/>
                <w14:ligatures w14:val="none"/>
              </w:rPr>
              <w:t>17,05</w:t>
            </w:r>
          </w:p>
        </w:tc>
        <w:tc>
          <w:tcPr>
            <w:tcW w:w="1871" w:type="dxa"/>
          </w:tcPr>
          <w:p w14:paraId="01E87590">
            <w:pPr>
              <w:spacing w:before="0" w:after="0" w:line="240" w:lineRule="auto"/>
              <w:ind w:firstLine="0"/>
              <w:jc w:val="both"/>
              <w:rPr>
                <w:kern w:val="0"/>
                <w14:ligatures w14:val="none"/>
              </w:rPr>
            </w:pPr>
            <w:r>
              <w:rPr>
                <w:rFonts w:ascii="Times New Roman" w:hAnsi="Times New Roman"/>
                <w:b w:val="0"/>
                <w:kern w:val="0"/>
                <w:sz w:val="24"/>
                <w14:ligatures w14:val="none"/>
              </w:rPr>
              <w:t>238,10</w:t>
            </w:r>
          </w:p>
        </w:tc>
        <w:tc>
          <w:tcPr>
            <w:tcW w:w="1871" w:type="dxa"/>
          </w:tcPr>
          <w:p w14:paraId="32C3475C">
            <w:pPr>
              <w:spacing w:before="0" w:after="0" w:line="240" w:lineRule="auto"/>
              <w:ind w:firstLine="0"/>
              <w:jc w:val="both"/>
              <w:rPr>
                <w:kern w:val="0"/>
                <w14:ligatures w14:val="none"/>
              </w:rPr>
            </w:pPr>
            <w:r>
              <w:rPr>
                <w:rFonts w:ascii="Times New Roman" w:hAnsi="Times New Roman"/>
                <w:b w:val="0"/>
                <w:kern w:val="0"/>
                <w:sz w:val="24"/>
                <w14:ligatures w14:val="none"/>
              </w:rPr>
              <w:t>1,3</w:t>
            </w:r>
          </w:p>
        </w:tc>
      </w:tr>
      <w:tr w14:paraId="5AE81942">
        <w:tc>
          <w:tcPr>
            <w:tcW w:w="1871" w:type="dxa"/>
          </w:tcPr>
          <w:p w14:paraId="1A7D8F09">
            <w:pPr>
              <w:spacing w:before="0" w:after="0" w:line="240" w:lineRule="auto"/>
              <w:ind w:firstLine="0"/>
              <w:jc w:val="both"/>
              <w:rPr>
                <w:kern w:val="0"/>
                <w14:ligatures w14:val="none"/>
              </w:rPr>
            </w:pPr>
            <w:r>
              <w:rPr>
                <w:rFonts w:ascii="Times New Roman" w:hAnsi="Times New Roman"/>
                <w:b w:val="0"/>
                <w:kern w:val="0"/>
                <w:sz w:val="24"/>
                <w14:ligatures w14:val="none"/>
              </w:rPr>
              <w:t>11</w:t>
            </w:r>
          </w:p>
        </w:tc>
        <w:tc>
          <w:tcPr>
            <w:tcW w:w="1871" w:type="dxa"/>
          </w:tcPr>
          <w:p w14:paraId="16BD799C">
            <w:pPr>
              <w:spacing w:before="0" w:after="0" w:line="240" w:lineRule="auto"/>
              <w:ind w:firstLine="0"/>
              <w:jc w:val="both"/>
              <w:rPr>
                <w:kern w:val="0"/>
                <w14:ligatures w14:val="none"/>
              </w:rPr>
            </w:pPr>
            <w:r>
              <w:rPr>
                <w:rFonts w:ascii="Times New Roman" w:hAnsi="Times New Roman"/>
                <w:b w:val="0"/>
                <w:kern w:val="0"/>
                <w:sz w:val="24"/>
                <w14:ligatures w14:val="none"/>
              </w:rPr>
              <w:t>23,83</w:t>
            </w:r>
          </w:p>
        </w:tc>
        <w:tc>
          <w:tcPr>
            <w:tcW w:w="1871" w:type="dxa"/>
          </w:tcPr>
          <w:p w14:paraId="469D3264">
            <w:pPr>
              <w:spacing w:before="0" w:after="0" w:line="240" w:lineRule="auto"/>
              <w:ind w:firstLine="0"/>
              <w:jc w:val="both"/>
              <w:rPr>
                <w:kern w:val="0"/>
                <w14:ligatures w14:val="none"/>
              </w:rPr>
            </w:pPr>
            <w:r>
              <w:rPr>
                <w:rFonts w:ascii="Times New Roman" w:hAnsi="Times New Roman"/>
                <w:b w:val="0"/>
                <w:kern w:val="0"/>
                <w:sz w:val="24"/>
                <w14:ligatures w14:val="none"/>
              </w:rPr>
              <w:t>17,93</w:t>
            </w:r>
          </w:p>
        </w:tc>
        <w:tc>
          <w:tcPr>
            <w:tcW w:w="1871" w:type="dxa"/>
          </w:tcPr>
          <w:p w14:paraId="636F6C69">
            <w:pPr>
              <w:spacing w:before="0" w:after="0" w:line="240" w:lineRule="auto"/>
              <w:ind w:firstLine="0"/>
              <w:jc w:val="both"/>
              <w:rPr>
                <w:kern w:val="0"/>
                <w14:ligatures w14:val="none"/>
              </w:rPr>
            </w:pPr>
            <w:r>
              <w:rPr>
                <w:rFonts w:ascii="Times New Roman" w:hAnsi="Times New Roman"/>
                <w:b w:val="0"/>
                <w:kern w:val="0"/>
                <w:sz w:val="24"/>
                <w14:ligatures w14:val="none"/>
              </w:rPr>
              <w:t>262,74</w:t>
            </w:r>
          </w:p>
        </w:tc>
        <w:tc>
          <w:tcPr>
            <w:tcW w:w="1871" w:type="dxa"/>
          </w:tcPr>
          <w:p w14:paraId="27DBC8EB">
            <w:pPr>
              <w:spacing w:before="0" w:after="0" w:line="240" w:lineRule="auto"/>
              <w:ind w:firstLine="0"/>
              <w:jc w:val="both"/>
              <w:rPr>
                <w:kern w:val="0"/>
                <w14:ligatures w14:val="none"/>
              </w:rPr>
            </w:pPr>
            <w:r>
              <w:rPr>
                <w:rFonts w:ascii="Times New Roman" w:hAnsi="Times New Roman"/>
                <w:b w:val="0"/>
                <w:kern w:val="0"/>
                <w:sz w:val="24"/>
                <w14:ligatures w14:val="none"/>
              </w:rPr>
              <w:t>1,2</w:t>
            </w:r>
          </w:p>
        </w:tc>
      </w:tr>
      <w:tr w14:paraId="072A2F05">
        <w:tc>
          <w:tcPr>
            <w:tcW w:w="1871" w:type="dxa"/>
          </w:tcPr>
          <w:p w14:paraId="2A3721B7">
            <w:pPr>
              <w:spacing w:before="0" w:after="0" w:line="240" w:lineRule="auto"/>
              <w:ind w:firstLine="0"/>
              <w:jc w:val="both"/>
              <w:rPr>
                <w:kern w:val="0"/>
                <w14:ligatures w14:val="none"/>
              </w:rPr>
            </w:pPr>
            <w:r>
              <w:rPr>
                <w:rFonts w:ascii="Times New Roman" w:hAnsi="Times New Roman"/>
                <w:b w:val="0"/>
                <w:kern w:val="0"/>
                <w:sz w:val="24"/>
                <w14:ligatures w14:val="none"/>
              </w:rPr>
              <w:t>12</w:t>
            </w:r>
          </w:p>
        </w:tc>
        <w:tc>
          <w:tcPr>
            <w:tcW w:w="1871" w:type="dxa"/>
          </w:tcPr>
          <w:p w14:paraId="00D84FD7">
            <w:pPr>
              <w:spacing w:before="0" w:after="0" w:line="240" w:lineRule="auto"/>
              <w:ind w:firstLine="0"/>
              <w:jc w:val="both"/>
              <w:rPr>
                <w:kern w:val="0"/>
                <w14:ligatures w14:val="none"/>
              </w:rPr>
            </w:pPr>
            <w:r>
              <w:rPr>
                <w:rFonts w:ascii="Times New Roman" w:hAnsi="Times New Roman"/>
                <w:b w:val="0"/>
                <w:kern w:val="0"/>
                <w:sz w:val="24"/>
                <w14:ligatures w14:val="none"/>
              </w:rPr>
              <w:t>26,00</w:t>
            </w:r>
          </w:p>
        </w:tc>
        <w:tc>
          <w:tcPr>
            <w:tcW w:w="1871" w:type="dxa"/>
          </w:tcPr>
          <w:p w14:paraId="503427EC">
            <w:pPr>
              <w:spacing w:before="0" w:after="0" w:line="240" w:lineRule="auto"/>
              <w:ind w:firstLine="0"/>
              <w:jc w:val="both"/>
              <w:rPr>
                <w:kern w:val="0"/>
                <w14:ligatures w14:val="none"/>
              </w:rPr>
            </w:pPr>
            <w:r>
              <w:rPr>
                <w:rFonts w:ascii="Times New Roman" w:hAnsi="Times New Roman"/>
                <w:b w:val="0"/>
                <w:kern w:val="0"/>
                <w:sz w:val="24"/>
                <w14:ligatures w14:val="none"/>
              </w:rPr>
              <w:t>18,80</w:t>
            </w:r>
          </w:p>
        </w:tc>
        <w:tc>
          <w:tcPr>
            <w:tcW w:w="1871" w:type="dxa"/>
          </w:tcPr>
          <w:p w14:paraId="4AD0D54B">
            <w:pPr>
              <w:spacing w:before="0" w:after="0" w:line="240" w:lineRule="auto"/>
              <w:ind w:firstLine="0"/>
              <w:jc w:val="both"/>
              <w:rPr>
                <w:kern w:val="0"/>
                <w14:ligatures w14:val="none"/>
              </w:rPr>
            </w:pPr>
            <w:r>
              <w:rPr>
                <w:rFonts w:ascii="Times New Roman" w:hAnsi="Times New Roman"/>
                <w:b w:val="0"/>
                <w:kern w:val="0"/>
                <w:sz w:val="24"/>
                <w14:ligatures w14:val="none"/>
              </w:rPr>
              <w:t>287,38</w:t>
            </w:r>
          </w:p>
        </w:tc>
        <w:tc>
          <w:tcPr>
            <w:tcW w:w="1871" w:type="dxa"/>
          </w:tcPr>
          <w:p w14:paraId="6A5C6206">
            <w:pPr>
              <w:spacing w:before="0" w:after="0" w:line="240" w:lineRule="auto"/>
              <w:ind w:firstLine="0"/>
              <w:jc w:val="both"/>
              <w:rPr>
                <w:kern w:val="0"/>
                <w14:ligatures w14:val="none"/>
              </w:rPr>
            </w:pPr>
            <w:r>
              <w:rPr>
                <w:rFonts w:ascii="Times New Roman" w:hAnsi="Times New Roman"/>
                <w:b w:val="0"/>
                <w:kern w:val="0"/>
                <w:sz w:val="24"/>
                <w14:ligatures w14:val="none"/>
              </w:rPr>
              <w:t>1,1</w:t>
            </w:r>
          </w:p>
        </w:tc>
      </w:tr>
    </w:tbl>
    <w:p w14:paraId="603EA3A0">
      <w:pPr>
        <w:spacing w:before="0" w:after="0"/>
        <w:ind w:firstLine="709"/>
        <w:jc w:val="both"/>
      </w:pPr>
      <w:r>
        <w:rPr>
          <w:rFonts w:ascii="Times New Roman" w:hAnsi="Times New Roman"/>
          <w:b w:val="0"/>
          <w:sz w:val="28"/>
        </w:rPr>
        <w:t>CAPEX на создание платформы понесён единожды и распределяется на всю сеть без повторного инвестирования при каждом подключении филиала. Строка «1 филиал» соответствует консервативному якорю базового сценария: срок окупаемости 19,1 мес. получается тогда, когда одна клиника берёт на себя весь CAPEX 26,00 млн руб. С ростом охвата сети CAPEX остаётся неизменным — увеличивается лишь совокупный эффект. При подключении 12 филиалов чистый годовой эффект сети достигает 287,38 млн руб., а срок окупаемости сокращается до 1,1 мес.</w:t>
      </w:r>
    </w:p>
    <w:p w14:paraId="376DE0AA">
      <w:pPr>
        <w:spacing w:before="0" w:after="0"/>
        <w:ind w:firstLine="709"/>
        <w:jc w:val="both"/>
      </w:pPr>
      <w:r>
        <w:rPr>
          <w:rFonts w:ascii="Times New Roman" w:hAnsi="Times New Roman"/>
          <w:b w:val="0"/>
          <w:sz w:val="28"/>
        </w:rPr>
        <w:t>Шесть параметров расчёта — частично отраслевые бенчмарки, частично модельные оценки; каждый нуждается в замере на реальной базе пациентов. В таблице ниже зафиксированы плановые ориентиры, ответственные за сбор, периодичность замера и трактовка отклонений: эти данные позволяют отловить расхождение с прогнозом до конца пилота и вовремя скорректировать настройки продукта или коммуникаций.</w:t>
      </w:r>
    </w:p>
    <w:p w14:paraId="07DC9BF1">
      <w:pPr>
        <w:spacing w:before="0" w:after="0"/>
        <w:jc w:val="left"/>
      </w:pPr>
      <w:r>
        <w:rPr>
          <w:rFonts w:ascii="Times New Roman" w:hAnsi="Times New Roman"/>
          <w:b w:val="0"/>
          <w:sz w:val="28"/>
        </w:rPr>
        <w:t>Таблица 47 — План пост-внедренческого мониторинга KPI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1"/>
        <w:gridCol w:w="1304"/>
        <w:gridCol w:w="1669"/>
        <w:gridCol w:w="1801"/>
        <w:gridCol w:w="1514"/>
        <w:gridCol w:w="1711"/>
      </w:tblGrid>
      <w:tr w14:paraId="43CC895E">
        <w:tc>
          <w:tcPr>
            <w:tcW w:w="1559" w:type="dxa"/>
          </w:tcPr>
          <w:p w14:paraId="097FEC29">
            <w:pPr>
              <w:spacing w:before="0" w:after="0" w:line="240" w:lineRule="auto"/>
              <w:ind w:firstLine="0"/>
              <w:jc w:val="both"/>
              <w:rPr>
                <w:kern w:val="0"/>
                <w14:ligatures w14:val="none"/>
              </w:rPr>
            </w:pPr>
            <w:r>
              <w:rPr>
                <w:rFonts w:ascii="Times New Roman" w:hAnsi="Times New Roman"/>
                <w:b/>
                <w:kern w:val="0"/>
                <w:sz w:val="24"/>
                <w14:ligatures w14:val="none"/>
              </w:rPr>
              <w:t>Метрика</w:t>
            </w:r>
          </w:p>
        </w:tc>
        <w:tc>
          <w:tcPr>
            <w:tcW w:w="1559" w:type="dxa"/>
          </w:tcPr>
          <w:p w14:paraId="6DDBFF5F">
            <w:pPr>
              <w:spacing w:before="0" w:after="0" w:line="240" w:lineRule="auto"/>
              <w:ind w:firstLine="0"/>
              <w:jc w:val="both"/>
              <w:rPr>
                <w:kern w:val="0"/>
                <w14:ligatures w14:val="none"/>
              </w:rPr>
            </w:pPr>
            <w:r>
              <w:rPr>
                <w:rFonts w:ascii="Times New Roman" w:hAnsi="Times New Roman"/>
                <w:b/>
                <w:kern w:val="0"/>
                <w:sz w:val="24"/>
                <w14:ligatures w14:val="none"/>
              </w:rPr>
              <w:t>Целевое значение</w:t>
            </w:r>
          </w:p>
        </w:tc>
        <w:tc>
          <w:tcPr>
            <w:tcW w:w="1559" w:type="dxa"/>
          </w:tcPr>
          <w:p w14:paraId="596C9CB3">
            <w:pPr>
              <w:spacing w:before="0" w:after="0" w:line="240" w:lineRule="auto"/>
              <w:ind w:firstLine="0"/>
              <w:jc w:val="both"/>
              <w:rPr>
                <w:kern w:val="0"/>
                <w14:ligatures w14:val="none"/>
              </w:rPr>
            </w:pPr>
            <w:r>
              <w:rPr>
                <w:rFonts w:ascii="Times New Roman" w:hAnsi="Times New Roman"/>
                <w:b/>
                <w:kern w:val="0"/>
                <w:sz w:val="24"/>
                <w14:ligatures w14:val="none"/>
              </w:rPr>
              <w:t>Кто собирает</w:t>
            </w:r>
          </w:p>
        </w:tc>
        <w:tc>
          <w:tcPr>
            <w:tcW w:w="1559" w:type="dxa"/>
          </w:tcPr>
          <w:p w14:paraId="4379E0F2">
            <w:pPr>
              <w:spacing w:before="0" w:after="0" w:line="240" w:lineRule="auto"/>
              <w:ind w:firstLine="0"/>
              <w:jc w:val="both"/>
              <w:rPr>
                <w:kern w:val="0"/>
                <w14:ligatures w14:val="none"/>
              </w:rPr>
            </w:pPr>
            <w:r>
              <w:rPr>
                <w:rFonts w:ascii="Times New Roman" w:hAnsi="Times New Roman"/>
                <w:b/>
                <w:kern w:val="0"/>
                <w:sz w:val="24"/>
                <w14:ligatures w14:val="none"/>
              </w:rPr>
              <w:t>Периодичность</w:t>
            </w:r>
          </w:p>
        </w:tc>
        <w:tc>
          <w:tcPr>
            <w:tcW w:w="1559" w:type="dxa"/>
          </w:tcPr>
          <w:p w14:paraId="0AE37240">
            <w:pPr>
              <w:spacing w:before="0" w:after="0" w:line="240" w:lineRule="auto"/>
              <w:ind w:firstLine="0"/>
              <w:jc w:val="both"/>
              <w:rPr>
                <w:kern w:val="0"/>
                <w14:ligatures w14:val="none"/>
              </w:rPr>
            </w:pPr>
            <w:r>
              <w:rPr>
                <w:rFonts w:ascii="Times New Roman" w:hAnsi="Times New Roman"/>
                <w:b/>
                <w:kern w:val="0"/>
                <w:sz w:val="24"/>
                <w14:ligatures w14:val="none"/>
              </w:rPr>
              <w:t>Источник данных</w:t>
            </w:r>
          </w:p>
        </w:tc>
        <w:tc>
          <w:tcPr>
            <w:tcW w:w="1559" w:type="dxa"/>
          </w:tcPr>
          <w:p w14:paraId="66F8C745">
            <w:pPr>
              <w:spacing w:before="0" w:after="0" w:line="240" w:lineRule="auto"/>
              <w:ind w:firstLine="0"/>
              <w:jc w:val="both"/>
              <w:rPr>
                <w:kern w:val="0"/>
                <w14:ligatures w14:val="none"/>
              </w:rPr>
            </w:pPr>
            <w:r>
              <w:rPr>
                <w:rFonts w:ascii="Times New Roman" w:hAnsi="Times New Roman"/>
                <w:b/>
                <w:kern w:val="0"/>
                <w:sz w:val="24"/>
                <w14:ligatures w14:val="none"/>
              </w:rPr>
              <w:t>Интерпретация отклонений</w:t>
            </w:r>
          </w:p>
        </w:tc>
      </w:tr>
      <w:tr w14:paraId="4AE72EAA">
        <w:tc>
          <w:tcPr>
            <w:tcW w:w="1559" w:type="dxa"/>
          </w:tcPr>
          <w:p w14:paraId="54E49F7B">
            <w:pPr>
              <w:spacing w:before="0" w:after="0" w:line="240" w:lineRule="auto"/>
              <w:ind w:firstLine="0"/>
              <w:jc w:val="both"/>
              <w:rPr>
                <w:kern w:val="0"/>
                <w14:ligatures w14:val="none"/>
              </w:rPr>
            </w:pPr>
            <w:r>
              <w:rPr>
                <w:rFonts w:ascii="Times New Roman" w:hAnsi="Times New Roman"/>
                <w:b w:val="0"/>
                <w:kern w:val="0"/>
                <w:sz w:val="24"/>
                <w14:ligatures w14:val="none"/>
              </w:rPr>
              <w:t>Уровень неявок (no-show), %</w:t>
            </w:r>
          </w:p>
        </w:tc>
        <w:tc>
          <w:tcPr>
            <w:tcW w:w="1559" w:type="dxa"/>
          </w:tcPr>
          <w:p w14:paraId="3AB82B5D">
            <w:pPr>
              <w:spacing w:before="0" w:after="0" w:line="240" w:lineRule="auto"/>
              <w:ind w:firstLine="0"/>
              <w:jc w:val="both"/>
              <w:rPr>
                <w:kern w:val="0"/>
                <w14:ligatures w14:val="none"/>
              </w:rPr>
            </w:pPr>
            <w:r>
              <w:rPr>
                <w:rFonts w:ascii="Times New Roman" w:hAnsi="Times New Roman"/>
                <w:b w:val="0"/>
                <w:kern w:val="0"/>
                <w:sz w:val="24"/>
                <w14:ligatures w14:val="none"/>
              </w:rPr>
              <w:t>≤ 12,7 % (снижение на 29 % от базовых 18 %)</w:t>
            </w:r>
          </w:p>
        </w:tc>
        <w:tc>
          <w:tcPr>
            <w:tcW w:w="1559" w:type="dxa"/>
          </w:tcPr>
          <w:p w14:paraId="506F7586">
            <w:pPr>
              <w:spacing w:before="0" w:after="0" w:line="240" w:lineRule="auto"/>
              <w:ind w:firstLine="0"/>
              <w:jc w:val="both"/>
              <w:rPr>
                <w:kern w:val="0"/>
                <w14:ligatures w14:val="none"/>
              </w:rPr>
            </w:pPr>
            <w:r>
              <w:rPr>
                <w:rFonts w:ascii="Times New Roman" w:hAnsi="Times New Roman"/>
                <w:b w:val="0"/>
                <w:kern w:val="0"/>
                <w:sz w:val="24"/>
                <w14:ligatures w14:val="none"/>
              </w:rPr>
              <w:t>Аналитик / администратор</w:t>
            </w:r>
          </w:p>
        </w:tc>
        <w:tc>
          <w:tcPr>
            <w:tcW w:w="1559" w:type="dxa"/>
          </w:tcPr>
          <w:p w14:paraId="58125BB4">
            <w:pPr>
              <w:spacing w:before="0" w:after="0" w:line="240" w:lineRule="auto"/>
              <w:ind w:firstLine="0"/>
              <w:jc w:val="both"/>
              <w:rPr>
                <w:kern w:val="0"/>
                <w14:ligatures w14:val="none"/>
              </w:rPr>
            </w:pPr>
            <w:r>
              <w:rPr>
                <w:rFonts w:ascii="Times New Roman" w:hAnsi="Times New Roman"/>
                <w:b w:val="0"/>
                <w:kern w:val="0"/>
                <w:sz w:val="24"/>
                <w14:ligatures w14:val="none"/>
              </w:rPr>
              <w:t>Еженедельно</w:t>
            </w:r>
          </w:p>
        </w:tc>
        <w:tc>
          <w:tcPr>
            <w:tcW w:w="1559" w:type="dxa"/>
          </w:tcPr>
          <w:p w14:paraId="543E031E">
            <w:pPr>
              <w:spacing w:before="0" w:after="0" w:line="240" w:lineRule="auto"/>
              <w:ind w:firstLine="0"/>
              <w:jc w:val="both"/>
              <w:rPr>
                <w:kern w:val="0"/>
                <w14:ligatures w14:val="none"/>
              </w:rPr>
            </w:pPr>
            <w:r>
              <w:rPr>
                <w:rFonts w:ascii="Times New Roman" w:hAnsi="Times New Roman"/>
                <w:b w:val="0"/>
                <w:kern w:val="0"/>
                <w:sz w:val="24"/>
                <w14:ligatures w14:val="none"/>
              </w:rPr>
              <w:t>CRM / МИС (статусы записей)</w:t>
            </w:r>
          </w:p>
        </w:tc>
        <w:tc>
          <w:tcPr>
            <w:tcW w:w="1559" w:type="dxa"/>
          </w:tcPr>
          <w:p w14:paraId="1827F821">
            <w:pPr>
              <w:spacing w:before="0" w:after="0" w:line="240" w:lineRule="auto"/>
              <w:ind w:firstLine="0"/>
              <w:jc w:val="both"/>
              <w:rPr>
                <w:kern w:val="0"/>
                <w14:ligatures w14:val="none"/>
              </w:rPr>
            </w:pPr>
            <w:r>
              <w:rPr>
                <w:rFonts w:ascii="Times New Roman" w:hAnsi="Times New Roman"/>
                <w:b w:val="0"/>
                <w:kern w:val="0"/>
                <w:sz w:val="24"/>
                <w14:ligatures w14:val="none"/>
              </w:rPr>
              <w:t>Превышение 14 % — напоминания не доходят или некорректно настроен SMS-шлюз; требуется аудит цепочки уведомлений</w:t>
            </w:r>
          </w:p>
        </w:tc>
      </w:tr>
      <w:tr w14:paraId="708F20BA">
        <w:tc>
          <w:tcPr>
            <w:tcW w:w="1559" w:type="dxa"/>
          </w:tcPr>
          <w:p w14:paraId="68A6794B">
            <w:pPr>
              <w:spacing w:before="0" w:after="0" w:line="240" w:lineRule="auto"/>
              <w:ind w:firstLine="0"/>
              <w:jc w:val="both"/>
              <w:rPr>
                <w:kern w:val="0"/>
                <w14:ligatures w14:val="none"/>
              </w:rPr>
            </w:pPr>
            <w:r>
              <w:rPr>
                <w:rFonts w:ascii="Times New Roman" w:hAnsi="Times New Roman"/>
                <w:b w:val="0"/>
                <w:kern w:val="0"/>
                <w:sz w:val="24"/>
                <w14:ligatures w14:val="none"/>
              </w:rPr>
              <w:t>Снижение no-show от SMS-напоминаний, п.п.</w:t>
            </w:r>
          </w:p>
        </w:tc>
        <w:tc>
          <w:tcPr>
            <w:tcW w:w="1559" w:type="dxa"/>
          </w:tcPr>
          <w:p w14:paraId="725711FB">
            <w:pPr>
              <w:spacing w:before="0" w:after="0" w:line="240" w:lineRule="auto"/>
              <w:ind w:firstLine="0"/>
              <w:jc w:val="both"/>
              <w:rPr>
                <w:kern w:val="0"/>
                <w14:ligatures w14:val="none"/>
              </w:rPr>
            </w:pPr>
            <w:r>
              <w:rPr>
                <w:rFonts w:ascii="Times New Roman" w:hAnsi="Times New Roman"/>
                <w:b w:val="0"/>
                <w:kern w:val="0"/>
                <w:sz w:val="24"/>
                <w14:ligatures w14:val="none"/>
              </w:rPr>
              <w:t>≥ 5,2 п.п. относительно доцифрового периода</w:t>
            </w:r>
          </w:p>
        </w:tc>
        <w:tc>
          <w:tcPr>
            <w:tcW w:w="1559" w:type="dxa"/>
          </w:tcPr>
          <w:p w14:paraId="7AED7E4B">
            <w:pPr>
              <w:spacing w:before="0" w:after="0" w:line="240" w:lineRule="auto"/>
              <w:ind w:firstLine="0"/>
              <w:jc w:val="both"/>
              <w:rPr>
                <w:kern w:val="0"/>
                <w14:ligatures w14:val="none"/>
              </w:rPr>
            </w:pPr>
            <w:r>
              <w:rPr>
                <w:rFonts w:ascii="Times New Roman" w:hAnsi="Times New Roman"/>
                <w:b w:val="0"/>
                <w:kern w:val="0"/>
                <w:sz w:val="24"/>
                <w14:ligatures w14:val="none"/>
              </w:rPr>
              <w:t>Аналитик</w:t>
            </w:r>
          </w:p>
        </w:tc>
        <w:tc>
          <w:tcPr>
            <w:tcW w:w="1559" w:type="dxa"/>
          </w:tcPr>
          <w:p w14:paraId="03B7900E">
            <w:pPr>
              <w:spacing w:before="0" w:after="0" w:line="240" w:lineRule="auto"/>
              <w:ind w:firstLine="0"/>
              <w:jc w:val="both"/>
              <w:rPr>
                <w:kern w:val="0"/>
                <w14:ligatures w14:val="none"/>
              </w:rPr>
            </w:pPr>
            <w:r>
              <w:rPr>
                <w:rFonts w:ascii="Times New Roman" w:hAnsi="Times New Roman"/>
                <w:b w:val="0"/>
                <w:kern w:val="0"/>
                <w:sz w:val="24"/>
                <w14:ligatures w14:val="none"/>
              </w:rPr>
              <w:t>Ежемесячно</w:t>
            </w:r>
          </w:p>
        </w:tc>
        <w:tc>
          <w:tcPr>
            <w:tcW w:w="1559" w:type="dxa"/>
          </w:tcPr>
          <w:p w14:paraId="6D09E70D">
            <w:pPr>
              <w:spacing w:before="0" w:after="0" w:line="240" w:lineRule="auto"/>
              <w:ind w:firstLine="0"/>
              <w:jc w:val="both"/>
              <w:rPr>
                <w:kern w:val="0"/>
                <w14:ligatures w14:val="none"/>
              </w:rPr>
            </w:pPr>
            <w:r>
              <w:rPr>
                <w:rFonts w:ascii="Times New Roman" w:hAnsi="Times New Roman"/>
                <w:b w:val="0"/>
                <w:kern w:val="0"/>
                <w:sz w:val="24"/>
                <w14:ligatures w14:val="none"/>
              </w:rPr>
              <w:t>CRM: сравнение периодов до/после подключения напоминаний</w:t>
            </w:r>
          </w:p>
        </w:tc>
        <w:tc>
          <w:tcPr>
            <w:tcW w:w="1559" w:type="dxa"/>
          </w:tcPr>
          <w:p w14:paraId="42D98CBB">
            <w:pPr>
              <w:spacing w:before="0" w:after="0" w:line="240" w:lineRule="auto"/>
              <w:ind w:firstLine="0"/>
              <w:jc w:val="both"/>
              <w:rPr>
                <w:kern w:val="0"/>
                <w14:ligatures w14:val="none"/>
              </w:rPr>
            </w:pPr>
            <w:r>
              <w:rPr>
                <w:rFonts w:ascii="Times New Roman" w:hAnsi="Times New Roman"/>
                <w:b w:val="0"/>
                <w:kern w:val="0"/>
                <w:sz w:val="24"/>
                <w14:ligatures w14:val="none"/>
              </w:rPr>
              <w:t>Снижение &lt; 3 п.п. — пересмотреть тайминг и текст сообщений; &lt; 0 — проверить доставляемость SMS</w:t>
            </w:r>
          </w:p>
        </w:tc>
      </w:tr>
      <w:tr w14:paraId="4A136A1B">
        <w:tc>
          <w:tcPr>
            <w:tcW w:w="1559" w:type="dxa"/>
          </w:tcPr>
          <w:p w14:paraId="7F9D7F3F">
            <w:pPr>
              <w:spacing w:before="0" w:after="0" w:line="240" w:lineRule="auto"/>
              <w:ind w:firstLine="0"/>
              <w:jc w:val="both"/>
              <w:rPr>
                <w:kern w:val="0"/>
                <w14:ligatures w14:val="none"/>
              </w:rPr>
            </w:pPr>
            <w:r>
              <w:rPr>
                <w:rFonts w:ascii="Times New Roman" w:hAnsi="Times New Roman"/>
                <w:b w:val="0"/>
                <w:kern w:val="0"/>
                <w:sz w:val="24"/>
                <w14:ligatures w14:val="none"/>
              </w:rPr>
              <w:t>Доля повторных визитов, %</w:t>
            </w:r>
          </w:p>
        </w:tc>
        <w:tc>
          <w:tcPr>
            <w:tcW w:w="1559" w:type="dxa"/>
          </w:tcPr>
          <w:p w14:paraId="01CE962C">
            <w:pPr>
              <w:spacing w:before="0" w:after="0" w:line="240" w:lineRule="auto"/>
              <w:ind w:firstLine="0"/>
              <w:jc w:val="both"/>
              <w:rPr>
                <w:kern w:val="0"/>
                <w14:ligatures w14:val="none"/>
              </w:rPr>
            </w:pPr>
            <w:r>
              <w:rPr>
                <w:rFonts w:ascii="Times New Roman" w:hAnsi="Times New Roman"/>
                <w:b w:val="0"/>
                <w:kern w:val="0"/>
                <w:sz w:val="24"/>
                <w14:ligatures w14:val="none"/>
              </w:rPr>
              <w:t>≥ 57 % (уровень отраслевого бенчмарка)</w:t>
            </w:r>
          </w:p>
        </w:tc>
        <w:tc>
          <w:tcPr>
            <w:tcW w:w="1559" w:type="dxa"/>
          </w:tcPr>
          <w:p w14:paraId="12C6AC4C">
            <w:pPr>
              <w:spacing w:before="0" w:after="0" w:line="240" w:lineRule="auto"/>
              <w:ind w:firstLine="0"/>
              <w:jc w:val="both"/>
              <w:rPr>
                <w:kern w:val="0"/>
                <w14:ligatures w14:val="none"/>
              </w:rPr>
            </w:pPr>
            <w:r>
              <w:rPr>
                <w:rFonts w:ascii="Times New Roman" w:hAnsi="Times New Roman"/>
                <w:b w:val="0"/>
                <w:kern w:val="0"/>
                <w:sz w:val="24"/>
                <w14:ligatures w14:val="none"/>
              </w:rPr>
              <w:t>Аналитик</w:t>
            </w:r>
          </w:p>
        </w:tc>
        <w:tc>
          <w:tcPr>
            <w:tcW w:w="1559" w:type="dxa"/>
          </w:tcPr>
          <w:p w14:paraId="69E9B6D9">
            <w:pPr>
              <w:spacing w:before="0" w:after="0" w:line="240" w:lineRule="auto"/>
              <w:ind w:firstLine="0"/>
              <w:jc w:val="both"/>
              <w:rPr>
                <w:kern w:val="0"/>
                <w14:ligatures w14:val="none"/>
              </w:rPr>
            </w:pPr>
            <w:r>
              <w:rPr>
                <w:rFonts w:ascii="Times New Roman" w:hAnsi="Times New Roman"/>
                <w:b w:val="0"/>
                <w:kern w:val="0"/>
                <w:sz w:val="24"/>
                <w14:ligatures w14:val="none"/>
              </w:rPr>
              <w:t>Ежемесячно</w:t>
            </w:r>
          </w:p>
        </w:tc>
        <w:tc>
          <w:tcPr>
            <w:tcW w:w="1559" w:type="dxa"/>
          </w:tcPr>
          <w:p w14:paraId="43781B10">
            <w:pPr>
              <w:spacing w:before="0" w:after="0" w:line="240" w:lineRule="auto"/>
              <w:ind w:firstLine="0"/>
              <w:jc w:val="both"/>
              <w:rPr>
                <w:kern w:val="0"/>
                <w14:ligatures w14:val="none"/>
              </w:rPr>
            </w:pPr>
            <w:r>
              <w:rPr>
                <w:rFonts w:ascii="Times New Roman" w:hAnsi="Times New Roman"/>
                <w:b w:val="0"/>
                <w:kern w:val="0"/>
                <w:sz w:val="24"/>
                <w14:ligatures w14:val="none"/>
              </w:rPr>
              <w:t>МИС: соотношение уникальных пациентов и общего числа визитов</w:t>
            </w:r>
          </w:p>
        </w:tc>
        <w:tc>
          <w:tcPr>
            <w:tcW w:w="1559" w:type="dxa"/>
          </w:tcPr>
          <w:p w14:paraId="5E8F9BB7">
            <w:pPr>
              <w:spacing w:before="0" w:after="0" w:line="240" w:lineRule="auto"/>
              <w:ind w:firstLine="0"/>
              <w:jc w:val="both"/>
              <w:rPr>
                <w:kern w:val="0"/>
                <w14:ligatures w14:val="none"/>
              </w:rPr>
            </w:pPr>
            <w:r>
              <w:rPr>
                <w:rFonts w:ascii="Times New Roman" w:hAnsi="Times New Roman"/>
                <w:b w:val="0"/>
                <w:kern w:val="0"/>
                <w:sz w:val="24"/>
                <w14:ligatures w14:val="none"/>
              </w:rPr>
              <w:t>Ниже 55 % — рассмотреть push-кампанию реактивации; ниже 50 % — проверить качество сервиса и работу напоминаний</w:t>
            </w:r>
          </w:p>
        </w:tc>
      </w:tr>
      <w:tr w14:paraId="0E5DB10C">
        <w:tc>
          <w:tcPr>
            <w:tcW w:w="1559" w:type="dxa"/>
          </w:tcPr>
          <w:p w14:paraId="1BFF25E8">
            <w:pPr>
              <w:spacing w:before="0" w:after="0" w:line="240" w:lineRule="auto"/>
              <w:ind w:firstLine="0"/>
              <w:jc w:val="both"/>
              <w:rPr>
                <w:kern w:val="0"/>
                <w14:ligatures w14:val="none"/>
              </w:rPr>
            </w:pPr>
            <w:r>
              <w:rPr>
                <w:rFonts w:ascii="Times New Roman" w:hAnsi="Times New Roman"/>
                <w:b w:val="0"/>
                <w:kern w:val="0"/>
                <w:sz w:val="24"/>
                <w14:ligatures w14:val="none"/>
              </w:rPr>
              <w:t>Визитов на активного пациента в год</w:t>
            </w:r>
          </w:p>
        </w:tc>
        <w:tc>
          <w:tcPr>
            <w:tcW w:w="1559" w:type="dxa"/>
          </w:tcPr>
          <w:p w14:paraId="56A9D7B2">
            <w:pPr>
              <w:spacing w:before="0" w:after="0" w:line="240" w:lineRule="auto"/>
              <w:ind w:firstLine="0"/>
              <w:jc w:val="both"/>
              <w:rPr>
                <w:kern w:val="0"/>
                <w14:ligatures w14:val="none"/>
              </w:rPr>
            </w:pPr>
            <w:r>
              <w:rPr>
                <w:rFonts w:ascii="Times New Roman" w:hAnsi="Times New Roman"/>
                <w:b w:val="0"/>
                <w:kern w:val="0"/>
                <w:sz w:val="24"/>
                <w14:ligatures w14:val="none"/>
              </w:rPr>
              <w:t>≥ 2,5</w:t>
            </w:r>
          </w:p>
        </w:tc>
        <w:tc>
          <w:tcPr>
            <w:tcW w:w="1559" w:type="dxa"/>
          </w:tcPr>
          <w:p w14:paraId="37B902A1">
            <w:pPr>
              <w:spacing w:before="0" w:after="0" w:line="240" w:lineRule="auto"/>
              <w:ind w:firstLine="0"/>
              <w:jc w:val="both"/>
              <w:rPr>
                <w:kern w:val="0"/>
                <w14:ligatures w14:val="none"/>
              </w:rPr>
            </w:pPr>
            <w:r>
              <w:rPr>
                <w:rFonts w:ascii="Times New Roman" w:hAnsi="Times New Roman"/>
                <w:b w:val="0"/>
                <w:kern w:val="0"/>
                <w:sz w:val="24"/>
                <w14:ligatures w14:val="none"/>
              </w:rPr>
              <w:t>Аналитик</w:t>
            </w:r>
          </w:p>
        </w:tc>
        <w:tc>
          <w:tcPr>
            <w:tcW w:w="1559" w:type="dxa"/>
          </w:tcPr>
          <w:p w14:paraId="789E46A4">
            <w:pPr>
              <w:spacing w:before="0" w:after="0" w:line="240" w:lineRule="auto"/>
              <w:ind w:firstLine="0"/>
              <w:jc w:val="both"/>
              <w:rPr>
                <w:kern w:val="0"/>
                <w14:ligatures w14:val="none"/>
              </w:rPr>
            </w:pPr>
            <w:r>
              <w:rPr>
                <w:rFonts w:ascii="Times New Roman" w:hAnsi="Times New Roman"/>
                <w:b w:val="0"/>
                <w:kern w:val="0"/>
                <w:sz w:val="24"/>
                <w14:ligatures w14:val="none"/>
              </w:rPr>
              <w:t>Ежеквартально</w:t>
            </w:r>
          </w:p>
        </w:tc>
        <w:tc>
          <w:tcPr>
            <w:tcW w:w="1559" w:type="dxa"/>
          </w:tcPr>
          <w:p w14:paraId="044CAF34">
            <w:pPr>
              <w:spacing w:before="0" w:after="0" w:line="240" w:lineRule="auto"/>
              <w:ind w:firstLine="0"/>
              <w:jc w:val="both"/>
              <w:rPr>
                <w:kern w:val="0"/>
                <w14:ligatures w14:val="none"/>
              </w:rPr>
            </w:pPr>
            <w:r>
              <w:rPr>
                <w:rFonts w:ascii="Times New Roman" w:hAnsi="Times New Roman"/>
                <w:b w:val="0"/>
                <w:kern w:val="0"/>
                <w:sz w:val="24"/>
                <w14:ligatures w14:val="none"/>
              </w:rPr>
              <w:t>МИС / аналитика приложения</w:t>
            </w:r>
          </w:p>
        </w:tc>
        <w:tc>
          <w:tcPr>
            <w:tcW w:w="1559" w:type="dxa"/>
          </w:tcPr>
          <w:p w14:paraId="2D91759C">
            <w:pPr>
              <w:spacing w:before="0" w:after="0" w:line="240" w:lineRule="auto"/>
              <w:ind w:firstLine="0"/>
              <w:jc w:val="both"/>
              <w:rPr>
                <w:kern w:val="0"/>
                <w14:ligatures w14:val="none"/>
              </w:rPr>
            </w:pPr>
            <w:r>
              <w:rPr>
                <w:rFonts w:ascii="Times New Roman" w:hAnsi="Times New Roman"/>
                <w:b w:val="0"/>
                <w:kern w:val="0"/>
                <w:sz w:val="24"/>
                <w14:ligatures w14:val="none"/>
              </w:rPr>
              <w:t>Показатель &lt; 2,0 — проверить частоту триггерных напоминаний о профилактике; &lt; 1,5 — провести опрос оттока</w:t>
            </w:r>
          </w:p>
        </w:tc>
      </w:tr>
      <w:tr w14:paraId="32944CA3">
        <w:tc>
          <w:tcPr>
            <w:tcW w:w="1559" w:type="dxa"/>
          </w:tcPr>
          <w:p w14:paraId="34414BD9">
            <w:pPr>
              <w:spacing w:before="0" w:after="0" w:line="240" w:lineRule="auto"/>
              <w:ind w:firstLine="0"/>
              <w:jc w:val="both"/>
              <w:rPr>
                <w:kern w:val="0"/>
                <w14:ligatures w14:val="none"/>
              </w:rPr>
            </w:pPr>
            <w:r>
              <w:rPr>
                <w:rFonts w:ascii="Times New Roman" w:hAnsi="Times New Roman"/>
                <w:b w:val="0"/>
                <w:kern w:val="0"/>
                <w:sz w:val="24"/>
                <w14:ligatures w14:val="none"/>
              </w:rPr>
              <w:t>Число активных пациентов клиники, чел.</w:t>
            </w:r>
          </w:p>
        </w:tc>
        <w:tc>
          <w:tcPr>
            <w:tcW w:w="1559" w:type="dxa"/>
          </w:tcPr>
          <w:p w14:paraId="3000BD82">
            <w:pPr>
              <w:spacing w:before="0" w:after="0" w:line="240" w:lineRule="auto"/>
              <w:ind w:firstLine="0"/>
              <w:jc w:val="both"/>
              <w:rPr>
                <w:kern w:val="0"/>
                <w14:ligatures w14:val="none"/>
              </w:rPr>
            </w:pPr>
            <w:r>
              <w:rPr>
                <w:rFonts w:ascii="Times New Roman" w:hAnsi="Times New Roman"/>
                <w:b w:val="0"/>
                <w:kern w:val="0"/>
                <w:sz w:val="24"/>
                <w14:ligatures w14:val="none"/>
              </w:rPr>
              <w:t>≥ 6 000 к концу пилота</w:t>
            </w:r>
          </w:p>
        </w:tc>
        <w:tc>
          <w:tcPr>
            <w:tcW w:w="1559" w:type="dxa"/>
          </w:tcPr>
          <w:p w14:paraId="6A62F697">
            <w:pPr>
              <w:spacing w:before="0" w:after="0" w:line="240" w:lineRule="auto"/>
              <w:ind w:firstLine="0"/>
              <w:jc w:val="both"/>
              <w:rPr>
                <w:kern w:val="0"/>
                <w14:ligatures w14:val="none"/>
              </w:rPr>
            </w:pPr>
            <w:r>
              <w:rPr>
                <w:rFonts w:ascii="Times New Roman" w:hAnsi="Times New Roman"/>
                <w:b w:val="0"/>
                <w:kern w:val="0"/>
                <w:sz w:val="24"/>
                <w14:ligatures w14:val="none"/>
              </w:rPr>
              <w:t>Аналитик / ИТ</w:t>
            </w:r>
          </w:p>
        </w:tc>
        <w:tc>
          <w:tcPr>
            <w:tcW w:w="1559" w:type="dxa"/>
          </w:tcPr>
          <w:p w14:paraId="286D845E">
            <w:pPr>
              <w:spacing w:before="0" w:after="0" w:line="240" w:lineRule="auto"/>
              <w:ind w:firstLine="0"/>
              <w:jc w:val="both"/>
              <w:rPr>
                <w:kern w:val="0"/>
                <w14:ligatures w14:val="none"/>
              </w:rPr>
            </w:pPr>
            <w:r>
              <w:rPr>
                <w:rFonts w:ascii="Times New Roman" w:hAnsi="Times New Roman"/>
                <w:b w:val="0"/>
                <w:kern w:val="0"/>
                <w:sz w:val="24"/>
                <w14:ligatures w14:val="none"/>
              </w:rPr>
              <w:t>Ежеквартально</w:t>
            </w:r>
          </w:p>
        </w:tc>
        <w:tc>
          <w:tcPr>
            <w:tcW w:w="1559" w:type="dxa"/>
          </w:tcPr>
          <w:p w14:paraId="0B93074B">
            <w:pPr>
              <w:spacing w:before="0" w:after="0" w:line="240" w:lineRule="auto"/>
              <w:ind w:firstLine="0"/>
              <w:jc w:val="both"/>
              <w:rPr>
                <w:kern w:val="0"/>
                <w14:ligatures w14:val="none"/>
              </w:rPr>
            </w:pPr>
            <w:r>
              <w:rPr>
                <w:rFonts w:ascii="Times New Roman" w:hAnsi="Times New Roman"/>
                <w:b w:val="0"/>
                <w:kern w:val="0"/>
                <w:sz w:val="24"/>
                <w14:ligatures w14:val="none"/>
              </w:rPr>
              <w:t>CRM / МИС (пациенты с ≥ 1 визитом за 12 мес.)</w:t>
            </w:r>
          </w:p>
        </w:tc>
        <w:tc>
          <w:tcPr>
            <w:tcW w:w="1559" w:type="dxa"/>
          </w:tcPr>
          <w:p w14:paraId="5F49D287">
            <w:pPr>
              <w:spacing w:before="0" w:after="0" w:line="240" w:lineRule="auto"/>
              <w:ind w:firstLine="0"/>
              <w:jc w:val="both"/>
              <w:rPr>
                <w:kern w:val="0"/>
                <w14:ligatures w14:val="none"/>
              </w:rPr>
            </w:pPr>
            <w:r>
              <w:rPr>
                <w:rFonts w:ascii="Times New Roman" w:hAnsi="Times New Roman"/>
                <w:b w:val="0"/>
                <w:kern w:val="0"/>
                <w:sz w:val="24"/>
                <w14:ligatures w14:val="none"/>
              </w:rPr>
              <w:t>Менее 5 400 (−10 %) — скорректировать таргетинг онбординга; менее 4 800 — расследовать причины оттока</w:t>
            </w:r>
          </w:p>
        </w:tc>
      </w:tr>
      <w:tr w14:paraId="210438EA">
        <w:tc>
          <w:tcPr>
            <w:tcW w:w="1559" w:type="dxa"/>
          </w:tcPr>
          <w:p w14:paraId="6F3E764C">
            <w:pPr>
              <w:spacing w:before="0" w:after="0" w:line="240" w:lineRule="auto"/>
              <w:ind w:firstLine="0"/>
              <w:jc w:val="both"/>
              <w:rPr>
                <w:kern w:val="0"/>
                <w14:ligatures w14:val="none"/>
              </w:rPr>
            </w:pPr>
            <w:r>
              <w:rPr>
                <w:rFonts w:ascii="Times New Roman" w:hAnsi="Times New Roman"/>
                <w:b w:val="0"/>
                <w:kern w:val="0"/>
                <w:sz w:val="24"/>
                <w14:ligatures w14:val="none"/>
              </w:rPr>
              <w:t>Прирост доли удержания пациентов, п.п.</w:t>
            </w:r>
          </w:p>
        </w:tc>
        <w:tc>
          <w:tcPr>
            <w:tcW w:w="1559" w:type="dxa"/>
          </w:tcPr>
          <w:p w14:paraId="7ACAA39A">
            <w:pPr>
              <w:spacing w:before="0" w:after="0" w:line="240" w:lineRule="auto"/>
              <w:ind w:firstLine="0"/>
              <w:jc w:val="both"/>
              <w:rPr>
                <w:kern w:val="0"/>
                <w14:ligatures w14:val="none"/>
              </w:rPr>
            </w:pPr>
            <w:r>
              <w:rPr>
                <w:rFonts w:ascii="Times New Roman" w:hAnsi="Times New Roman"/>
                <w:b w:val="0"/>
                <w:kern w:val="0"/>
                <w:sz w:val="24"/>
                <w14:ligatures w14:val="none"/>
              </w:rPr>
              <w:t>+3,0 п.п. по итогам пилота</w:t>
            </w:r>
          </w:p>
        </w:tc>
        <w:tc>
          <w:tcPr>
            <w:tcW w:w="1559" w:type="dxa"/>
          </w:tcPr>
          <w:p w14:paraId="6DED5449">
            <w:pPr>
              <w:spacing w:before="0" w:after="0" w:line="240" w:lineRule="auto"/>
              <w:ind w:firstLine="0"/>
              <w:jc w:val="both"/>
              <w:rPr>
                <w:kern w:val="0"/>
                <w14:ligatures w14:val="none"/>
              </w:rPr>
            </w:pPr>
            <w:r>
              <w:rPr>
                <w:rFonts w:ascii="Times New Roman" w:hAnsi="Times New Roman"/>
                <w:b w:val="0"/>
                <w:kern w:val="0"/>
                <w:sz w:val="24"/>
                <w14:ligatures w14:val="none"/>
              </w:rPr>
              <w:t>Аналитик</w:t>
            </w:r>
          </w:p>
        </w:tc>
        <w:tc>
          <w:tcPr>
            <w:tcW w:w="1559" w:type="dxa"/>
          </w:tcPr>
          <w:p w14:paraId="63AD1B5E">
            <w:pPr>
              <w:spacing w:before="0" w:after="0" w:line="240" w:lineRule="auto"/>
              <w:ind w:firstLine="0"/>
              <w:jc w:val="both"/>
              <w:rPr>
                <w:kern w:val="0"/>
                <w14:ligatures w14:val="none"/>
              </w:rPr>
            </w:pPr>
            <w:r>
              <w:rPr>
                <w:rFonts w:ascii="Times New Roman" w:hAnsi="Times New Roman"/>
                <w:b w:val="0"/>
                <w:kern w:val="0"/>
                <w:sz w:val="24"/>
                <w14:ligatures w14:val="none"/>
              </w:rPr>
              <w:t>Ежемесячно (итог по пилоту)</w:t>
            </w:r>
          </w:p>
        </w:tc>
        <w:tc>
          <w:tcPr>
            <w:tcW w:w="1559" w:type="dxa"/>
          </w:tcPr>
          <w:p w14:paraId="6FC5C9D0">
            <w:pPr>
              <w:spacing w:before="0" w:after="0" w:line="240" w:lineRule="auto"/>
              <w:ind w:firstLine="0"/>
              <w:jc w:val="both"/>
              <w:rPr>
                <w:kern w:val="0"/>
                <w14:ligatures w14:val="none"/>
              </w:rPr>
            </w:pPr>
            <w:r>
              <w:rPr>
                <w:rFonts w:ascii="Times New Roman" w:hAnsi="Times New Roman"/>
                <w:b w:val="0"/>
                <w:kern w:val="0"/>
                <w:sz w:val="24"/>
                <w14:ligatures w14:val="none"/>
              </w:rPr>
              <w:t>CRM: когортный анализ до/после внедрения</w:t>
            </w:r>
          </w:p>
        </w:tc>
        <w:tc>
          <w:tcPr>
            <w:tcW w:w="1559" w:type="dxa"/>
          </w:tcPr>
          <w:p w14:paraId="5E9175CB">
            <w:pPr>
              <w:spacing w:before="0" w:after="0" w:line="240" w:lineRule="auto"/>
              <w:ind w:firstLine="0"/>
              <w:jc w:val="both"/>
              <w:rPr>
                <w:kern w:val="0"/>
                <w14:ligatures w14:val="none"/>
              </w:rPr>
            </w:pPr>
            <w:r>
              <w:rPr>
                <w:rFonts w:ascii="Times New Roman" w:hAnsi="Times New Roman"/>
                <w:b w:val="0"/>
                <w:kern w:val="0"/>
                <w:sz w:val="24"/>
                <w14:ligatures w14:val="none"/>
              </w:rPr>
              <w:t>Прирост &lt; +1,5 п.п. — пересмотреть частоту и персонализацию коммуникаций; отрицательный результат — аварийный разбор причин</w:t>
            </w:r>
          </w:p>
        </w:tc>
      </w:tr>
    </w:tbl>
    <w:p w14:paraId="6E4B381F">
      <w:pPr>
        <w:spacing w:before="0" w:after="0"/>
        <w:ind w:firstLine="709"/>
        <w:jc w:val="both"/>
      </w:pPr>
      <w:r>
        <w:rPr>
          <w:rFonts w:ascii="Times New Roman" w:hAnsi="Times New Roman"/>
          <w:b w:val="0"/>
          <w:sz w:val="28"/>
        </w:rPr>
        <w:t>Замеры по таблице выполняются параллельно с пилотом продолжительностью 2–3 месяца. Метрики no-show и доли повторных визитов сопоставляются с доцифровым периодом той же клиники; показатели активной базы и удержания рассчитываются когортным методом. По итогам пилота фактические значения подставляются в формулы (3.1)–(3.4), и прогнозный расчёт экономической эффективности уточняется.</w:t>
      </w:r>
    </w:p>
    <w:p w14:paraId="0786827C">
      <w:pPr>
        <w:spacing w:before="0" w:after="0"/>
        <w:ind w:firstLine="709"/>
        <w:jc w:val="both"/>
      </w:pPr>
      <w:r>
        <w:rPr>
          <w:rFonts w:ascii="Times New Roman" w:hAnsi="Times New Roman"/>
          <w:b w:val="0"/>
          <w:sz w:val="28"/>
        </w:rPr>
        <w:t>Достичь плановых показателей экономической эффективности можно лишь при последовательном соблюдении сроков и непревышении бюджета на каждом этапе разработки. Таблица ниже раскладывает девятимесячный план создания платформы по вехам: для каждого этапа указаны состав работ, длительность, прямые затраты и ответственная роль — это даёт всем участникам проекта единый ориентир для контроля хода работ.</w:t>
      </w:r>
    </w:p>
    <w:p w14:paraId="60CF968D">
      <w:pPr>
        <w:spacing w:before="0" w:after="0"/>
        <w:jc w:val="left"/>
      </w:pPr>
      <w:r>
        <w:rPr>
          <w:rFonts w:ascii="Times New Roman" w:hAnsi="Times New Roman"/>
          <w:b w:val="0"/>
          <w:sz w:val="28"/>
        </w:rPr>
        <w:t>Таблица 48 — Дорожная карта внедрения с распределением затрат и ответственности</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1871"/>
        <w:gridCol w:w="1871"/>
        <w:gridCol w:w="1871"/>
        <w:gridCol w:w="1871"/>
      </w:tblGrid>
      <w:tr w14:paraId="3B1A0F4B">
        <w:tc>
          <w:tcPr>
            <w:tcW w:w="1871" w:type="dxa"/>
          </w:tcPr>
          <w:p w14:paraId="6DAE7480">
            <w:pPr>
              <w:spacing w:before="0" w:after="0" w:line="240" w:lineRule="auto"/>
              <w:ind w:firstLine="0"/>
              <w:jc w:val="both"/>
              <w:rPr>
                <w:kern w:val="0"/>
                <w14:ligatures w14:val="none"/>
              </w:rPr>
            </w:pPr>
            <w:r>
              <w:rPr>
                <w:rFonts w:ascii="Times New Roman" w:hAnsi="Times New Roman"/>
                <w:b/>
                <w:kern w:val="0"/>
                <w:sz w:val="24"/>
                <w14:ligatures w14:val="none"/>
              </w:rPr>
              <w:t>Этап / веха</w:t>
            </w:r>
          </w:p>
        </w:tc>
        <w:tc>
          <w:tcPr>
            <w:tcW w:w="1871" w:type="dxa"/>
          </w:tcPr>
          <w:p w14:paraId="56F7CF05">
            <w:pPr>
              <w:spacing w:before="0" w:after="0" w:line="240" w:lineRule="auto"/>
              <w:ind w:firstLine="0"/>
              <w:jc w:val="both"/>
              <w:rPr>
                <w:kern w:val="0"/>
                <w14:ligatures w14:val="none"/>
              </w:rPr>
            </w:pPr>
            <w:r>
              <w:rPr>
                <w:rFonts w:ascii="Times New Roman" w:hAnsi="Times New Roman"/>
                <w:b/>
                <w:kern w:val="0"/>
                <w:sz w:val="24"/>
                <w14:ligatures w14:val="none"/>
              </w:rPr>
              <w:t>Состав работ</w:t>
            </w:r>
          </w:p>
        </w:tc>
        <w:tc>
          <w:tcPr>
            <w:tcW w:w="1871" w:type="dxa"/>
          </w:tcPr>
          <w:p w14:paraId="52D4F3AC">
            <w:pPr>
              <w:spacing w:before="0" w:after="0" w:line="240" w:lineRule="auto"/>
              <w:ind w:firstLine="0"/>
              <w:jc w:val="both"/>
              <w:rPr>
                <w:kern w:val="0"/>
                <w14:ligatures w14:val="none"/>
              </w:rPr>
            </w:pPr>
            <w:r>
              <w:rPr>
                <w:rFonts w:ascii="Times New Roman" w:hAnsi="Times New Roman"/>
                <w:b/>
                <w:kern w:val="0"/>
                <w:sz w:val="24"/>
                <w14:ligatures w14:val="none"/>
              </w:rPr>
              <w:t>Срок</w:t>
            </w:r>
          </w:p>
        </w:tc>
        <w:tc>
          <w:tcPr>
            <w:tcW w:w="1871" w:type="dxa"/>
          </w:tcPr>
          <w:p w14:paraId="672D3DFB">
            <w:pPr>
              <w:spacing w:before="0" w:after="0" w:line="240" w:lineRule="auto"/>
              <w:ind w:firstLine="0"/>
              <w:jc w:val="both"/>
              <w:rPr>
                <w:kern w:val="0"/>
                <w14:ligatures w14:val="none"/>
              </w:rPr>
            </w:pPr>
            <w:r>
              <w:rPr>
                <w:rFonts w:ascii="Times New Roman" w:hAnsi="Times New Roman"/>
                <w:b/>
                <w:kern w:val="0"/>
                <w:sz w:val="24"/>
                <w14:ligatures w14:val="none"/>
              </w:rPr>
              <w:t>Стоимость</w:t>
            </w:r>
          </w:p>
        </w:tc>
        <w:tc>
          <w:tcPr>
            <w:tcW w:w="1871" w:type="dxa"/>
          </w:tcPr>
          <w:p w14:paraId="07D24B21">
            <w:pPr>
              <w:spacing w:before="0" w:after="0" w:line="240" w:lineRule="auto"/>
              <w:ind w:firstLine="0"/>
              <w:jc w:val="both"/>
              <w:rPr>
                <w:kern w:val="0"/>
                <w14:ligatures w14:val="none"/>
              </w:rPr>
            </w:pPr>
            <w:r>
              <w:rPr>
                <w:rFonts w:ascii="Times New Roman" w:hAnsi="Times New Roman"/>
                <w:b/>
                <w:kern w:val="0"/>
                <w:sz w:val="24"/>
                <w14:ligatures w14:val="none"/>
              </w:rPr>
              <w:t>Ответственная роль</w:t>
            </w:r>
          </w:p>
        </w:tc>
      </w:tr>
      <w:tr w14:paraId="3499E77E">
        <w:tc>
          <w:tcPr>
            <w:tcW w:w="1871" w:type="dxa"/>
          </w:tcPr>
          <w:p w14:paraId="1E7D8E94">
            <w:pPr>
              <w:spacing w:before="0" w:after="0" w:line="240" w:lineRule="auto"/>
              <w:ind w:firstLine="0"/>
              <w:jc w:val="both"/>
              <w:rPr>
                <w:kern w:val="0"/>
                <w14:ligatures w14:val="none"/>
              </w:rPr>
            </w:pPr>
            <w:r>
              <w:rPr>
                <w:rFonts w:ascii="Times New Roman" w:hAnsi="Times New Roman"/>
                <w:b w:val="0"/>
                <w:kern w:val="0"/>
                <w:sz w:val="24"/>
                <w14:ligatures w14:val="none"/>
              </w:rPr>
              <w:t>M1 — Проектирование</w:t>
            </w:r>
          </w:p>
        </w:tc>
        <w:tc>
          <w:tcPr>
            <w:tcW w:w="1871" w:type="dxa"/>
          </w:tcPr>
          <w:p w14:paraId="57DF22C7">
            <w:pPr>
              <w:spacing w:before="0" w:after="0" w:line="240" w:lineRule="auto"/>
              <w:ind w:firstLine="0"/>
              <w:jc w:val="both"/>
              <w:rPr>
                <w:kern w:val="0"/>
                <w14:ligatures w14:val="none"/>
              </w:rPr>
            </w:pPr>
            <w:r>
              <w:rPr>
                <w:rFonts w:ascii="Times New Roman" w:hAnsi="Times New Roman"/>
                <w:b w:val="0"/>
                <w:kern w:val="0"/>
                <w:sz w:val="24"/>
                <w14:ligatures w14:val="none"/>
              </w:rPr>
              <w:t>Детальное техническое задание (ГОСТ 34.602-89); проектирование архитектуры, схемы данных и API; UX/UI-дизайн пациентского и административного контуров; развёртывание базовой инфраструктуры (Yandex Cloud / Selectel, PostgreSQL, Redis)</w:t>
            </w:r>
          </w:p>
        </w:tc>
        <w:tc>
          <w:tcPr>
            <w:tcW w:w="1871" w:type="dxa"/>
          </w:tcPr>
          <w:p w14:paraId="4BD09BE3">
            <w:pPr>
              <w:spacing w:before="0" w:after="0" w:line="240" w:lineRule="auto"/>
              <w:ind w:firstLine="0"/>
              <w:jc w:val="both"/>
              <w:rPr>
                <w:kern w:val="0"/>
                <w14:ligatures w14:val="none"/>
              </w:rPr>
            </w:pPr>
            <w:r>
              <w:rPr>
                <w:rFonts w:ascii="Times New Roman" w:hAnsi="Times New Roman"/>
                <w:b w:val="0"/>
                <w:kern w:val="0"/>
                <w:sz w:val="24"/>
                <w14:ligatures w14:val="none"/>
              </w:rPr>
              <w:t>Мес. 1–3</w:t>
            </w:r>
          </w:p>
        </w:tc>
        <w:tc>
          <w:tcPr>
            <w:tcW w:w="1871" w:type="dxa"/>
          </w:tcPr>
          <w:p w14:paraId="35558686">
            <w:pPr>
              <w:spacing w:before="0" w:after="0" w:line="240" w:lineRule="auto"/>
              <w:ind w:firstLine="0"/>
              <w:jc w:val="both"/>
              <w:rPr>
                <w:kern w:val="0"/>
                <w14:ligatures w14:val="none"/>
              </w:rPr>
            </w:pPr>
            <w:r>
              <w:rPr>
                <w:rFonts w:ascii="Times New Roman" w:hAnsi="Times New Roman"/>
                <w:b w:val="0"/>
                <w:kern w:val="0"/>
                <w:sz w:val="24"/>
                <w14:ligatures w14:val="none"/>
              </w:rPr>
              <w:t>7,0 млн руб.</w:t>
            </w:r>
          </w:p>
        </w:tc>
        <w:tc>
          <w:tcPr>
            <w:tcW w:w="1871" w:type="dxa"/>
          </w:tcPr>
          <w:p w14:paraId="6FC86DF9">
            <w:pPr>
              <w:spacing w:before="0" w:after="0" w:line="240" w:lineRule="auto"/>
              <w:ind w:firstLine="0"/>
              <w:jc w:val="both"/>
              <w:rPr>
                <w:kern w:val="0"/>
                <w14:ligatures w14:val="none"/>
              </w:rPr>
            </w:pPr>
            <w:r>
              <w:rPr>
                <w:rFonts w:ascii="Times New Roman" w:hAnsi="Times New Roman"/>
                <w:b w:val="0"/>
                <w:kern w:val="0"/>
                <w:sz w:val="24"/>
                <w14:ligatures w14:val="none"/>
              </w:rPr>
              <w:t>Руководитель проекта; архитектор; UX/UI-дизайнер; DevOps-инженер</w:t>
            </w:r>
          </w:p>
        </w:tc>
      </w:tr>
      <w:tr w14:paraId="2482C681">
        <w:tc>
          <w:tcPr>
            <w:tcW w:w="1871" w:type="dxa"/>
          </w:tcPr>
          <w:p w14:paraId="1B674B8B">
            <w:pPr>
              <w:spacing w:before="0" w:after="0" w:line="240" w:lineRule="auto"/>
              <w:ind w:firstLine="0"/>
              <w:jc w:val="both"/>
              <w:rPr>
                <w:kern w:val="0"/>
                <w14:ligatures w14:val="none"/>
              </w:rPr>
            </w:pPr>
            <w:r>
              <w:rPr>
                <w:rFonts w:ascii="Times New Roman" w:hAnsi="Times New Roman"/>
                <w:b w:val="0"/>
                <w:kern w:val="0"/>
                <w:sz w:val="24"/>
                <w14:ligatures w14:val="none"/>
              </w:rPr>
              <w:t>M2 — Разработка</w:t>
            </w:r>
          </w:p>
        </w:tc>
        <w:tc>
          <w:tcPr>
            <w:tcW w:w="1871" w:type="dxa"/>
          </w:tcPr>
          <w:p w14:paraId="74A23604">
            <w:pPr>
              <w:spacing w:before="0" w:after="0" w:line="240" w:lineRule="auto"/>
              <w:ind w:firstLine="0"/>
              <w:jc w:val="both"/>
              <w:rPr>
                <w:kern w:val="0"/>
                <w14:ligatures w14:val="none"/>
              </w:rPr>
            </w:pPr>
            <w:r>
              <w:rPr>
                <w:rFonts w:ascii="Times New Roman" w:hAnsi="Times New Roman"/>
                <w:b w:val="0"/>
                <w:kern w:val="0"/>
                <w:sz w:val="24"/>
                <w14:ligatures w14:val="none"/>
              </w:rPr>
              <w:t>Разработка пациентского контура: самозапись, единый профиль, SMS/push-напоминания, заявка на налоговый вычет; административный кабинет сотрудника клиники; покрытие автотестами (unit, integration)</w:t>
            </w:r>
          </w:p>
        </w:tc>
        <w:tc>
          <w:tcPr>
            <w:tcW w:w="1871" w:type="dxa"/>
          </w:tcPr>
          <w:p w14:paraId="05E497F1">
            <w:pPr>
              <w:spacing w:before="0" w:after="0" w:line="240" w:lineRule="auto"/>
              <w:ind w:firstLine="0"/>
              <w:jc w:val="both"/>
              <w:rPr>
                <w:kern w:val="0"/>
                <w14:ligatures w14:val="none"/>
              </w:rPr>
            </w:pPr>
            <w:r>
              <w:rPr>
                <w:rFonts w:ascii="Times New Roman" w:hAnsi="Times New Roman"/>
                <w:b w:val="0"/>
                <w:kern w:val="0"/>
                <w:sz w:val="24"/>
                <w14:ligatures w14:val="none"/>
              </w:rPr>
              <w:t>Мес. 4–6</w:t>
            </w:r>
          </w:p>
        </w:tc>
        <w:tc>
          <w:tcPr>
            <w:tcW w:w="1871" w:type="dxa"/>
          </w:tcPr>
          <w:p w14:paraId="4289B41D">
            <w:pPr>
              <w:spacing w:before="0" w:after="0" w:line="240" w:lineRule="auto"/>
              <w:ind w:firstLine="0"/>
              <w:jc w:val="both"/>
              <w:rPr>
                <w:kern w:val="0"/>
                <w14:ligatures w14:val="none"/>
              </w:rPr>
            </w:pPr>
            <w:r>
              <w:rPr>
                <w:rFonts w:ascii="Times New Roman" w:hAnsi="Times New Roman"/>
                <w:b w:val="0"/>
                <w:kern w:val="0"/>
                <w:sz w:val="24"/>
                <w14:ligatures w14:val="none"/>
              </w:rPr>
              <w:t>11,0 млн руб.</w:t>
            </w:r>
          </w:p>
        </w:tc>
        <w:tc>
          <w:tcPr>
            <w:tcW w:w="1871" w:type="dxa"/>
          </w:tcPr>
          <w:p w14:paraId="69E58FDC">
            <w:pPr>
              <w:spacing w:before="0" w:after="0" w:line="240" w:lineRule="auto"/>
              <w:ind w:firstLine="0"/>
              <w:jc w:val="both"/>
              <w:rPr>
                <w:kern w:val="0"/>
                <w14:ligatures w14:val="none"/>
              </w:rPr>
            </w:pPr>
            <w:r>
              <w:rPr>
                <w:rFonts w:ascii="Times New Roman" w:hAnsi="Times New Roman"/>
                <w:b w:val="0"/>
                <w:kern w:val="0"/>
                <w:sz w:val="24"/>
                <w14:ligatures w14:val="none"/>
              </w:rPr>
              <w:t>Команда разработки (4–5 инженеров); тест-инженер</w:t>
            </w:r>
          </w:p>
        </w:tc>
      </w:tr>
      <w:tr w14:paraId="2F737F39">
        <w:tc>
          <w:tcPr>
            <w:tcW w:w="1871" w:type="dxa"/>
          </w:tcPr>
          <w:p w14:paraId="12CC31C0">
            <w:pPr>
              <w:spacing w:before="0" w:after="0" w:line="240" w:lineRule="auto"/>
              <w:ind w:firstLine="0"/>
              <w:jc w:val="both"/>
              <w:rPr>
                <w:kern w:val="0"/>
                <w14:ligatures w14:val="none"/>
              </w:rPr>
            </w:pPr>
            <w:r>
              <w:rPr>
                <w:rFonts w:ascii="Times New Roman" w:hAnsi="Times New Roman"/>
                <w:b w:val="0"/>
                <w:kern w:val="0"/>
                <w:sz w:val="24"/>
                <w14:ligatures w14:val="none"/>
              </w:rPr>
              <w:t>M3 — Интеграция и стабилизация</w:t>
            </w:r>
          </w:p>
        </w:tc>
        <w:tc>
          <w:tcPr>
            <w:tcW w:w="1871" w:type="dxa"/>
          </w:tcPr>
          <w:p w14:paraId="2C25322B">
            <w:pPr>
              <w:spacing w:before="0" w:after="0" w:line="240" w:lineRule="auto"/>
              <w:ind w:firstLine="0"/>
              <w:jc w:val="both"/>
              <w:rPr>
                <w:kern w:val="0"/>
                <w14:ligatures w14:val="none"/>
              </w:rPr>
            </w:pPr>
            <w:r>
              <w:rPr>
                <w:rFonts w:ascii="Times New Roman" w:hAnsi="Times New Roman"/>
                <w:b w:val="0"/>
                <w:kern w:val="0"/>
                <w:sz w:val="24"/>
                <w14:ligatures w14:val="none"/>
              </w:rPr>
              <w:t>Подключение внешних API (МИС клиники, ЮKassa, SMSC, Диадок/СБИС); нагрузочное тестирование; устранение критических дефектов; проверка соответствия требованиям УЗ-3 (ПП РФ № 1119); подготовка к пилотному запуску в одной клинике сети</w:t>
            </w:r>
          </w:p>
        </w:tc>
        <w:tc>
          <w:tcPr>
            <w:tcW w:w="1871" w:type="dxa"/>
          </w:tcPr>
          <w:p w14:paraId="43461A7C">
            <w:pPr>
              <w:spacing w:before="0" w:after="0" w:line="240" w:lineRule="auto"/>
              <w:ind w:firstLine="0"/>
              <w:jc w:val="both"/>
              <w:rPr>
                <w:kern w:val="0"/>
                <w14:ligatures w14:val="none"/>
              </w:rPr>
            </w:pPr>
            <w:r>
              <w:rPr>
                <w:rFonts w:ascii="Times New Roman" w:hAnsi="Times New Roman"/>
                <w:b w:val="0"/>
                <w:kern w:val="0"/>
                <w:sz w:val="24"/>
                <w14:ligatures w14:val="none"/>
              </w:rPr>
              <w:t>Мес. 7–9</w:t>
            </w:r>
          </w:p>
        </w:tc>
        <w:tc>
          <w:tcPr>
            <w:tcW w:w="1871" w:type="dxa"/>
          </w:tcPr>
          <w:p w14:paraId="70ED9E2D">
            <w:pPr>
              <w:spacing w:before="0" w:after="0" w:line="240" w:lineRule="auto"/>
              <w:ind w:firstLine="0"/>
              <w:jc w:val="both"/>
              <w:rPr>
                <w:kern w:val="0"/>
                <w14:ligatures w14:val="none"/>
              </w:rPr>
            </w:pPr>
            <w:r>
              <w:rPr>
                <w:rFonts w:ascii="Times New Roman" w:hAnsi="Times New Roman"/>
                <w:b w:val="0"/>
                <w:kern w:val="0"/>
                <w:sz w:val="24"/>
                <w14:ligatures w14:val="none"/>
              </w:rPr>
              <w:t>5,5 млн руб.</w:t>
            </w:r>
          </w:p>
        </w:tc>
        <w:tc>
          <w:tcPr>
            <w:tcW w:w="1871" w:type="dxa"/>
          </w:tcPr>
          <w:p w14:paraId="32F61066">
            <w:pPr>
              <w:spacing w:before="0" w:after="0" w:line="240" w:lineRule="auto"/>
              <w:ind w:firstLine="0"/>
              <w:jc w:val="both"/>
              <w:rPr>
                <w:kern w:val="0"/>
                <w14:ligatures w14:val="none"/>
              </w:rPr>
            </w:pPr>
            <w:r>
              <w:rPr>
                <w:rFonts w:ascii="Times New Roman" w:hAnsi="Times New Roman"/>
                <w:b w:val="0"/>
                <w:kern w:val="0"/>
                <w:sz w:val="24"/>
                <w14:ligatures w14:val="none"/>
              </w:rPr>
              <w:t>Команда разработки; интеграционный инженер; ИТ-специалист клиники</w:t>
            </w:r>
          </w:p>
        </w:tc>
      </w:tr>
      <w:tr w14:paraId="240A61D2">
        <w:tc>
          <w:tcPr>
            <w:tcW w:w="1871" w:type="dxa"/>
          </w:tcPr>
          <w:p w14:paraId="1D480E17">
            <w:pPr>
              <w:spacing w:before="0" w:after="0" w:line="240" w:lineRule="auto"/>
              <w:ind w:firstLine="0"/>
              <w:jc w:val="both"/>
              <w:rPr>
                <w:kern w:val="0"/>
                <w14:ligatures w14:val="none"/>
              </w:rPr>
            </w:pPr>
            <w:r>
              <w:rPr>
                <w:rFonts w:ascii="Times New Roman" w:hAnsi="Times New Roman"/>
                <w:b w:val="0"/>
                <w:kern w:val="0"/>
                <w:sz w:val="24"/>
                <w14:ligatures w14:val="none"/>
              </w:rPr>
              <w:t>Непрямые расходы</w:t>
            </w:r>
          </w:p>
        </w:tc>
        <w:tc>
          <w:tcPr>
            <w:tcW w:w="1871" w:type="dxa"/>
          </w:tcPr>
          <w:p w14:paraId="39165A84">
            <w:pPr>
              <w:spacing w:before="0" w:after="0" w:line="240" w:lineRule="auto"/>
              <w:ind w:firstLine="0"/>
              <w:jc w:val="both"/>
              <w:rPr>
                <w:kern w:val="0"/>
                <w14:ligatures w14:val="none"/>
              </w:rPr>
            </w:pPr>
            <w:r>
              <w:rPr>
                <w:rFonts w:ascii="Times New Roman" w:hAnsi="Times New Roman"/>
                <w:b w:val="0"/>
                <w:kern w:val="0"/>
                <w:sz w:val="24"/>
                <w14:ligatures w14:val="none"/>
              </w:rPr>
              <w:t>Управление проектом, HR (подбор и ввод в команду), юридическое сопровождение соглашений с подрядчиками и вендорами, лицензионная документация</w:t>
            </w:r>
          </w:p>
        </w:tc>
        <w:tc>
          <w:tcPr>
            <w:tcW w:w="1871" w:type="dxa"/>
          </w:tcPr>
          <w:p w14:paraId="3D837F2C">
            <w:pPr>
              <w:spacing w:before="0" w:after="0" w:line="240" w:lineRule="auto"/>
              <w:ind w:firstLine="0"/>
              <w:jc w:val="both"/>
              <w:rPr>
                <w:kern w:val="0"/>
                <w14:ligatures w14:val="none"/>
              </w:rPr>
            </w:pPr>
            <w:r>
              <w:rPr>
                <w:rFonts w:ascii="Times New Roman" w:hAnsi="Times New Roman"/>
                <w:b w:val="0"/>
                <w:kern w:val="0"/>
                <w:sz w:val="24"/>
                <w14:ligatures w14:val="none"/>
              </w:rPr>
              <w:t>Мес. 1–9</w:t>
            </w:r>
          </w:p>
        </w:tc>
        <w:tc>
          <w:tcPr>
            <w:tcW w:w="1871" w:type="dxa"/>
          </w:tcPr>
          <w:p w14:paraId="6FCA5754">
            <w:pPr>
              <w:spacing w:before="0" w:after="0" w:line="240" w:lineRule="auto"/>
              <w:ind w:firstLine="0"/>
              <w:jc w:val="both"/>
              <w:rPr>
                <w:kern w:val="0"/>
                <w14:ligatures w14:val="none"/>
              </w:rPr>
            </w:pPr>
            <w:r>
              <w:rPr>
                <w:rFonts w:ascii="Times New Roman" w:hAnsi="Times New Roman"/>
                <w:b w:val="0"/>
                <w:kern w:val="0"/>
                <w:sz w:val="24"/>
                <w14:ligatures w14:val="none"/>
              </w:rPr>
              <w:t>1,5 млн руб.</w:t>
            </w:r>
          </w:p>
        </w:tc>
        <w:tc>
          <w:tcPr>
            <w:tcW w:w="1871" w:type="dxa"/>
          </w:tcPr>
          <w:p w14:paraId="45E5A26F">
            <w:pPr>
              <w:spacing w:before="0" w:after="0" w:line="240" w:lineRule="auto"/>
              <w:ind w:firstLine="0"/>
              <w:jc w:val="both"/>
              <w:rPr>
                <w:kern w:val="0"/>
                <w14:ligatures w14:val="none"/>
              </w:rPr>
            </w:pPr>
            <w:r>
              <w:rPr>
                <w:rFonts w:ascii="Times New Roman" w:hAnsi="Times New Roman"/>
                <w:b w:val="0"/>
                <w:kern w:val="0"/>
                <w:sz w:val="24"/>
                <w14:ligatures w14:val="none"/>
              </w:rPr>
              <w:t>Руководитель проекта; юрист</w:t>
            </w:r>
          </w:p>
        </w:tc>
      </w:tr>
      <w:tr w14:paraId="4D3DB28E">
        <w:tc>
          <w:tcPr>
            <w:tcW w:w="1871" w:type="dxa"/>
          </w:tcPr>
          <w:p w14:paraId="7B53B2AF">
            <w:pPr>
              <w:spacing w:before="0" w:after="0" w:line="240" w:lineRule="auto"/>
              <w:ind w:firstLine="0"/>
              <w:jc w:val="both"/>
              <w:rPr>
                <w:kern w:val="0"/>
                <w14:ligatures w14:val="none"/>
              </w:rPr>
            </w:pPr>
            <w:r>
              <w:rPr>
                <w:rFonts w:ascii="Times New Roman" w:hAnsi="Times New Roman"/>
                <w:b w:val="0"/>
                <w:kern w:val="0"/>
                <w:sz w:val="24"/>
                <w14:ligatures w14:val="none"/>
              </w:rPr>
              <w:t>Резерв</w:t>
            </w:r>
          </w:p>
        </w:tc>
        <w:tc>
          <w:tcPr>
            <w:tcW w:w="1871" w:type="dxa"/>
          </w:tcPr>
          <w:p w14:paraId="47C4A265">
            <w:pPr>
              <w:spacing w:before="0" w:after="0" w:line="240" w:lineRule="auto"/>
              <w:ind w:firstLine="0"/>
              <w:jc w:val="both"/>
              <w:rPr>
                <w:kern w:val="0"/>
                <w14:ligatures w14:val="none"/>
              </w:rPr>
            </w:pPr>
            <w:r>
              <w:rPr>
                <w:rFonts w:ascii="Times New Roman" w:hAnsi="Times New Roman"/>
                <w:b w:val="0"/>
                <w:kern w:val="0"/>
                <w:sz w:val="24"/>
                <w14:ligatures w14:val="none"/>
              </w:rPr>
              <w:t>Непредвиденные затраты разработки (≈ 4 % от прямых): доработки по результатам промежуточных приёмок, замена компонентов при изменении условий вендоров</w:t>
            </w:r>
          </w:p>
        </w:tc>
        <w:tc>
          <w:tcPr>
            <w:tcW w:w="1871" w:type="dxa"/>
          </w:tcPr>
          <w:p w14:paraId="1203B079">
            <w:pPr>
              <w:spacing w:before="0" w:after="0" w:line="240" w:lineRule="auto"/>
              <w:ind w:firstLine="0"/>
              <w:jc w:val="both"/>
              <w:rPr>
                <w:kern w:val="0"/>
                <w14:ligatures w14:val="none"/>
              </w:rPr>
            </w:pPr>
            <w:r>
              <w:rPr>
                <w:rFonts w:ascii="Times New Roman" w:hAnsi="Times New Roman"/>
                <w:b w:val="0"/>
                <w:kern w:val="0"/>
                <w:sz w:val="24"/>
                <w14:ligatures w14:val="none"/>
              </w:rPr>
              <w:t>Мес. 1–9</w:t>
            </w:r>
          </w:p>
        </w:tc>
        <w:tc>
          <w:tcPr>
            <w:tcW w:w="1871" w:type="dxa"/>
          </w:tcPr>
          <w:p w14:paraId="72BC4280">
            <w:pPr>
              <w:spacing w:before="0" w:after="0" w:line="240" w:lineRule="auto"/>
              <w:ind w:firstLine="0"/>
              <w:jc w:val="both"/>
              <w:rPr>
                <w:kern w:val="0"/>
                <w14:ligatures w14:val="none"/>
              </w:rPr>
            </w:pPr>
            <w:r>
              <w:rPr>
                <w:rFonts w:ascii="Times New Roman" w:hAnsi="Times New Roman"/>
                <w:b w:val="0"/>
                <w:kern w:val="0"/>
                <w:sz w:val="24"/>
                <w14:ligatures w14:val="none"/>
              </w:rPr>
              <w:t>1,0 млн руб.</w:t>
            </w:r>
          </w:p>
        </w:tc>
        <w:tc>
          <w:tcPr>
            <w:tcW w:w="1871" w:type="dxa"/>
          </w:tcPr>
          <w:p w14:paraId="3E9BF0AF">
            <w:pPr>
              <w:spacing w:before="0" w:after="0" w:line="240" w:lineRule="auto"/>
              <w:ind w:firstLine="0"/>
              <w:jc w:val="both"/>
              <w:rPr>
                <w:kern w:val="0"/>
                <w14:ligatures w14:val="none"/>
              </w:rPr>
            </w:pPr>
            <w:r>
              <w:rPr>
                <w:rFonts w:ascii="Times New Roman" w:hAnsi="Times New Roman"/>
                <w:b w:val="0"/>
                <w:kern w:val="0"/>
                <w:sz w:val="24"/>
                <w14:ligatures w14:val="none"/>
              </w:rPr>
              <w:t>Руководитель проекта</w:t>
            </w:r>
          </w:p>
        </w:tc>
      </w:tr>
      <w:tr w14:paraId="7831E333">
        <w:tc>
          <w:tcPr>
            <w:tcW w:w="1871" w:type="dxa"/>
          </w:tcPr>
          <w:p w14:paraId="6076DD13">
            <w:pPr>
              <w:spacing w:before="0" w:after="0" w:line="240" w:lineRule="auto"/>
              <w:ind w:firstLine="0"/>
              <w:jc w:val="both"/>
              <w:rPr>
                <w:kern w:val="0"/>
                <w14:ligatures w14:val="none"/>
              </w:rPr>
            </w:pPr>
            <w:r>
              <w:rPr>
                <w:rFonts w:ascii="Times New Roman" w:hAnsi="Times New Roman"/>
                <w:b w:val="0"/>
                <w:kern w:val="0"/>
                <w:sz w:val="24"/>
                <w14:ligatures w14:val="none"/>
              </w:rPr>
              <w:t>Пилот — Опытная эксплуатация</w:t>
            </w:r>
          </w:p>
        </w:tc>
        <w:tc>
          <w:tcPr>
            <w:tcW w:w="1871" w:type="dxa"/>
          </w:tcPr>
          <w:p w14:paraId="64C09AC8">
            <w:pPr>
              <w:spacing w:before="0" w:after="0" w:line="240" w:lineRule="auto"/>
              <w:ind w:firstLine="0"/>
              <w:jc w:val="both"/>
              <w:rPr>
                <w:kern w:val="0"/>
                <w14:ligatures w14:val="none"/>
              </w:rPr>
            </w:pPr>
            <w:r>
              <w:rPr>
                <w:rFonts w:ascii="Times New Roman" w:hAnsi="Times New Roman"/>
                <w:b w:val="0"/>
                <w:kern w:val="0"/>
                <w:sz w:val="24"/>
                <w14:ligatures w14:val="none"/>
              </w:rPr>
              <w:t>Развёртывание в одной клинике сети; онбординг пациентов и персонала; сбор метрик KPI (no-show, удержание, число активных пациентов, LTV); корректировка настроек продукта и коммуникаций по результатам замеров</w:t>
            </w:r>
          </w:p>
        </w:tc>
        <w:tc>
          <w:tcPr>
            <w:tcW w:w="1871" w:type="dxa"/>
          </w:tcPr>
          <w:p w14:paraId="6D507C61">
            <w:pPr>
              <w:spacing w:before="0" w:after="0" w:line="240" w:lineRule="auto"/>
              <w:ind w:firstLine="0"/>
              <w:jc w:val="both"/>
              <w:rPr>
                <w:kern w:val="0"/>
                <w14:ligatures w14:val="none"/>
              </w:rPr>
            </w:pPr>
            <w:r>
              <w:rPr>
                <w:rFonts w:ascii="Times New Roman" w:hAnsi="Times New Roman"/>
                <w:b w:val="0"/>
                <w:kern w:val="0"/>
                <w:sz w:val="24"/>
                <w14:ligatures w14:val="none"/>
              </w:rPr>
              <w:t>Мес. 10–12 (2–3 мес.)</w:t>
            </w:r>
          </w:p>
        </w:tc>
        <w:tc>
          <w:tcPr>
            <w:tcW w:w="1871" w:type="dxa"/>
          </w:tcPr>
          <w:p w14:paraId="45195CAD">
            <w:pPr>
              <w:spacing w:before="0" w:after="0" w:line="240" w:lineRule="auto"/>
              <w:ind w:firstLine="0"/>
              <w:jc w:val="both"/>
              <w:rPr>
                <w:kern w:val="0"/>
                <w14:ligatures w14:val="none"/>
              </w:rPr>
            </w:pPr>
            <w:r>
              <w:rPr>
                <w:rFonts w:ascii="Times New Roman" w:hAnsi="Times New Roman"/>
                <w:b w:val="0"/>
                <w:kern w:val="0"/>
                <w:sz w:val="24"/>
                <w14:ligatures w14:val="none"/>
              </w:rPr>
              <w:t>В OPEX (~0,77 млн руб./мес.)</w:t>
            </w:r>
          </w:p>
        </w:tc>
        <w:tc>
          <w:tcPr>
            <w:tcW w:w="1871" w:type="dxa"/>
          </w:tcPr>
          <w:p w14:paraId="67056869">
            <w:pPr>
              <w:spacing w:before="0" w:after="0" w:line="240" w:lineRule="auto"/>
              <w:ind w:firstLine="0"/>
              <w:jc w:val="both"/>
              <w:rPr>
                <w:kern w:val="0"/>
                <w14:ligatures w14:val="none"/>
              </w:rPr>
            </w:pPr>
            <w:r>
              <w:rPr>
                <w:rFonts w:ascii="Times New Roman" w:hAnsi="Times New Roman"/>
                <w:b w:val="0"/>
                <w:kern w:val="0"/>
                <w:sz w:val="24"/>
                <w14:ligatures w14:val="none"/>
              </w:rPr>
              <w:t>Маркетолог; аналитик; команда поддержки</w:t>
            </w:r>
          </w:p>
        </w:tc>
      </w:tr>
    </w:tbl>
    <w:p w14:paraId="08779298">
      <w:pPr>
        <w:spacing w:before="0" w:after="0"/>
        <w:ind w:firstLine="709"/>
        <w:jc w:val="both"/>
      </w:pPr>
      <w:r>
        <w:rPr>
          <w:rFonts w:ascii="Times New Roman" w:hAnsi="Times New Roman"/>
          <w:b w:val="0"/>
          <w:sz w:val="28"/>
        </w:rPr>
        <w:t>Суммарные капитальные затраты вех M1, M2 и M3 вместе с непрямыми расходами и резервом составляют 26,0 млн руб. — в точном соответствии с итоговой строкой Таблицы 43. Этап «Пилот» операционный: его затраты (~0,77 млн руб./мес.) входят в OPEX и не включаются в CAPEX. По итогам пилота фактические метрики подставляются в формулы (3.1)–(3.4) и прогнозный расчёт экономической эффективности уточняется.</w:t>
      </w:r>
    </w:p>
    <w:p w14:paraId="08790A9C">
      <w:pPr>
        <w:spacing w:before="0" w:after="0"/>
        <w:ind w:firstLine="709"/>
        <w:jc w:val="both"/>
      </w:pPr>
      <w:r>
        <w:rPr>
          <w:rFonts w:ascii="Times New Roman" w:hAnsi="Times New Roman"/>
          <w:b w:val="0"/>
          <w:sz w:val="28"/>
        </w:rPr>
        <w:t>Дорожная карта фиксирует плановые затраты и сроки, однако решение о реализации проекта опирается на сравнение состояния клиники до и после внедрения продукта. В таблице ниже по каждой ключевой метрике и статье затрат приведены фактические значения AS IS и прогнозные значения AS TO BE, рассчитанные по формулам (3.1)–(3.4) и согласованные с данными отраслевых бенчмарков.</w:t>
      </w:r>
    </w:p>
    <w:p w14:paraId="6CC9EA8A">
      <w:pPr>
        <w:spacing w:before="0" w:after="0"/>
        <w:jc w:val="left"/>
      </w:pPr>
      <w:r>
        <w:rPr>
          <w:rFonts w:ascii="Times New Roman" w:hAnsi="Times New Roman"/>
          <w:b w:val="0"/>
          <w:sz w:val="28"/>
        </w:rPr>
        <w:t>Таблица 49 — Сравнение метрик и затрат: AS IS и AS TO BE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2338"/>
        <w:gridCol w:w="2338"/>
        <w:gridCol w:w="2338"/>
      </w:tblGrid>
      <w:tr w14:paraId="7171E40B">
        <w:tc>
          <w:tcPr>
            <w:tcW w:w="2338" w:type="dxa"/>
          </w:tcPr>
          <w:p w14:paraId="4915CDA9">
            <w:pPr>
              <w:spacing w:before="0" w:after="0" w:line="240" w:lineRule="auto"/>
              <w:ind w:firstLine="0"/>
              <w:jc w:val="both"/>
              <w:rPr>
                <w:kern w:val="0"/>
                <w14:ligatures w14:val="none"/>
              </w:rPr>
            </w:pPr>
            <w:r>
              <w:rPr>
                <w:rFonts w:ascii="Times New Roman" w:hAnsi="Times New Roman"/>
                <w:b/>
                <w:kern w:val="0"/>
                <w:sz w:val="24"/>
                <w14:ligatures w14:val="none"/>
              </w:rPr>
              <w:t>Метрика / статья</w:t>
            </w:r>
          </w:p>
        </w:tc>
        <w:tc>
          <w:tcPr>
            <w:tcW w:w="2338" w:type="dxa"/>
          </w:tcPr>
          <w:p w14:paraId="5F20B1BD">
            <w:pPr>
              <w:spacing w:before="0" w:after="0" w:line="240" w:lineRule="auto"/>
              <w:ind w:firstLine="0"/>
              <w:jc w:val="both"/>
              <w:rPr>
                <w:kern w:val="0"/>
                <w14:ligatures w14:val="none"/>
              </w:rPr>
            </w:pPr>
            <w:r>
              <w:rPr>
                <w:rFonts w:ascii="Times New Roman" w:hAnsi="Times New Roman"/>
                <w:b/>
                <w:kern w:val="0"/>
                <w:sz w:val="24"/>
                <w14:ligatures w14:val="none"/>
              </w:rPr>
              <w:t>AS IS</w:t>
            </w:r>
          </w:p>
        </w:tc>
        <w:tc>
          <w:tcPr>
            <w:tcW w:w="2338" w:type="dxa"/>
          </w:tcPr>
          <w:p w14:paraId="703F8DC5">
            <w:pPr>
              <w:spacing w:before="0" w:after="0" w:line="240" w:lineRule="auto"/>
              <w:ind w:firstLine="0"/>
              <w:jc w:val="both"/>
              <w:rPr>
                <w:kern w:val="0"/>
                <w14:ligatures w14:val="none"/>
              </w:rPr>
            </w:pPr>
            <w:r>
              <w:rPr>
                <w:rFonts w:ascii="Times New Roman" w:hAnsi="Times New Roman"/>
                <w:b/>
                <w:kern w:val="0"/>
                <w:sz w:val="24"/>
                <w14:ligatures w14:val="none"/>
              </w:rPr>
              <w:t>AS TO BE (прогноз)</w:t>
            </w:r>
          </w:p>
        </w:tc>
        <w:tc>
          <w:tcPr>
            <w:tcW w:w="2338" w:type="dxa"/>
          </w:tcPr>
          <w:p w14:paraId="5F1BCFF2">
            <w:pPr>
              <w:spacing w:before="0" w:after="0" w:line="240" w:lineRule="auto"/>
              <w:ind w:firstLine="0"/>
              <w:jc w:val="both"/>
              <w:rPr>
                <w:kern w:val="0"/>
                <w14:ligatures w14:val="none"/>
              </w:rPr>
            </w:pPr>
            <w:r>
              <w:rPr>
                <w:rFonts w:ascii="Times New Roman" w:hAnsi="Times New Roman"/>
                <w:b/>
                <w:kern w:val="0"/>
                <w:sz w:val="24"/>
                <w14:ligatures w14:val="none"/>
              </w:rPr>
              <w:t>Источник оценки</w:t>
            </w:r>
          </w:p>
        </w:tc>
      </w:tr>
      <w:tr w14:paraId="6A16539F">
        <w:tc>
          <w:tcPr>
            <w:tcW w:w="2338" w:type="dxa"/>
          </w:tcPr>
          <w:p w14:paraId="205ED852">
            <w:pPr>
              <w:spacing w:before="0" w:after="0" w:line="240" w:lineRule="auto"/>
              <w:ind w:firstLine="0"/>
              <w:jc w:val="both"/>
              <w:rPr>
                <w:kern w:val="0"/>
                <w14:ligatures w14:val="none"/>
              </w:rPr>
            </w:pPr>
            <w:r>
              <w:rPr>
                <w:rFonts w:ascii="Times New Roman" w:hAnsi="Times New Roman"/>
                <w:b w:val="0"/>
                <w:kern w:val="0"/>
                <w:sz w:val="24"/>
                <w14:ligatures w14:val="none"/>
              </w:rPr>
              <w:t>Конверсия первичного трафика в запись</w:t>
            </w:r>
          </w:p>
        </w:tc>
        <w:tc>
          <w:tcPr>
            <w:tcW w:w="2338" w:type="dxa"/>
          </w:tcPr>
          <w:p w14:paraId="03DEFBFF">
            <w:pPr>
              <w:spacing w:before="0" w:after="0" w:line="240" w:lineRule="auto"/>
              <w:ind w:firstLine="0"/>
              <w:jc w:val="both"/>
              <w:rPr>
                <w:kern w:val="0"/>
                <w14:ligatures w14:val="none"/>
              </w:rPr>
            </w:pPr>
            <w:r>
              <w:rPr>
                <w:rFonts w:ascii="Times New Roman" w:hAnsi="Times New Roman"/>
                <w:b w:val="0"/>
                <w:kern w:val="0"/>
                <w:sz w:val="24"/>
                <w14:ligatures w14:val="none"/>
              </w:rPr>
              <w:t>Запись только через регистратуру; конверсия ограничена часами работы колл-центра</w:t>
            </w:r>
          </w:p>
        </w:tc>
        <w:tc>
          <w:tcPr>
            <w:tcW w:w="2338" w:type="dxa"/>
          </w:tcPr>
          <w:p w14:paraId="1F9252B4">
            <w:pPr>
              <w:spacing w:before="0" w:after="0" w:line="240" w:lineRule="auto"/>
              <w:ind w:firstLine="0"/>
              <w:jc w:val="both"/>
              <w:rPr>
                <w:kern w:val="0"/>
                <w14:ligatures w14:val="none"/>
              </w:rPr>
            </w:pPr>
            <w:r>
              <w:rPr>
                <w:rFonts w:ascii="Times New Roman" w:hAnsi="Times New Roman"/>
                <w:b w:val="0"/>
                <w:kern w:val="0"/>
                <w:sz w:val="24"/>
                <w14:ligatures w14:val="none"/>
              </w:rPr>
              <w:t>Самозапись 24/7; по отраслевым данным до 83 % пациентов предпочитают онлайн-запись</w:t>
            </w:r>
          </w:p>
        </w:tc>
        <w:tc>
          <w:tcPr>
            <w:tcW w:w="2338" w:type="dxa"/>
          </w:tcPr>
          <w:p w14:paraId="1E8D6A42">
            <w:pPr>
              <w:spacing w:before="0" w:after="0" w:line="240" w:lineRule="auto"/>
              <w:ind w:firstLine="0"/>
              <w:jc w:val="both"/>
              <w:rPr>
                <w:kern w:val="0"/>
                <w14:ligatures w14:val="none"/>
              </w:rPr>
            </w:pPr>
            <w:r>
              <w:rPr>
                <w:rFonts w:ascii="Times New Roman" w:hAnsi="Times New Roman"/>
                <w:b w:val="0"/>
                <w:kern w:val="0"/>
                <w:sz w:val="24"/>
                <w14:ligatures w14:val="none"/>
              </w:rPr>
              <w:t>B7 (FollowApp, 2024); Введение ВКР [2]</w:t>
            </w:r>
          </w:p>
        </w:tc>
      </w:tr>
      <w:tr w14:paraId="51FE333D">
        <w:tc>
          <w:tcPr>
            <w:tcW w:w="2338" w:type="dxa"/>
          </w:tcPr>
          <w:p w14:paraId="219C7126">
            <w:pPr>
              <w:spacing w:before="0" w:after="0" w:line="240" w:lineRule="auto"/>
              <w:ind w:firstLine="0"/>
              <w:jc w:val="both"/>
              <w:rPr>
                <w:kern w:val="0"/>
                <w14:ligatures w14:val="none"/>
              </w:rPr>
            </w:pPr>
            <w:r>
              <w:rPr>
                <w:rFonts w:ascii="Times New Roman" w:hAnsi="Times New Roman"/>
                <w:b w:val="0"/>
                <w:kern w:val="0"/>
                <w:sz w:val="24"/>
                <w14:ligatures w14:val="none"/>
              </w:rPr>
              <w:t>Доля неявок (no-show), %</w:t>
            </w:r>
          </w:p>
        </w:tc>
        <w:tc>
          <w:tcPr>
            <w:tcW w:w="2338" w:type="dxa"/>
          </w:tcPr>
          <w:p w14:paraId="1CF2E3B5">
            <w:pPr>
              <w:spacing w:before="0" w:after="0" w:line="240" w:lineRule="auto"/>
              <w:ind w:firstLine="0"/>
              <w:jc w:val="both"/>
              <w:rPr>
                <w:kern w:val="0"/>
                <w14:ligatures w14:val="none"/>
              </w:rPr>
            </w:pPr>
            <w:r>
              <w:rPr>
                <w:rFonts w:ascii="Times New Roman" w:hAnsi="Times New Roman"/>
                <w:b w:val="0"/>
                <w:kern w:val="0"/>
                <w:sz w:val="24"/>
                <w14:ligatures w14:val="none"/>
              </w:rPr>
              <w:t>18,0 %</w:t>
            </w:r>
          </w:p>
        </w:tc>
        <w:tc>
          <w:tcPr>
            <w:tcW w:w="2338" w:type="dxa"/>
          </w:tcPr>
          <w:p w14:paraId="55D542ED">
            <w:pPr>
              <w:spacing w:before="0" w:after="0" w:line="240" w:lineRule="auto"/>
              <w:ind w:firstLine="0"/>
              <w:jc w:val="both"/>
              <w:rPr>
                <w:kern w:val="0"/>
                <w14:ligatures w14:val="none"/>
              </w:rPr>
            </w:pPr>
            <w:r>
              <w:rPr>
                <w:rFonts w:ascii="Times New Roman" w:hAnsi="Times New Roman"/>
                <w:b w:val="0"/>
                <w:kern w:val="0"/>
                <w:sz w:val="24"/>
                <w14:ligatures w14:val="none"/>
              </w:rPr>
              <w:t>12,8 % (снижение на 29 % от базового уровня за счёт SMS/push-напоминаний)</w:t>
            </w:r>
          </w:p>
        </w:tc>
        <w:tc>
          <w:tcPr>
            <w:tcW w:w="2338" w:type="dxa"/>
          </w:tcPr>
          <w:p w14:paraId="326BBF4D">
            <w:pPr>
              <w:spacing w:before="0" w:after="0" w:line="240" w:lineRule="auto"/>
              <w:ind w:firstLine="0"/>
              <w:jc w:val="both"/>
              <w:rPr>
                <w:kern w:val="0"/>
                <w14:ligatures w14:val="none"/>
              </w:rPr>
            </w:pPr>
            <w:r>
              <w:rPr>
                <w:rFonts w:ascii="Times New Roman" w:hAnsi="Times New Roman"/>
                <w:b w:val="0"/>
                <w:kern w:val="0"/>
                <w:sz w:val="24"/>
                <w14:ligatures w14:val="none"/>
              </w:rPr>
              <w:t>B1 (Becker's Dental, 2024); B4 (PMC RCT + JHMHP, 2023); Таблица 42 ВКР</w:t>
            </w:r>
          </w:p>
        </w:tc>
      </w:tr>
      <w:tr w14:paraId="635D73BB">
        <w:tc>
          <w:tcPr>
            <w:tcW w:w="2338" w:type="dxa"/>
          </w:tcPr>
          <w:p w14:paraId="62EA8701">
            <w:pPr>
              <w:spacing w:before="0" w:after="0" w:line="240" w:lineRule="auto"/>
              <w:ind w:firstLine="0"/>
              <w:jc w:val="both"/>
              <w:rPr>
                <w:kern w:val="0"/>
                <w14:ligatures w14:val="none"/>
              </w:rPr>
            </w:pPr>
            <w:r>
              <w:rPr>
                <w:rFonts w:ascii="Times New Roman" w:hAnsi="Times New Roman"/>
                <w:b w:val="0"/>
                <w:kern w:val="0"/>
                <w:sz w:val="24"/>
                <w14:ligatures w14:val="none"/>
              </w:rPr>
              <w:t>Удержание пациентов (доля повторных визитов), %</w:t>
            </w:r>
          </w:p>
        </w:tc>
        <w:tc>
          <w:tcPr>
            <w:tcW w:w="2338" w:type="dxa"/>
          </w:tcPr>
          <w:p w14:paraId="32806668">
            <w:pPr>
              <w:spacing w:before="0" w:after="0" w:line="240" w:lineRule="auto"/>
              <w:ind w:firstLine="0"/>
              <w:jc w:val="both"/>
              <w:rPr>
                <w:kern w:val="0"/>
                <w14:ligatures w14:val="none"/>
              </w:rPr>
            </w:pPr>
            <w:r>
              <w:rPr>
                <w:rFonts w:ascii="Times New Roman" w:hAnsi="Times New Roman"/>
                <w:b w:val="0"/>
                <w:kern w:val="0"/>
                <w:sz w:val="24"/>
                <w14:ligatures w14:val="none"/>
              </w:rPr>
              <w:t>57,0 % (международный бенчмарк средней практики — Henry Schein One)</w:t>
            </w:r>
          </w:p>
        </w:tc>
        <w:tc>
          <w:tcPr>
            <w:tcW w:w="2338" w:type="dxa"/>
          </w:tcPr>
          <w:p w14:paraId="240CCCFD">
            <w:pPr>
              <w:spacing w:before="0" w:after="0" w:line="240" w:lineRule="auto"/>
              <w:ind w:firstLine="0"/>
              <w:jc w:val="both"/>
              <w:rPr>
                <w:kern w:val="0"/>
                <w14:ligatures w14:val="none"/>
              </w:rPr>
            </w:pPr>
            <w:r>
              <w:rPr>
                <w:rFonts w:ascii="Times New Roman" w:hAnsi="Times New Roman"/>
                <w:b w:val="0"/>
                <w:kern w:val="0"/>
                <w:sz w:val="24"/>
                <w14:ligatures w14:val="none"/>
              </w:rPr>
              <w:t>60,0 % (+3 п.п. за счёт триггерных коммуникаций и удобства записи)</w:t>
            </w:r>
          </w:p>
        </w:tc>
        <w:tc>
          <w:tcPr>
            <w:tcW w:w="2338" w:type="dxa"/>
          </w:tcPr>
          <w:p w14:paraId="67D520AD">
            <w:pPr>
              <w:spacing w:before="0" w:after="0" w:line="240" w:lineRule="auto"/>
              <w:ind w:firstLine="0"/>
              <w:jc w:val="both"/>
              <w:rPr>
                <w:kern w:val="0"/>
                <w14:ligatures w14:val="none"/>
              </w:rPr>
            </w:pPr>
            <w:r>
              <w:rPr>
                <w:rFonts w:ascii="Times New Roman" w:hAnsi="Times New Roman"/>
                <w:b w:val="0"/>
                <w:kern w:val="0"/>
                <w:sz w:val="24"/>
                <w14:ligatures w14:val="none"/>
              </w:rPr>
              <w:t>B3 (Henry Schein One / JADA, 2024); Таблица 42 ВКР</w:t>
            </w:r>
          </w:p>
        </w:tc>
      </w:tr>
      <w:tr w14:paraId="2CA4D577">
        <w:tc>
          <w:tcPr>
            <w:tcW w:w="2338" w:type="dxa"/>
          </w:tcPr>
          <w:p w14:paraId="4E46761D">
            <w:pPr>
              <w:spacing w:before="0" w:after="0" w:line="240" w:lineRule="auto"/>
              <w:ind w:firstLine="0"/>
              <w:jc w:val="both"/>
              <w:rPr>
                <w:kern w:val="0"/>
                <w14:ligatures w14:val="none"/>
              </w:rPr>
            </w:pPr>
            <w:r>
              <w:rPr>
                <w:rFonts w:ascii="Times New Roman" w:hAnsi="Times New Roman"/>
                <w:b w:val="0"/>
                <w:kern w:val="0"/>
                <w:sz w:val="24"/>
                <w14:ligatures w14:val="none"/>
              </w:rPr>
              <w:t>Средний чек первичного приёма, руб.</w:t>
            </w:r>
          </w:p>
        </w:tc>
        <w:tc>
          <w:tcPr>
            <w:tcW w:w="2338" w:type="dxa"/>
          </w:tcPr>
          <w:p w14:paraId="5C669883">
            <w:pPr>
              <w:spacing w:before="0" w:after="0" w:line="240" w:lineRule="auto"/>
              <w:ind w:firstLine="0"/>
              <w:jc w:val="both"/>
              <w:rPr>
                <w:kern w:val="0"/>
                <w14:ligatures w14:val="none"/>
              </w:rPr>
            </w:pPr>
            <w:r>
              <w:rPr>
                <w:rFonts w:ascii="Times New Roman" w:hAnsi="Times New Roman"/>
                <w:b w:val="0"/>
                <w:kern w:val="0"/>
                <w:sz w:val="24"/>
                <w14:ligatures w14:val="none"/>
              </w:rPr>
              <w:t>5 000</w:t>
            </w:r>
          </w:p>
        </w:tc>
        <w:tc>
          <w:tcPr>
            <w:tcW w:w="2338" w:type="dxa"/>
          </w:tcPr>
          <w:p w14:paraId="3C04C4EA">
            <w:pPr>
              <w:spacing w:before="0" w:after="0" w:line="240" w:lineRule="auto"/>
              <w:ind w:firstLine="0"/>
              <w:jc w:val="both"/>
              <w:rPr>
                <w:kern w:val="0"/>
                <w14:ligatures w14:val="none"/>
              </w:rPr>
            </w:pPr>
            <w:r>
              <w:rPr>
                <w:rFonts w:ascii="Times New Roman" w:hAnsi="Times New Roman"/>
                <w:b w:val="0"/>
                <w:kern w:val="0"/>
                <w:sz w:val="24"/>
                <w14:ligatures w14:val="none"/>
              </w:rPr>
              <w:t>5 000 (без изменений — чек не зависит от канала записи)</w:t>
            </w:r>
          </w:p>
        </w:tc>
        <w:tc>
          <w:tcPr>
            <w:tcW w:w="2338" w:type="dxa"/>
          </w:tcPr>
          <w:p w14:paraId="3A28A662">
            <w:pPr>
              <w:spacing w:before="0" w:after="0" w:line="240" w:lineRule="auto"/>
              <w:ind w:firstLine="0"/>
              <w:jc w:val="both"/>
              <w:rPr>
                <w:kern w:val="0"/>
                <w14:ligatures w14:val="none"/>
              </w:rPr>
            </w:pPr>
            <w:r>
              <w:rPr>
                <w:rFonts w:ascii="Times New Roman" w:hAnsi="Times New Roman"/>
                <w:b w:val="0"/>
                <w:kern w:val="0"/>
                <w:sz w:val="24"/>
                <w14:ligatures w14:val="none"/>
              </w:rPr>
              <w:t>B2 (Чек Индекс / ОФД, 2026); Таблица 42 ВКР</w:t>
            </w:r>
          </w:p>
        </w:tc>
      </w:tr>
      <w:tr w14:paraId="43ECAFAE">
        <w:tc>
          <w:tcPr>
            <w:tcW w:w="2338" w:type="dxa"/>
          </w:tcPr>
          <w:p w14:paraId="6181F5C8">
            <w:pPr>
              <w:spacing w:before="0" w:after="0" w:line="240" w:lineRule="auto"/>
              <w:ind w:firstLine="0"/>
              <w:jc w:val="both"/>
              <w:rPr>
                <w:kern w:val="0"/>
                <w14:ligatures w14:val="none"/>
              </w:rPr>
            </w:pPr>
            <w:r>
              <w:rPr>
                <w:rFonts w:ascii="Times New Roman" w:hAnsi="Times New Roman"/>
                <w:b w:val="0"/>
                <w:kern w:val="0"/>
                <w:sz w:val="24"/>
                <w14:ligatures w14:val="none"/>
              </w:rPr>
              <w:t>Экономия на неявках, млн руб./год</w:t>
            </w:r>
          </w:p>
        </w:tc>
        <w:tc>
          <w:tcPr>
            <w:tcW w:w="2338" w:type="dxa"/>
          </w:tcPr>
          <w:p w14:paraId="7245F8C9">
            <w:pPr>
              <w:spacing w:before="0" w:after="0" w:line="240" w:lineRule="auto"/>
              <w:ind w:firstLine="0"/>
              <w:jc w:val="both"/>
              <w:rPr>
                <w:kern w:val="0"/>
                <w14:ligatures w14:val="none"/>
              </w:rPr>
            </w:pPr>
            <w:r>
              <w:rPr>
                <w:rFonts w:ascii="Times New Roman" w:hAnsi="Times New Roman"/>
                <w:b w:val="0"/>
                <w:kern w:val="0"/>
                <w:sz w:val="24"/>
                <w14:ligatures w14:val="none"/>
              </w:rPr>
              <w:t>0 (базовые потери не фиксировались)</w:t>
            </w:r>
          </w:p>
        </w:tc>
        <w:tc>
          <w:tcPr>
            <w:tcW w:w="2338" w:type="dxa"/>
          </w:tcPr>
          <w:p w14:paraId="30BB7990">
            <w:pPr>
              <w:spacing w:before="0" w:after="0" w:line="240" w:lineRule="auto"/>
              <w:ind w:firstLine="0"/>
              <w:jc w:val="both"/>
              <w:rPr>
                <w:kern w:val="0"/>
                <w14:ligatures w14:val="none"/>
              </w:rPr>
            </w:pPr>
            <w:r>
              <w:rPr>
                <w:rFonts w:ascii="Times New Roman" w:hAnsi="Times New Roman"/>
                <w:b w:val="0"/>
                <w:kern w:val="0"/>
                <w:sz w:val="24"/>
                <w14:ligatures w14:val="none"/>
              </w:rPr>
              <w:t>3,92 (= 15 000 × 18 % × 29 % × 5 000 руб.)</w:t>
            </w:r>
          </w:p>
        </w:tc>
        <w:tc>
          <w:tcPr>
            <w:tcW w:w="2338" w:type="dxa"/>
          </w:tcPr>
          <w:p w14:paraId="797AD493">
            <w:pPr>
              <w:spacing w:before="0" w:after="0" w:line="240" w:lineRule="auto"/>
              <w:ind w:firstLine="0"/>
              <w:jc w:val="both"/>
              <w:rPr>
                <w:kern w:val="0"/>
                <w14:ligatures w14:val="none"/>
              </w:rPr>
            </w:pPr>
            <w:r>
              <w:rPr>
                <w:rFonts w:ascii="Times New Roman" w:hAnsi="Times New Roman"/>
                <w:b w:val="0"/>
                <w:kern w:val="0"/>
                <w:sz w:val="24"/>
                <w14:ligatures w14:val="none"/>
              </w:rPr>
              <w:t>economics.md, базовая модель; B1; B4</w:t>
            </w:r>
          </w:p>
        </w:tc>
      </w:tr>
      <w:tr w14:paraId="39D38855">
        <w:tc>
          <w:tcPr>
            <w:tcW w:w="2338" w:type="dxa"/>
          </w:tcPr>
          <w:p w14:paraId="1356EF91">
            <w:pPr>
              <w:spacing w:before="0" w:after="0" w:line="240" w:lineRule="auto"/>
              <w:ind w:firstLine="0"/>
              <w:jc w:val="both"/>
              <w:rPr>
                <w:kern w:val="0"/>
                <w14:ligatures w14:val="none"/>
              </w:rPr>
            </w:pPr>
            <w:r>
              <w:rPr>
                <w:rFonts w:ascii="Times New Roman" w:hAnsi="Times New Roman"/>
                <w:b w:val="0"/>
                <w:kern w:val="0"/>
                <w:sz w:val="24"/>
                <w14:ligatures w14:val="none"/>
              </w:rPr>
              <w:t>Прирост выручки от удержания, млн руб./год</w:t>
            </w:r>
          </w:p>
        </w:tc>
        <w:tc>
          <w:tcPr>
            <w:tcW w:w="2338" w:type="dxa"/>
          </w:tcPr>
          <w:p w14:paraId="4CC079D9">
            <w:pPr>
              <w:spacing w:before="0" w:after="0" w:line="240" w:lineRule="auto"/>
              <w:ind w:firstLine="0"/>
              <w:jc w:val="both"/>
              <w:rPr>
                <w:kern w:val="0"/>
                <w14:ligatures w14:val="none"/>
              </w:rPr>
            </w:pPr>
            <w:r>
              <w:rPr>
                <w:rFonts w:ascii="Times New Roman" w:hAnsi="Times New Roman"/>
                <w:b w:val="0"/>
                <w:kern w:val="0"/>
                <w:sz w:val="24"/>
                <w14:ligatures w14:val="none"/>
              </w:rPr>
              <w:t>0 (прироста нет без инструмента удержания)</w:t>
            </w:r>
          </w:p>
        </w:tc>
        <w:tc>
          <w:tcPr>
            <w:tcW w:w="2338" w:type="dxa"/>
          </w:tcPr>
          <w:p w14:paraId="77EFD4E5">
            <w:pPr>
              <w:spacing w:before="0" w:after="0" w:line="240" w:lineRule="auto"/>
              <w:ind w:firstLine="0"/>
              <w:jc w:val="both"/>
              <w:rPr>
                <w:kern w:val="0"/>
                <w14:ligatures w14:val="none"/>
              </w:rPr>
            </w:pPr>
            <w:r>
              <w:rPr>
                <w:rFonts w:ascii="Times New Roman" w:hAnsi="Times New Roman"/>
                <w:b w:val="0"/>
                <w:kern w:val="0"/>
                <w:sz w:val="24"/>
                <w14:ligatures w14:val="none"/>
              </w:rPr>
              <w:t>21,60 (= 6 000 пациентов × 3 п.п. × 120 000 руб. LTV)</w:t>
            </w:r>
          </w:p>
        </w:tc>
        <w:tc>
          <w:tcPr>
            <w:tcW w:w="2338" w:type="dxa"/>
          </w:tcPr>
          <w:p w14:paraId="31607E75">
            <w:pPr>
              <w:spacing w:before="0" w:after="0" w:line="240" w:lineRule="auto"/>
              <w:ind w:firstLine="0"/>
              <w:jc w:val="both"/>
              <w:rPr>
                <w:kern w:val="0"/>
                <w14:ligatures w14:val="none"/>
              </w:rPr>
            </w:pPr>
            <w:r>
              <w:rPr>
                <w:rFonts w:ascii="Times New Roman" w:hAnsi="Times New Roman"/>
                <w:b w:val="0"/>
                <w:kern w:val="0"/>
                <w:sz w:val="24"/>
                <w14:ligatures w14:val="none"/>
              </w:rPr>
              <w:t>economics.md, базовая модель; B3; B5</w:t>
            </w:r>
          </w:p>
        </w:tc>
      </w:tr>
      <w:tr w14:paraId="15E106CA">
        <w:tc>
          <w:tcPr>
            <w:tcW w:w="2338" w:type="dxa"/>
          </w:tcPr>
          <w:p w14:paraId="031B7BEB">
            <w:pPr>
              <w:spacing w:before="0" w:after="0" w:line="240" w:lineRule="auto"/>
              <w:ind w:firstLine="0"/>
              <w:jc w:val="both"/>
              <w:rPr>
                <w:kern w:val="0"/>
                <w14:ligatures w14:val="none"/>
              </w:rPr>
            </w:pPr>
            <w:r>
              <w:rPr>
                <w:rFonts w:ascii="Times New Roman" w:hAnsi="Times New Roman"/>
                <w:b w:val="0"/>
                <w:kern w:val="0"/>
                <w:sz w:val="24"/>
                <w14:ligatures w14:val="none"/>
              </w:rPr>
              <w:t>Чистый годовой эффект, млн руб.</w:t>
            </w:r>
          </w:p>
        </w:tc>
        <w:tc>
          <w:tcPr>
            <w:tcW w:w="2338" w:type="dxa"/>
          </w:tcPr>
          <w:p w14:paraId="5DDFC9B9">
            <w:pPr>
              <w:spacing w:before="0" w:after="0" w:line="240" w:lineRule="auto"/>
              <w:ind w:firstLine="0"/>
              <w:jc w:val="both"/>
              <w:rPr>
                <w:kern w:val="0"/>
                <w14:ligatures w14:val="none"/>
              </w:rPr>
            </w:pPr>
            <w:r>
              <w:rPr>
                <w:rFonts w:ascii="Times New Roman" w:hAnsi="Times New Roman"/>
                <w:b w:val="0"/>
                <w:kern w:val="0"/>
                <w:sz w:val="24"/>
                <w14:ligatures w14:val="none"/>
              </w:rPr>
              <w:t>—</w:t>
            </w:r>
          </w:p>
        </w:tc>
        <w:tc>
          <w:tcPr>
            <w:tcW w:w="2338" w:type="dxa"/>
          </w:tcPr>
          <w:p w14:paraId="5F6BC8A1">
            <w:pPr>
              <w:spacing w:before="0" w:after="0" w:line="240" w:lineRule="auto"/>
              <w:ind w:firstLine="0"/>
              <w:jc w:val="both"/>
              <w:rPr>
                <w:kern w:val="0"/>
                <w14:ligatures w14:val="none"/>
              </w:rPr>
            </w:pPr>
            <w:r>
              <w:rPr>
                <w:rFonts w:ascii="Times New Roman" w:hAnsi="Times New Roman"/>
                <w:b w:val="0"/>
                <w:kern w:val="0"/>
                <w:sz w:val="24"/>
                <w14:ligatures w14:val="none"/>
              </w:rPr>
              <w:t>16,30 (Экономия 3,92 + Удержание 21,60 − OPEX 9,21)</w:t>
            </w:r>
          </w:p>
        </w:tc>
        <w:tc>
          <w:tcPr>
            <w:tcW w:w="2338" w:type="dxa"/>
          </w:tcPr>
          <w:p w14:paraId="78C6AEE6">
            <w:pPr>
              <w:spacing w:before="0" w:after="0" w:line="240" w:lineRule="auto"/>
              <w:ind w:firstLine="0"/>
              <w:jc w:val="both"/>
              <w:rPr>
                <w:kern w:val="0"/>
                <w14:ligatures w14:val="none"/>
              </w:rPr>
            </w:pPr>
            <w:r>
              <w:rPr>
                <w:rFonts w:ascii="Times New Roman" w:hAnsi="Times New Roman"/>
                <w:b w:val="0"/>
                <w:kern w:val="0"/>
                <w:sz w:val="24"/>
                <w14:ligatures w14:val="none"/>
              </w:rPr>
              <w:t>economics.md, Секция 1</w:t>
            </w:r>
          </w:p>
        </w:tc>
      </w:tr>
      <w:tr w14:paraId="5D9D06EB">
        <w:tc>
          <w:tcPr>
            <w:tcW w:w="2338" w:type="dxa"/>
          </w:tcPr>
          <w:p w14:paraId="68743BFB">
            <w:pPr>
              <w:spacing w:before="0" w:after="0" w:line="240" w:lineRule="auto"/>
              <w:ind w:firstLine="0"/>
              <w:jc w:val="both"/>
              <w:rPr>
                <w:kern w:val="0"/>
                <w14:ligatures w14:val="none"/>
              </w:rPr>
            </w:pPr>
            <w:r>
              <w:rPr>
                <w:rFonts w:ascii="Times New Roman" w:hAnsi="Times New Roman"/>
                <w:b w:val="0"/>
                <w:kern w:val="0"/>
                <w:sz w:val="24"/>
                <w14:ligatures w14:val="none"/>
              </w:rPr>
              <w:t>CAPEX (разработка платформы), млн руб.</w:t>
            </w:r>
          </w:p>
        </w:tc>
        <w:tc>
          <w:tcPr>
            <w:tcW w:w="2338" w:type="dxa"/>
          </w:tcPr>
          <w:p w14:paraId="02267F7E">
            <w:pPr>
              <w:spacing w:before="0" w:after="0" w:line="240" w:lineRule="auto"/>
              <w:ind w:firstLine="0"/>
              <w:jc w:val="both"/>
              <w:rPr>
                <w:kern w:val="0"/>
                <w14:ligatures w14:val="none"/>
              </w:rPr>
            </w:pPr>
            <w:r>
              <w:rPr>
                <w:rFonts w:ascii="Times New Roman" w:hAnsi="Times New Roman"/>
                <w:b w:val="0"/>
                <w:kern w:val="0"/>
                <w:sz w:val="24"/>
                <w14:ligatures w14:val="none"/>
              </w:rPr>
              <w:t>0 (платформы нет)</w:t>
            </w:r>
          </w:p>
        </w:tc>
        <w:tc>
          <w:tcPr>
            <w:tcW w:w="2338" w:type="dxa"/>
          </w:tcPr>
          <w:p w14:paraId="68B0E271">
            <w:pPr>
              <w:spacing w:before="0" w:after="0" w:line="240" w:lineRule="auto"/>
              <w:ind w:firstLine="0"/>
              <w:jc w:val="both"/>
              <w:rPr>
                <w:kern w:val="0"/>
                <w14:ligatures w14:val="none"/>
              </w:rPr>
            </w:pPr>
            <w:r>
              <w:rPr>
                <w:rFonts w:ascii="Times New Roman" w:hAnsi="Times New Roman"/>
                <w:b w:val="0"/>
                <w:kern w:val="0"/>
                <w:sz w:val="24"/>
                <w14:ligatures w14:val="none"/>
              </w:rPr>
              <w:t>26,00 (M1 7,0 + M2 11,0 + M3 5,5 + непрямые 1,5 + резерв 1,0)</w:t>
            </w:r>
          </w:p>
        </w:tc>
        <w:tc>
          <w:tcPr>
            <w:tcW w:w="2338" w:type="dxa"/>
          </w:tcPr>
          <w:p w14:paraId="44C162B8">
            <w:pPr>
              <w:spacing w:before="0" w:after="0" w:line="240" w:lineRule="auto"/>
              <w:ind w:firstLine="0"/>
              <w:jc w:val="both"/>
              <w:rPr>
                <w:kern w:val="0"/>
                <w14:ligatures w14:val="none"/>
              </w:rPr>
            </w:pPr>
            <w:r>
              <w:rPr>
                <w:rFonts w:ascii="Times New Roman" w:hAnsi="Times New Roman"/>
                <w:b w:val="0"/>
                <w:kern w:val="0"/>
                <w:sz w:val="24"/>
                <w14:ligatures w14:val="none"/>
              </w:rPr>
              <w:t>Таблица 43 ВКР; economics.md</w:t>
            </w:r>
          </w:p>
        </w:tc>
      </w:tr>
      <w:tr w14:paraId="582414F7">
        <w:tc>
          <w:tcPr>
            <w:tcW w:w="2338" w:type="dxa"/>
          </w:tcPr>
          <w:p w14:paraId="7850DEDF">
            <w:pPr>
              <w:spacing w:before="0" w:after="0" w:line="240" w:lineRule="auto"/>
              <w:ind w:firstLine="0"/>
              <w:jc w:val="both"/>
              <w:rPr>
                <w:kern w:val="0"/>
                <w14:ligatures w14:val="none"/>
              </w:rPr>
            </w:pPr>
            <w:r>
              <w:rPr>
                <w:rFonts w:ascii="Times New Roman" w:hAnsi="Times New Roman"/>
                <w:b w:val="0"/>
                <w:kern w:val="0"/>
                <w:sz w:val="24"/>
                <w14:ligatures w14:val="none"/>
              </w:rPr>
              <w:t>OPEX, руб./мес.</w:t>
            </w:r>
          </w:p>
        </w:tc>
        <w:tc>
          <w:tcPr>
            <w:tcW w:w="2338" w:type="dxa"/>
          </w:tcPr>
          <w:p w14:paraId="6FFB556E">
            <w:pPr>
              <w:spacing w:before="0" w:after="0" w:line="240" w:lineRule="auto"/>
              <w:ind w:firstLine="0"/>
              <w:jc w:val="both"/>
              <w:rPr>
                <w:kern w:val="0"/>
                <w14:ligatures w14:val="none"/>
              </w:rPr>
            </w:pPr>
            <w:r>
              <w:rPr>
                <w:rFonts w:ascii="Times New Roman" w:hAnsi="Times New Roman"/>
                <w:b w:val="0"/>
                <w:kern w:val="0"/>
                <w:sz w:val="24"/>
                <w14:ligatures w14:val="none"/>
              </w:rPr>
              <w:t>0 (затрат на платформу нет)</w:t>
            </w:r>
          </w:p>
        </w:tc>
        <w:tc>
          <w:tcPr>
            <w:tcW w:w="2338" w:type="dxa"/>
          </w:tcPr>
          <w:p w14:paraId="5C83369E">
            <w:pPr>
              <w:spacing w:before="0" w:after="0" w:line="240" w:lineRule="auto"/>
              <w:ind w:firstLine="0"/>
              <w:jc w:val="both"/>
              <w:rPr>
                <w:kern w:val="0"/>
                <w14:ligatures w14:val="none"/>
              </w:rPr>
            </w:pPr>
            <w:r>
              <w:rPr>
                <w:rFonts w:ascii="Times New Roman" w:hAnsi="Times New Roman"/>
                <w:b w:val="0"/>
                <w:kern w:val="0"/>
                <w:sz w:val="24"/>
                <w14:ligatures w14:val="none"/>
              </w:rPr>
              <w:t>767 800 (инфраструктура + SMS-шлюз + ЭДО + команда поддержки + compliance + резерв)</w:t>
            </w:r>
          </w:p>
        </w:tc>
        <w:tc>
          <w:tcPr>
            <w:tcW w:w="2338" w:type="dxa"/>
          </w:tcPr>
          <w:p w14:paraId="1702F778">
            <w:pPr>
              <w:spacing w:before="0" w:after="0" w:line="240" w:lineRule="auto"/>
              <w:ind w:firstLine="0"/>
              <w:jc w:val="both"/>
              <w:rPr>
                <w:kern w:val="0"/>
                <w14:ligatures w14:val="none"/>
              </w:rPr>
            </w:pPr>
            <w:r>
              <w:rPr>
                <w:rFonts w:ascii="Times New Roman" w:hAnsi="Times New Roman"/>
                <w:b w:val="0"/>
                <w:kern w:val="0"/>
                <w:sz w:val="24"/>
                <w14:ligatures w14:val="none"/>
              </w:rPr>
              <w:t>Таблица 44 ВКР; B6; B9; B10</w:t>
            </w:r>
          </w:p>
        </w:tc>
      </w:tr>
      <w:tr w14:paraId="5923EB93">
        <w:tc>
          <w:tcPr>
            <w:tcW w:w="2338" w:type="dxa"/>
          </w:tcPr>
          <w:p w14:paraId="2D9DAFBC">
            <w:pPr>
              <w:spacing w:before="0" w:after="0" w:line="240" w:lineRule="auto"/>
              <w:ind w:firstLine="0"/>
              <w:jc w:val="both"/>
              <w:rPr>
                <w:kern w:val="0"/>
                <w14:ligatures w14:val="none"/>
              </w:rPr>
            </w:pPr>
            <w:r>
              <w:rPr>
                <w:rFonts w:ascii="Times New Roman" w:hAnsi="Times New Roman"/>
                <w:b w:val="0"/>
                <w:kern w:val="0"/>
                <w:sz w:val="24"/>
                <w14:ligatures w14:val="none"/>
              </w:rPr>
              <w:t>Срок окупаемости, мес.</w:t>
            </w:r>
          </w:p>
        </w:tc>
        <w:tc>
          <w:tcPr>
            <w:tcW w:w="2338" w:type="dxa"/>
          </w:tcPr>
          <w:p w14:paraId="22BBB313">
            <w:pPr>
              <w:spacing w:before="0" w:after="0" w:line="240" w:lineRule="auto"/>
              <w:ind w:firstLine="0"/>
              <w:jc w:val="both"/>
              <w:rPr>
                <w:kern w:val="0"/>
                <w14:ligatures w14:val="none"/>
              </w:rPr>
            </w:pPr>
            <w:r>
              <w:rPr>
                <w:rFonts w:ascii="Times New Roman" w:hAnsi="Times New Roman"/>
                <w:b w:val="0"/>
                <w:kern w:val="0"/>
                <w:sz w:val="24"/>
                <w14:ligatures w14:val="none"/>
              </w:rPr>
              <w:t>—</w:t>
            </w:r>
          </w:p>
        </w:tc>
        <w:tc>
          <w:tcPr>
            <w:tcW w:w="2338" w:type="dxa"/>
          </w:tcPr>
          <w:p w14:paraId="426AB323">
            <w:pPr>
              <w:spacing w:before="0" w:after="0" w:line="240" w:lineRule="auto"/>
              <w:ind w:firstLine="0"/>
              <w:jc w:val="both"/>
              <w:rPr>
                <w:kern w:val="0"/>
                <w14:ligatures w14:val="none"/>
              </w:rPr>
            </w:pPr>
            <w:r>
              <w:rPr>
                <w:rFonts w:ascii="Times New Roman" w:hAnsi="Times New Roman"/>
                <w:b w:val="0"/>
                <w:kern w:val="0"/>
                <w:sz w:val="24"/>
                <w14:ligatures w14:val="none"/>
              </w:rPr>
              <w:t>19,1 (базовый сценарий, 1 клиника)</w:t>
            </w:r>
          </w:p>
        </w:tc>
        <w:tc>
          <w:tcPr>
            <w:tcW w:w="2338" w:type="dxa"/>
          </w:tcPr>
          <w:p w14:paraId="6408894D">
            <w:pPr>
              <w:spacing w:before="0" w:after="0" w:line="240" w:lineRule="auto"/>
              <w:ind w:firstLine="0"/>
              <w:jc w:val="both"/>
              <w:rPr>
                <w:kern w:val="0"/>
                <w14:ligatures w14:val="none"/>
              </w:rPr>
            </w:pPr>
            <w:r>
              <w:rPr>
                <w:rFonts w:ascii="Times New Roman" w:hAnsi="Times New Roman"/>
                <w:b w:val="0"/>
                <w:kern w:val="0"/>
                <w:sz w:val="24"/>
                <w14:ligatures w14:val="none"/>
              </w:rPr>
              <w:t>economics.md, Секция 1; Таблицы 43–44 ВКР</w:t>
            </w:r>
          </w:p>
        </w:tc>
      </w:tr>
      <w:tr w14:paraId="3F06DEAE">
        <w:tc>
          <w:tcPr>
            <w:tcW w:w="2338" w:type="dxa"/>
          </w:tcPr>
          <w:p w14:paraId="529F3C8A">
            <w:pPr>
              <w:spacing w:before="0" w:after="0" w:line="240" w:lineRule="auto"/>
              <w:ind w:firstLine="0"/>
              <w:jc w:val="both"/>
              <w:rPr>
                <w:kern w:val="0"/>
                <w14:ligatures w14:val="none"/>
              </w:rPr>
            </w:pPr>
            <w:r>
              <w:rPr>
                <w:rFonts w:ascii="Times New Roman" w:hAnsi="Times New Roman"/>
                <w:b w:val="0"/>
                <w:kern w:val="0"/>
                <w:sz w:val="24"/>
                <w14:ligatures w14:val="none"/>
              </w:rPr>
              <w:t>ROI за 24 мес., %</w:t>
            </w:r>
          </w:p>
        </w:tc>
        <w:tc>
          <w:tcPr>
            <w:tcW w:w="2338" w:type="dxa"/>
          </w:tcPr>
          <w:p w14:paraId="1AC1719D">
            <w:pPr>
              <w:spacing w:before="0" w:after="0" w:line="240" w:lineRule="auto"/>
              <w:ind w:firstLine="0"/>
              <w:jc w:val="both"/>
              <w:rPr>
                <w:kern w:val="0"/>
                <w14:ligatures w14:val="none"/>
              </w:rPr>
            </w:pPr>
            <w:r>
              <w:rPr>
                <w:rFonts w:ascii="Times New Roman" w:hAnsi="Times New Roman"/>
                <w:b w:val="0"/>
                <w:kern w:val="0"/>
                <w:sz w:val="24"/>
                <w14:ligatures w14:val="none"/>
              </w:rPr>
              <w:t>—</w:t>
            </w:r>
          </w:p>
        </w:tc>
        <w:tc>
          <w:tcPr>
            <w:tcW w:w="2338" w:type="dxa"/>
          </w:tcPr>
          <w:p w14:paraId="06E81353">
            <w:pPr>
              <w:spacing w:before="0" w:after="0" w:line="240" w:lineRule="auto"/>
              <w:ind w:firstLine="0"/>
              <w:jc w:val="both"/>
              <w:rPr>
                <w:kern w:val="0"/>
                <w14:ligatures w14:val="none"/>
              </w:rPr>
            </w:pPr>
            <w:r>
              <w:rPr>
                <w:rFonts w:ascii="Times New Roman" w:hAnsi="Times New Roman"/>
                <w:b w:val="0"/>
                <w:kern w:val="0"/>
                <w:sz w:val="24"/>
                <w14:ligatures w14:val="none"/>
              </w:rPr>
              <w:t>25,4 %</w:t>
            </w:r>
          </w:p>
        </w:tc>
        <w:tc>
          <w:tcPr>
            <w:tcW w:w="2338" w:type="dxa"/>
          </w:tcPr>
          <w:p w14:paraId="4F2BEFDD">
            <w:pPr>
              <w:spacing w:before="0" w:after="0" w:line="240" w:lineRule="auto"/>
              <w:ind w:firstLine="0"/>
              <w:jc w:val="both"/>
              <w:rPr>
                <w:kern w:val="0"/>
                <w14:ligatures w14:val="none"/>
              </w:rPr>
            </w:pPr>
            <w:r>
              <w:rPr>
                <w:rFonts w:ascii="Times New Roman" w:hAnsi="Times New Roman"/>
                <w:b w:val="0"/>
                <w:kern w:val="0"/>
                <w:sz w:val="24"/>
                <w14:ligatures w14:val="none"/>
              </w:rPr>
              <w:t>economics.md, базовая модель</w:t>
            </w:r>
          </w:p>
        </w:tc>
      </w:tr>
      <w:tr w14:paraId="710D0FCA">
        <w:tc>
          <w:tcPr>
            <w:tcW w:w="2338" w:type="dxa"/>
          </w:tcPr>
          <w:p w14:paraId="7F2C6B8B">
            <w:pPr>
              <w:spacing w:before="0" w:after="0" w:line="240" w:lineRule="auto"/>
              <w:ind w:firstLine="0"/>
              <w:jc w:val="both"/>
              <w:rPr>
                <w:kern w:val="0"/>
                <w14:ligatures w14:val="none"/>
              </w:rPr>
            </w:pPr>
            <w:r>
              <w:rPr>
                <w:rFonts w:ascii="Times New Roman" w:hAnsi="Times New Roman"/>
                <w:b w:val="0"/>
                <w:kern w:val="0"/>
                <w:sz w:val="24"/>
                <w14:ligatures w14:val="none"/>
              </w:rPr>
              <w:t>NPV (ставка 25 %, горизонт 3 года), млн руб.</w:t>
            </w:r>
          </w:p>
        </w:tc>
        <w:tc>
          <w:tcPr>
            <w:tcW w:w="2338" w:type="dxa"/>
          </w:tcPr>
          <w:p w14:paraId="12C5327C">
            <w:pPr>
              <w:spacing w:before="0" w:after="0" w:line="240" w:lineRule="auto"/>
              <w:ind w:firstLine="0"/>
              <w:jc w:val="both"/>
              <w:rPr>
                <w:kern w:val="0"/>
                <w14:ligatures w14:val="none"/>
              </w:rPr>
            </w:pPr>
            <w:r>
              <w:rPr>
                <w:rFonts w:ascii="Times New Roman" w:hAnsi="Times New Roman"/>
                <w:b w:val="0"/>
                <w:kern w:val="0"/>
                <w:sz w:val="24"/>
                <w14:ligatures w14:val="none"/>
              </w:rPr>
              <w:t>—</w:t>
            </w:r>
          </w:p>
        </w:tc>
        <w:tc>
          <w:tcPr>
            <w:tcW w:w="2338" w:type="dxa"/>
          </w:tcPr>
          <w:p w14:paraId="56D3D65C">
            <w:pPr>
              <w:spacing w:before="0" w:after="0" w:line="240" w:lineRule="auto"/>
              <w:ind w:firstLine="0"/>
              <w:jc w:val="both"/>
              <w:rPr>
                <w:kern w:val="0"/>
                <w14:ligatures w14:val="none"/>
              </w:rPr>
            </w:pPr>
            <w:r>
              <w:rPr>
                <w:rFonts w:ascii="Times New Roman" w:hAnsi="Times New Roman"/>
                <w:b w:val="0"/>
                <w:kern w:val="0"/>
                <w:sz w:val="24"/>
                <w14:ligatures w14:val="none"/>
              </w:rPr>
              <w:t>0,36</w:t>
            </w:r>
          </w:p>
        </w:tc>
        <w:tc>
          <w:tcPr>
            <w:tcW w:w="2338" w:type="dxa"/>
          </w:tcPr>
          <w:p w14:paraId="3972311A">
            <w:pPr>
              <w:spacing w:before="0" w:after="0" w:line="240" w:lineRule="auto"/>
              <w:ind w:firstLine="0"/>
              <w:jc w:val="both"/>
              <w:rPr>
                <w:kern w:val="0"/>
                <w14:ligatures w14:val="none"/>
              </w:rPr>
            </w:pPr>
            <w:r>
              <w:rPr>
                <w:rFonts w:ascii="Times New Roman" w:hAnsi="Times New Roman"/>
                <w:b w:val="0"/>
                <w:kern w:val="0"/>
                <w:sz w:val="24"/>
                <w14:ligatures w14:val="none"/>
              </w:rPr>
              <w:t>economics.md, Секция 2</w:t>
            </w:r>
          </w:p>
        </w:tc>
      </w:tr>
    </w:tbl>
    <w:p w14:paraId="6436DC39">
      <w:pPr>
        <w:spacing w:before="0" w:after="0"/>
        <w:ind w:firstLine="709"/>
        <w:jc w:val="both"/>
        <w:rPr>
          <w:rFonts w:ascii="Times New Roman" w:hAnsi="Times New Roman" w:eastAsia="Times New Roman" w:cs="Times New Roman"/>
          <w:bCs/>
          <w:color w:val="000000"/>
          <w:kern w:val="0"/>
          <w:sz w:val="28"/>
          <w:szCs w:val="22"/>
          <w14:ligatures w14:val="none"/>
        </w:rPr>
      </w:pPr>
      <w:r>
        <w:rPr>
          <w:rFonts w:ascii="Times New Roman" w:hAnsi="Times New Roman" w:eastAsia="Times New Roman" w:cs="Times New Roman"/>
          <w:bCs/>
          <w:color w:val="000000"/>
          <w:kern w:val="0"/>
          <w:sz w:val="28"/>
          <w:szCs w:val="22"/>
          <w14:ligatures w14:val="none"/>
        </w:rPr>
        <w:t xml:space="preserve">Таким образом, в рамках данной главы: </w:t>
      </w:r>
    </w:p>
    <w:p w14:paraId="3CDEB28B">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1. Описан концепт мобильного приложения для сети стоматологических клиник с тремя направлениями пользовательской ценности – запись без звонка, единый профиль пациента и оформление социального налогового вычета – и зафиксированными границами </w:t>
      </w:r>
      <w:r>
        <w:rPr>
          <w:rFonts w:ascii="Times New Roman" w:hAnsi="Times New Roman" w:eastAsia="Times New Roman" w:cs="Times New Roman"/>
          <w:color w:val="000000"/>
          <w:kern w:val="0"/>
          <w:sz w:val="28"/>
          <w:szCs w:val="22"/>
          <w:lang w:val="en-US"/>
          <w14:ligatures w14:val="none"/>
        </w:rPr>
        <w:t>MVP</w:t>
      </w:r>
      <w:r>
        <w:rPr>
          <w:rFonts w:ascii="Times New Roman" w:hAnsi="Times New Roman" w:eastAsia="Times New Roman" w:cs="Times New Roman"/>
          <w:color w:val="000000"/>
          <w:kern w:val="0"/>
          <w:sz w:val="28"/>
          <w:szCs w:val="22"/>
          <w14:ligatures w14:val="none"/>
        </w:rPr>
        <w:t>.</w:t>
      </w:r>
    </w:p>
    <w:p w14:paraId="46744AFF">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2. Сформулированы 12 функциональных и 7 нефункциональных требований; они задают техническую рамку для разработки первой версии продукта и перечень приёмочных условий.</w:t>
      </w:r>
    </w:p>
    <w:p w14:paraId="766E03EE">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3. Проработаны три роли пользователей, четыре пользовательские истории и три варианта использования; они описывают основные пути взаимодействия пациента с продуктом.</w:t>
      </w:r>
    </w:p>
    <w:p w14:paraId="7599C5DB">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4. Предложена четырёхслойная архитектура – клиенты, шлюз, доменные сервисы и хранилища – с отдельной фоновой очередью; для каждого слоя обоснован технологический стек.</w:t>
      </w:r>
    </w:p>
    <w:p w14:paraId="27486144">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 xml:space="preserve">5. Спроектирована модель данных из шести базовых сущностей со связями; схема допускает последующее расширение под план лечения и карту зубов формата </w:t>
      </w:r>
      <w:r>
        <w:rPr>
          <w:rFonts w:ascii="Times New Roman" w:hAnsi="Times New Roman" w:eastAsia="Times New Roman" w:cs="Times New Roman"/>
          <w:color w:val="000000"/>
          <w:kern w:val="0"/>
          <w:sz w:val="28"/>
          <w:szCs w:val="22"/>
          <w:lang w:val="en-US"/>
          <w14:ligatures w14:val="none"/>
        </w:rPr>
        <w:t>FDI</w:t>
      </w:r>
      <w:r>
        <w:rPr>
          <w:rFonts w:ascii="Times New Roman" w:hAnsi="Times New Roman" w:eastAsia="Times New Roman" w:cs="Times New Roman"/>
          <w:color w:val="000000"/>
          <w:kern w:val="0"/>
          <w:sz w:val="28"/>
          <w:szCs w:val="22"/>
          <w14:ligatures w14:val="none"/>
        </w:rPr>
        <w:t>.</w:t>
      </w:r>
    </w:p>
    <w:p w14:paraId="1EC8272D">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6. Собран кликабельный прототип ключевых экранов и мокапы недостающих интерфейсов; они фиксируют пользовательский опыт до начала полноценной разработки.</w:t>
      </w:r>
    </w:p>
    <w:p w14:paraId="7F93A908">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7. Перечислены 13 внешних интеграций и 5 основных законодательных требований, описаны меры информационной безопасности уровня защищённости УЗ-3; обоснован статус «не медицинское изделие» по 323-ФЗ.</w:t>
      </w:r>
    </w:p>
    <w:p w14:paraId="5EC8A73E">
      <w:pPr>
        <w:spacing w:before="0" w:after="0"/>
        <w:ind w:firstLine="709"/>
        <w:jc w:val="both"/>
        <w:rPr>
          <w:rFonts w:ascii="Times New Roman" w:hAnsi="Times New Roman" w:eastAsia="Times New Roman" w:cs="Times New Roman"/>
          <w:color w:val="000000"/>
          <w:kern w:val="0"/>
          <w:sz w:val="28"/>
          <w:szCs w:val="22"/>
          <w14:ligatures w14:val="none"/>
        </w:rPr>
      </w:pPr>
      <w:r>
        <w:rPr>
          <w:rFonts w:ascii="Times New Roman" w:hAnsi="Times New Roman" w:eastAsia="Times New Roman" w:cs="Times New Roman"/>
          <w:color w:val="000000"/>
          <w:kern w:val="0"/>
          <w:sz w:val="28"/>
          <w:szCs w:val="22"/>
          <w14:ligatures w14:val="none"/>
        </w:rPr>
        <w:t>8. Построен прогнозный расчёт экономической эффективности базового сценария внедрения в одной клинике сети с явно помеченными модельными допущениями; валидация проводится в пилоте продолжительностью 2–3 месяца.</w:t>
      </w:r>
    </w:p>
    <w:p w14:paraId="7CFB0F32">
      <w:pPr>
        <w:pStyle w:val="2"/>
        <w:pageBreakBefore/>
        <w:tabs>
          <w:tab w:val="left" w:pos="993"/>
        </w:tabs>
        <w:spacing w:before="0" w:after="0" w:line="360" w:lineRule="auto"/>
        <w:contextualSpacing/>
        <w:jc w:val="center"/>
        <w:rPr>
          <w:rFonts w:ascii="Times New Roman" w:hAnsi="Times New Roman" w:eastAsia="Times New Roman" w:cs="Times New Roman"/>
          <w:b/>
          <w:bCs/>
          <w:sz w:val="28"/>
          <w:szCs w:val="28"/>
          <w:lang w:eastAsia="ru-RU"/>
        </w:rPr>
      </w:pPr>
      <w:bookmarkStart w:id="21" w:name="_Toc1733939399"/>
      <w:r>
        <w:rPr>
          <w:rFonts w:ascii="Times New Roman" w:hAnsi="Times New Roman" w:eastAsia="Times New Roman" w:cs="Times New Roman"/>
          <w:b/>
          <w:bCs/>
          <w:sz w:val="28"/>
          <w:szCs w:val="28"/>
          <w:lang w:eastAsia="ru-RU"/>
        </w:rPr>
        <w:t>ЗАКЛЮЧЕНИЕ</w:t>
      </w:r>
      <w:bookmarkEnd w:id="21"/>
    </w:p>
    <w:p w14:paraId="779E5FC8">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Работа посвящена обоснованию и проектированию состава цифровых инструментов для стоматологической сети клиник с разработкой мобильного приложения уровня </w:t>
      </w:r>
      <w:r>
        <w:rPr>
          <w:rFonts w:ascii="Times New Roman" w:hAnsi="Times New Roman" w:eastAsia="Times New Roman" w:cs="Times New Roman"/>
          <w:sz w:val="28"/>
          <w:szCs w:val="28"/>
          <w:lang w:val="en-US" w:eastAsia="ru-RU"/>
        </w:rPr>
        <w:t>MVP</w:t>
      </w:r>
      <w:r>
        <w:rPr>
          <w:rFonts w:ascii="Times New Roman" w:hAnsi="Times New Roman" w:eastAsia="Times New Roman" w:cs="Times New Roman"/>
          <w:sz w:val="28"/>
          <w:szCs w:val="28"/>
          <w:lang w:eastAsia="ru-RU"/>
        </w:rPr>
        <w:t>. По каждой из пяти поставленных задач получены конкретные результаты, которые в совокупности образуют логически связанную проектную линию от понятийного аппарата до прогнозной экономики.</w:t>
      </w:r>
    </w:p>
    <w:p w14:paraId="11CD6083">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работе над понятийным аппаратом удалось показать, что цифровой маркетинг не сводится к интернет-маркетингу и включает каналы вне сети – мобильные устройства, цифровые билборды. К ключевому инструментарию отнесены социальные медиа, контент-маркетинг, реклама в её основных форматах, корпоративный сайт, мобильные приложения, мессенджеры и аналитические системы. Тенденции 2024-2025 годов сгруппированы вокруг пяти линий: внедрение искусственного интеллекта, оптимизация под генеративные поисковые запросы, сокращение воронки продаж, омниканальность пути клиента и перевод коммуникаций с пациентом в мессенджеры. Для стоматологии отдельно выделены критерии выбора клиники и барьеры посещения, как структурные, так и поведенческие.</w:t>
      </w:r>
    </w:p>
    <w:p w14:paraId="0EFC47F3">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Российский опыт уложен в четыре линии: МИС с контуром пациента, агрегаторы записи, собственные приложения сетей и мессенджер-коммуникации. Из этого сопоставления вытекает практический вывод: устойчивый эффект возникает только там, где контур пациента интегрирован с системой управления практикой, а коммуникации с пациентом ведутся омниканально и под собственной идентификацией клиники.</w:t>
      </w:r>
    </w:p>
    <w:p w14:paraId="7F60FE41">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Карта нормативных изменений 2025-2026 годов охватывает Федеральные законы № 152-ФЗ (в редакции ФЗ № 121-ФЗ), № 23-ФЗ, № 38-ФЗ (с учётом ФЗ № 72-ФЗ), № 323-ФЗ, постановление Правительства № 1119, приказы Минздрава России № 193н, № 4н и № 686н, а также приказ ФСТЭК № 21. Содержательный итог сводится к следующему: регулирование последовательно сдвигает клиники в сторону собственных цифровых контуров – согласия требуется оформлять отдельным документом, базы данных размещать на территории Российской Федерации, а ретаргетинг через внешние каналы становится юридически рискованным.</w:t>
      </w:r>
    </w:p>
    <w:p w14:paraId="470700AB">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Обоснование состава инструментов и критериев отбора собрано во второй главе работы. Каждой рыночной тенденции из таблицы 5 первой главы поставлена в соответствие конкретная проблема клиники, после чего предложено шесть критериев с весами: покрытие проблем, эмпирическая обоснованность, соответствие нормативной базе, реализуемость в </w:t>
      </w:r>
      <w:r>
        <w:rPr>
          <w:rFonts w:ascii="Times New Roman" w:hAnsi="Times New Roman" w:eastAsia="Times New Roman" w:cs="Times New Roman"/>
          <w:sz w:val="28"/>
          <w:szCs w:val="28"/>
          <w:lang w:val="en-US" w:eastAsia="ru-RU"/>
        </w:rPr>
        <w:t>MVP</w:t>
      </w:r>
      <w:r>
        <w:rPr>
          <w:rFonts w:ascii="Times New Roman" w:hAnsi="Times New Roman" w:eastAsia="Times New Roman" w:cs="Times New Roman"/>
          <w:sz w:val="28"/>
          <w:szCs w:val="28"/>
          <w:lang w:eastAsia="ru-RU"/>
        </w:rPr>
        <w:t xml:space="preserve">, влияние на </w:t>
      </w:r>
      <w:r>
        <w:rPr>
          <w:rFonts w:ascii="Times New Roman" w:hAnsi="Times New Roman" w:eastAsia="Times New Roman" w:cs="Times New Roman"/>
          <w:sz w:val="28"/>
          <w:szCs w:val="28"/>
          <w:lang w:val="en-US" w:eastAsia="ru-RU"/>
        </w:rPr>
        <w:t>LTV</w:t>
      </w:r>
      <w:r>
        <w:rPr>
          <w:rFonts w:ascii="Times New Roman" w:hAnsi="Times New Roman" w:eastAsia="Times New Roman" w:cs="Times New Roman"/>
          <w:sz w:val="28"/>
          <w:szCs w:val="28"/>
          <w:lang w:eastAsia="ru-RU"/>
        </w:rPr>
        <w:t xml:space="preserve"> и управляемость данными. По итогам взвешенной оценки в ядро </w:t>
      </w:r>
      <w:r>
        <w:rPr>
          <w:rFonts w:ascii="Times New Roman" w:hAnsi="Times New Roman" w:eastAsia="Times New Roman" w:cs="Times New Roman"/>
          <w:sz w:val="28"/>
          <w:szCs w:val="28"/>
          <w:lang w:val="en-US" w:eastAsia="ru-RU"/>
        </w:rPr>
        <w:t>MVP</w:t>
      </w:r>
      <w:r>
        <w:rPr>
          <w:rFonts w:ascii="Times New Roman" w:hAnsi="Times New Roman" w:eastAsia="Times New Roman" w:cs="Times New Roman"/>
          <w:sz w:val="28"/>
          <w:szCs w:val="28"/>
          <w:lang w:eastAsia="ru-RU"/>
        </w:rPr>
        <w:t xml:space="preserve"> вошли онлайн-запись, автоматические напоминания, единый цифровой профиль пациента и цифровая заявка на налоговый вычет. Чат-бот, </w:t>
      </w:r>
      <w:r>
        <w:rPr>
          <w:rFonts w:ascii="Times New Roman" w:hAnsi="Times New Roman" w:eastAsia="Times New Roman" w:cs="Times New Roman"/>
          <w:sz w:val="28"/>
          <w:szCs w:val="28"/>
          <w:lang w:val="en-US" w:eastAsia="ru-RU"/>
        </w:rPr>
        <w:t>CRM</w:t>
      </w:r>
      <w:r>
        <w:rPr>
          <w:rFonts w:ascii="Times New Roman" w:hAnsi="Times New Roman" w:eastAsia="Times New Roman" w:cs="Times New Roman"/>
          <w:sz w:val="28"/>
          <w:szCs w:val="28"/>
          <w:lang w:eastAsia="ru-RU"/>
        </w:rPr>
        <w:t xml:space="preserve">-сегментация и ретаргетинг отнесены к расширениям следующего этапа после пилота, а телестоматология и </w:t>
      </w:r>
      <w:r>
        <w:rPr>
          <w:rFonts w:ascii="Times New Roman" w:hAnsi="Times New Roman" w:eastAsia="Times New Roman" w:cs="Times New Roman"/>
          <w:sz w:val="28"/>
          <w:szCs w:val="28"/>
          <w:lang w:val="en-US" w:eastAsia="ru-RU"/>
        </w:rPr>
        <w:t>AI</w:t>
      </w:r>
      <w:r>
        <w:rPr>
          <w:rFonts w:ascii="Times New Roman" w:hAnsi="Times New Roman" w:eastAsia="Times New Roman" w:cs="Times New Roman"/>
          <w:sz w:val="28"/>
          <w:szCs w:val="28"/>
          <w:lang w:eastAsia="ru-RU"/>
        </w:rPr>
        <w:t xml:space="preserve">-аналитика вынесены за пределы </w:t>
      </w:r>
      <w:r>
        <w:rPr>
          <w:rFonts w:ascii="Times New Roman" w:hAnsi="Times New Roman" w:eastAsia="Times New Roman" w:cs="Times New Roman"/>
          <w:sz w:val="28"/>
          <w:szCs w:val="28"/>
          <w:lang w:val="en-US" w:eastAsia="ru-RU"/>
        </w:rPr>
        <w:t>MVP</w:t>
      </w:r>
      <w:r>
        <w:rPr>
          <w:rFonts w:ascii="Times New Roman" w:hAnsi="Times New Roman" w:eastAsia="Times New Roman" w:cs="Times New Roman"/>
          <w:sz w:val="28"/>
          <w:szCs w:val="28"/>
          <w:lang w:eastAsia="ru-RU"/>
        </w:rPr>
        <w:t xml:space="preserve"> по нормативным и операционным причинам.</w:t>
      </w:r>
    </w:p>
    <w:p w14:paraId="72B1801A">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Проектное решение по мобильному приложению пациента уровня </w:t>
      </w:r>
      <w:r>
        <w:rPr>
          <w:rFonts w:ascii="Times New Roman" w:hAnsi="Times New Roman" w:eastAsia="Times New Roman" w:cs="Times New Roman"/>
          <w:sz w:val="28"/>
          <w:szCs w:val="28"/>
          <w:lang w:val="en-US" w:eastAsia="ru-RU"/>
        </w:rPr>
        <w:t>MVP</w:t>
      </w:r>
      <w:r>
        <w:rPr>
          <w:rFonts w:ascii="Times New Roman" w:hAnsi="Times New Roman" w:eastAsia="Times New Roman" w:cs="Times New Roman"/>
          <w:sz w:val="28"/>
          <w:szCs w:val="28"/>
          <w:lang w:eastAsia="ru-RU"/>
        </w:rPr>
        <w:t xml:space="preserve"> и прогнозный расчёт экономической эффективности его внедрения представлены в третьей главе. Состав требований включает 12 функциональных и 7 нефункциональных позиций, три роли пользователей, четыре пользовательские истории и три варианта использования. Архитектура спроектирована из четырёх слоёв: клиенты, шлюз, доменные сервисы, хранилища, с отдельной фоновой очередью; технологический стек обоснован послойно. Модель данных опирается на шесть базовых сущностей и допускает расширение под план лечения и карту зубов формата </w:t>
      </w:r>
      <w:r>
        <w:rPr>
          <w:rFonts w:ascii="Times New Roman" w:hAnsi="Times New Roman" w:eastAsia="Times New Roman" w:cs="Times New Roman"/>
          <w:sz w:val="28"/>
          <w:szCs w:val="28"/>
          <w:lang w:val="en-US" w:eastAsia="ru-RU"/>
        </w:rPr>
        <w:t>FDI</w:t>
      </w:r>
      <w:r>
        <w:rPr>
          <w:rFonts w:ascii="Times New Roman" w:hAnsi="Times New Roman" w:eastAsia="Times New Roman" w:cs="Times New Roman"/>
          <w:sz w:val="28"/>
          <w:szCs w:val="28"/>
          <w:lang w:eastAsia="ru-RU"/>
        </w:rPr>
        <w:t xml:space="preserve">. Внешний контур описан 13 интеграциями по четырём направлениям и пятью нормативными требованиями; меры информационной безопасности соответствуют уровню защищённости УЗ-3, а статус «не медицинское изделие» по № 323-ФЗ обоснован документально. По базовому сценарию чистый годовой эффект составляет 16,3 млн руб. при сроке окупаемости 19 месяцев, причём наиболее чувствительными параметрами оказываются </w:t>
      </w:r>
      <w:r>
        <w:rPr>
          <w:rFonts w:ascii="Times New Roman" w:hAnsi="Times New Roman" w:eastAsia="Times New Roman" w:cs="Times New Roman"/>
          <w:sz w:val="28"/>
          <w:szCs w:val="28"/>
          <w:lang w:val="en-US" w:eastAsia="ru-RU"/>
        </w:rPr>
        <w:t>LTV</w:t>
      </w:r>
      <w:r>
        <w:rPr>
          <w:rFonts w:ascii="Times New Roman" w:hAnsi="Times New Roman" w:eastAsia="Times New Roman" w:cs="Times New Roman"/>
          <w:sz w:val="28"/>
          <w:szCs w:val="28"/>
          <w:lang w:eastAsia="ru-RU"/>
        </w:rPr>
        <w:t xml:space="preserve"> и средний чек.</w:t>
      </w:r>
    </w:p>
    <w:p w14:paraId="56E16925">
      <w:pPr>
        <w:tabs>
          <w:tab w:val="left" w:pos="993"/>
        </w:tabs>
        <w:spacing w:before="0" w:after="0"/>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Полученные результаты применимы при подготовке проектных решений в стоматологических сетях среднего размера. Дальнейшее развитие темы предполагает валидацию прогнозного расчёта на пилотном запуске продолжительностью 2-3 месяца, а также расширение продукта функцией удалённой консультации в порядке приказа № 193н после обновления медицинской лицензии и записи в Федеральном реестре медицинских организаций. </w:t>
      </w:r>
    </w:p>
    <w:p w14:paraId="1EB18CFC">
      <w:pPr>
        <w:spacing w:before="0" w:after="0"/>
        <w:ind w:firstLine="709"/>
        <w:jc w:val="both"/>
      </w:pPr>
      <w:r>
        <w:rPr>
          <w:rFonts w:ascii="Times New Roman" w:hAnsi="Times New Roman"/>
          <w:b/>
          <w:sz w:val="28"/>
        </w:rPr>
        <w:t>Ограничения исследования</w:t>
      </w:r>
    </w:p>
    <w:p w14:paraId="22F49EC6">
      <w:pPr>
        <w:spacing w:before="0" w:after="0"/>
        <w:ind w:firstLine="709"/>
        <w:jc w:val="both"/>
      </w:pPr>
      <w:r>
        <w:rPr>
          <w:rFonts w:ascii="Times New Roman" w:hAnsi="Times New Roman"/>
          <w:b w:val="0"/>
          <w:sz w:val="28"/>
        </w:rPr>
        <w:t>Представленные результаты получены в условиях ряда ограничений, которые необходимо учитывать при интерпретации выводов. Первое ограничение связано с прогнозным характером экономического расчёта: значения ключевых показателей — числа активных пациентов, прироста удержания и среднего LTV — приняты как модельные допущения по отраслевым бенчмаркам и не верифицированы на данных конкретной клиники. Второе ограничение состоит в отсутствии внутренней статистики клиники: фактические уровни no-show, конверсии первичного трафика и доли повторных визитов в базовой клинике не раскрывались, что потребовало опоры на публичные отраслевые источники. Отдельную неопределённость вносят допущения по удержанию: заявленный прирост в 3 п.п. и среднее значение LTV в 120 000 руб. — гипотезы, которые могут существенно расходиться с реальными данными конкретной сети. Наконец, продукт находится на стадии концепта и прототипа: поведенческие эффекты мобильного приложения на частоту визитов, удержание и удовлетворённость пациентов не проверены в реальной эксплуатации.</w:t>
      </w:r>
    </w:p>
    <w:p w14:paraId="6F380362">
      <w:pPr>
        <w:spacing w:before="0" w:after="0"/>
        <w:ind w:firstLine="709"/>
        <w:jc w:val="both"/>
      </w:pPr>
      <w:r>
        <w:rPr>
          <w:rFonts w:ascii="Times New Roman" w:hAnsi="Times New Roman"/>
          <w:b/>
          <w:sz w:val="28"/>
        </w:rPr>
        <w:t>Направления дальнейших исследований</w:t>
      </w:r>
    </w:p>
    <w:p w14:paraId="7E12E91E">
      <w:pPr>
        <w:spacing w:before="0" w:after="0"/>
        <w:ind w:firstLine="709"/>
        <w:jc w:val="both"/>
      </w:pPr>
      <w:r>
        <w:rPr>
          <w:rFonts w:ascii="Times New Roman" w:hAnsi="Times New Roman"/>
          <w:b w:val="0"/>
          <w:sz w:val="28"/>
        </w:rPr>
        <w:t>Обозначенные ограничения указывают на несколько приоритетных направлений последующей работы. Первое направление — пилотная валидация расчёта: запуск продукта в одной клинике сети сроком 2–3 месяца позволит накопить фактические данные по конверсии, no-show и удержанию и пересчитать прогноз экономического эффекта. Второе направление — уточнение LTV и удержания по факту: после накопления реальной когорты пациентов становится возможной верификация допущений модели и построение клиентской аналитики на основе собственных данных клиники. Третье направление — расширение продукта: по мере получения и обновления медицинской лицензии и внесения сведений в Федеральный реестр медицинских организаций становится доступным добавление функции удалённой консультации согласно приказу Минздрава России № 193н; на следующем этапе также обоснованно внедрение CRM-сегментации, чат-бота и ретаргетинговых сценариев через собственные каналы клиники.</w:t>
      </w:r>
    </w:p>
    <w:p w14:paraId="502D6A48">
      <w:pPr>
        <w:spacing w:before="0" w:after="0"/>
        <w:ind w:firstLine="709"/>
        <w:jc w:val="both"/>
      </w:pPr>
      <w:r>
        <w:rPr>
          <w:rFonts w:ascii="Times New Roman" w:hAnsi="Times New Roman"/>
          <w:b w:val="0"/>
          <w:sz w:val="28"/>
        </w:rPr>
        <w:t>Проведённое исследование позволяет сформулировать обобщающее понимание практик цифрового маркетинга применительно к частной медицинской сети. Под практиками цифрового маркетинга в данной работе понимается совокупность взаимосвязанных инструментов и процессов, которые последовательно сопровождают пациента по всем стадиям пути — от первичного обнаружения клиники до регулярного долгосрочного взаимодействия с ней. На практике это управление воронкой конверсии и устранение точек трения при записи, омниканальная интеграция онлайн- и офлайн-каналов, поведенческие механизмы напоминаний, снижающие долю незавершённых визитов, и системы удержания пациентов, повышающие LTV. Базовым условием выступает цифровая зрелость каналов: переход от телефонной записи к самозаписи в мобильном приложении. Именно сочетание этих практик, реализованное в рамках одного цифрового контура под собственной идентификацией клиники, формирует устойчивое конкурентное преимущество на рынке с обостряющейся борьбой за лояльность пациента.</w:t>
      </w:r>
    </w:p>
    <w:p w14:paraId="3D479973">
      <w:pPr>
        <w:pStyle w:val="2"/>
        <w:pageBreakBefore/>
        <w:tabs>
          <w:tab w:val="left" w:pos="993"/>
        </w:tabs>
        <w:spacing w:before="0" w:after="0" w:line="360" w:lineRule="auto"/>
        <w:contextualSpacing/>
        <w:jc w:val="center"/>
        <w:rPr>
          <w:rFonts w:ascii="Times New Roman" w:hAnsi="Times New Roman" w:eastAsia="Times New Roman" w:cs="Times New Roman"/>
          <w:b/>
          <w:bCs/>
          <w:sz w:val="28"/>
          <w:szCs w:val="28"/>
          <w:lang w:eastAsia="ru-RU"/>
        </w:rPr>
      </w:pPr>
      <w:bookmarkStart w:id="22" w:name="_Toc966389203"/>
      <w:r>
        <w:rPr>
          <w:rFonts w:ascii="Times New Roman" w:hAnsi="Times New Roman" w:eastAsia="Times New Roman" w:cs="Times New Roman"/>
          <w:b/>
          <w:bCs/>
          <w:sz w:val="28"/>
          <w:szCs w:val="28"/>
          <w:lang w:eastAsia="ru-RU"/>
        </w:rPr>
        <w:t>СПИСОК ИСПОЛЬЗОВАННЫХ ИСТОЧНИКОВ</w:t>
      </w:r>
      <w:bookmarkEnd w:id="22"/>
    </w:p>
    <w:p w14:paraId="68F9303B">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 Продажи стоматологических услуг в России в 2024 году выросли на 15 % / Ведомости. – 10.01.2025. – URL: https://www.vedomosti.ru/business/articles/2025/01/10/1085368-prodazhi-stomatologicheskih-uslug-v-rossii-virosli (дата обращения: 05.05.2026).</w:t>
      </w:r>
    </w:p>
    <w:p w14:paraId="7121B340">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2. Dental Patient Appointment Booking Statistics / Resonate AI. – 2024. – URL: https://www.resonateapp.com/resources/dental-patient-appointment-booking-statistics (дата обращения: 05.05.2026).</w:t>
      </w:r>
    </w:p>
    <w:p w14:paraId="570351AA">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 2025 Healthcare Benchmark Report / Smart Communications. – 2025. – URL: https://www.smartcommunications.com/resource-center/white-papers-ebooks/2025-healthcare-benchmark-report-customer-experience-communications (дата обращения: 05.05.2026).</w:t>
      </w:r>
    </w:p>
    <w:p w14:paraId="5F9D24FC">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 Федеральный закон «О персональных данных» и отдельные законодательные акты Российской Федерации : Федер. закон от 23.05.2025 № 121-ФЗ. – Текст : электронный // Официальный интернет-портал правовой информации. – URL: http://pravo.gov.ru (дата обращения: 05.05.2026).</w:t>
      </w:r>
    </w:p>
    <w:p w14:paraId="3AA2BABB">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5. О персональных данных : Федер. закон от 27.07.2006 № 152-ФЗ : ред. от 24.06.2025. – URL: https://www.consultant.ru/document/cons_doc_LAW_61801/ (дата обращения: 05.05.2026).</w:t>
      </w:r>
    </w:p>
    <w:p w14:paraId="2B6E5B0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6. Об утверждении Порядка организации и оказания медицинской помощи с применением телемедицинских технологий : приказ Министерства здравоохранения Российской Федерации от 11.04.2025 № 193н : зарегистрирован в Минюсте России 15.05.2025 № 82181. – URL: https://www.consultant.ru/document/cons_doc_LAW_505342/ (дата обращения: 05.05.2026).</w:t>
      </w:r>
    </w:p>
    <w:p w14:paraId="67DDF22D">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7. О рекламе : Федер. закон от 13.03.2006 № 38-ФЗ : ред. от 31.07.2025 (с изм. и доп., вступ. в силу с 01.09.2025). Статья 24. – URL: https://www.consultant.ru/document/cons_doc_LAW_58968/ (дата обращения: 05.05.2026).</w:t>
      </w:r>
    </w:p>
    <w:p w14:paraId="776B37B9">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8. Тавберидзе К.Ю. Цифровой маркетинг в сфере здравоохранения // Информационное обеспечение здравоохранения. – 2023. – № 2 (77). – С. 2–18.</w:t>
      </w:r>
    </w:p>
    <w:p w14:paraId="2CB37BF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9. Digital-маркетинг. Главная книга интернет-маркетолога / А. Гавриков. – Москва : Издательство АСТ, 2022. – 480 с.I SBN 978-5-17-145137-0.</w:t>
      </w:r>
    </w:p>
    <w:p w14:paraId="1101961A">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10. Манн, И. Гроуинг. 22 маркетинговых действия для роста бизнеса / И. Манн. – Москва : Манн, Иванов и Фербер, 2017. – 240 с. – ISBN 978-5-00100-898-2.</w:t>
      </w:r>
    </w:p>
    <w:p w14:paraId="3C4AD87E">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11. Лаврентьев А.А. Эволюция цифрового маркетинга: анализ ключевых изменений в digital-среде и их влияния на стратегии брендов // Международный научный журнал «ВЕСТНИК НАУКИ». – 2025. – № 3 (84). – С. 26–37.</w:t>
      </w:r>
    </w:p>
    <w:p w14:paraId="7197336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12. Шевченко Д.А. Цифровой маркетинг: обзор каналов и инструментов // Практический маркетинг. – 2019. – № 10 (272). – С. 29–37.</w:t>
      </w:r>
    </w:p>
    <w:p w14:paraId="092A4058">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13. Абрамова С. Б., Путимцева К. Р., Кондрашов А. О. Социальные сети органов власти: вовлеченность молодежи и оценка эффективности // Arts Administrandi (Искусство управления). – 2024. – Т. 16, № 1. – С. 54–78.</w:t>
      </w:r>
    </w:p>
    <w:p w14:paraId="785880E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14. Развитие российского рынка социальных медиа // Фонд развития интернет-инициатив. – 2023. – С. 6. – URL: https://sociologos.ru/upload/iblock/134/qg3i8lhtq24j0p5ilfn0unn11zlzanis.pdf (дата обращения: 05.05.2026).</w:t>
      </w:r>
    </w:p>
    <w:p w14:paraId="7655F22C">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15. Друкер М.М., Яновская Г.В. Социальные медиа: подходы к дефиниции понятия // Медиаскоп. – 2021. – № 2. – С. 25–32.</w:t>
      </w:r>
    </w:p>
    <w:p w14:paraId="5A3878E5">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16. Дукин Р.А. К вопросу определения понятия «Социальные медиа» // Общество: социология, психология, педагогика. – 2016. – № 4. – 3 с.</w:t>
      </w:r>
    </w:p>
    <w:p w14:paraId="4382CD39">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17. Замаратская А.С. Социальные медиа и социальные сети // Социальная реальность виртуального пространства. – 2021. – С. 30–34.</w:t>
      </w:r>
    </w:p>
    <w:p w14:paraId="409D37D4">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18. Laroche M, Habibi MR, Richard MO (2013) To be or not to be in social media: how brand loyalty is influenced by social media? // J Bus Res. – 66(1):1–8.</w:t>
      </w:r>
    </w:p>
    <w:p w14:paraId="2EEE3454">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19. Р.В. Молчанова. Обзор современных тенденций digital-маркетинга // Международный научно-исследовательский журнал. – 2025. – № 4 (154). – С. 1–4.</w:t>
      </w:r>
    </w:p>
    <w:p w14:paraId="7F543731">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20. Демичев Д.А. Виды рекламы в интернете // E-scio. – 2019. – 6 с.</w:t>
      </w:r>
    </w:p>
    <w:p w14:paraId="5096ECA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21. Сергеев П.В. Современные методы продвижения компании в интернете: научный анализ и перспективы // Вестник науки. – 2025. – № 1 (82). – Т. 2. – С. 173–179.</w:t>
      </w:r>
    </w:p>
    <w:p w14:paraId="3C7AAB72">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22. Капустина Л.М., Изакова Н.М., Вихарева Ю.С. Стратегия продвижения компании: новые инструменты и тренды // Современная экономика и управление. – 2023. – № 4. – С. 78–83.</w:t>
      </w:r>
    </w:p>
    <w:p w14:paraId="4B79DE0F">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23. Кононов А.Ю., Пусева Ю.А., Никитина П.О. Мировой и отечественный опыт использования сайта как инструмента продвижения услуг баз отдыха // Креативная экономика. – 2024. – Т. 18, № 12. – С. 3419–3438.</w:t>
      </w:r>
    </w:p>
    <w:p w14:paraId="5AF1DB25">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24. Хэнд, Д. Дж. Тёмные данные. Практическое руководство по принятию правильных решений в мире недостающих данных / Д. Дж. Хэнд ; перевод с английского М. Белоголовского ; редактор В. Ионов. – Москва : Альпина Паблишер, 2021. – 364, с. : ил. – Библиогр. в примеч.: с. 353–365. – ISBN 978-5-9614-4143-7.</w:t>
      </w:r>
    </w:p>
    <w:p w14:paraId="2E59ABF9">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25. Брагин А.П. Тренд современного интернет-маркетинга в социальных сетях: короткие видеоролики // Практический маркетинг. – 2023. – № 10 (316). – С. 36–41. – DOI: 10.24412/2071-3762-2023-10316-36-41.</w:t>
      </w:r>
    </w:p>
    <w:p w14:paraId="4B88B060">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26. Зиядинов Д.С., Зиядинов А.С. CRM-системы // Финансовые рынки и банки. – 2022. – № 11. – С. 96–101.</w:t>
      </w:r>
    </w:p>
    <w:p w14:paraId="1229B11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27. Малаева М.С. CRM-системы: эффективные инструменты для взаимодействия с клиентами // Экономические исследования. – 2024. – № 3. – С. 55–60.</w:t>
      </w:r>
    </w:p>
    <w:p w14:paraId="2E607BE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28. Кузнецов И.А. Прогнозирование и анализ пользовательского поведения в мобильных приложениях // Тенденции развития науки и образования. – 2024. – № 107 (часть 8). – С. 165–168.</w:t>
      </w:r>
    </w:p>
    <w:p w14:paraId="555BCF5C">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29. Колюжнова Н.Я., Кошурникова Ю.Е., Широколобова Г.В. Влияние цифровизации на изменение парадигмы управления компанией: от клиентоориентированности к клиентоцентричности // Научный журнал НИУ ИТМО. Серия «Экономика и Экологический менеджмент». – 2025. – № 2. – С. 72–85.</w:t>
      </w:r>
    </w:p>
    <w:p w14:paraId="14649FE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30. Тесленко Д.А., Люлин П.Б. Современные тенденции и подходы предприятий к инвестированию в маркетинг // Московский экономический журнал. – 2025. – № 2. – С. 2–49. – DOI: 10.55186/2413046X_2025_10_2_49.</w:t>
      </w:r>
    </w:p>
    <w:p w14:paraId="4FE7DD8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31. Казумян С.В., Дегтев И.А., Борисов В.В., Ершов К.А. Виртуальные технологии в стоматологии // Вестник Авиценны. – 2020. – 22(4):606-12.</w:t>
      </w:r>
    </w:p>
    <w:p w14:paraId="56966B13">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32. Boksmati N., Butler-Henderson K., Anderson K., Sahama T. The Effectiveness of SMS Reminders on Appointment Attendance: a Meta-Analysis // Journal of Medical Systems. – 2016. – Vol. 40. – Article 90. – DOI: 10.1007/s10916-016-0452-2. </w:t>
      </w:r>
    </w:p>
    <w:p w14:paraId="3B990DF8">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33. Stormon N., Sexton C., Chen C., et al. SMS reminders to improve outpatient attendance for public dental services: a retrospective study // Health &amp; Social Care in the Community. – 2022. – Vol. 30, No. 5. – P. e2255–e2263. – DOI: 10.1111/hsc.13663.</w:t>
      </w:r>
    </w:p>
    <w:p w14:paraId="191BB6E2">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34. McLean S., Booth A., Gee M., et al. Appointment reminder systems are effective but not optimal: results of a systematic review and evidence synthesis employing realist principles // Patient Preference and Adherence. – 2016. – Vol. 10. – P. 479–499.</w:t>
      </w:r>
    </w:p>
    <w:p w14:paraId="3551FC1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35. Ronsivalle V., Santonocito S., Cammarata U. et al. Current Applications of Chatbots Powered by Large Language Models in Oral and Maxillofacial Surgery: A Systematic Review // Dentistry Journal (MDPI). – 2025. – Vol. 13, No. 6. – Article 261. – DOI: 10.3390/dj13060261. – URL: https://www.mdpi.com/2304-6767/13/6/261 (дата обращения: 05.05.2026).</w:t>
      </w:r>
    </w:p>
    <w:p w14:paraId="680A05CB">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36. Feng S., Li X.L., Wake A.N. Engaging Artificial Intelligence (AI)-based chatbots in digital health: A systematic review // PLOS Digital Health. – 2026. – Vol. 5, No. 2. – Article e0001201. – DOI: 10.1371/journal.pdig.0001201. – URL: https://pmc.ncbi.nlm.nih.gov/articles/PMC12900317/ (дата обращения: 05.05.2026).</w:t>
      </w:r>
    </w:p>
    <w:p w14:paraId="64C768EA">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37. Dental Website Average Conversion Rates / PatientGain. – 2025. – URL: https://www.patientgain.com/average-conversion-rates (дата обращения: 05.05.2026).</w:t>
      </w:r>
    </w:p>
    <w:p w14:paraId="1D7F9C7E">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38. Gray L, McNeill L, Yi W, Zvonereva A, Brunton P, Mei L (2021) The «business» of dentistry: Consumers’ (patients’) criteria in the selection and evaluation of dental services // PLoS ONE. – 16(8). – e0253517.</w:t>
      </w:r>
    </w:p>
    <w:p w14:paraId="51F2D864">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39. Зубарева Д. Д., Коржова Г. А. Анализ рынка стоматологических услуг в современных реалиях // Научный аспект. – 2024. – Т. 39, № 6. – С. 4818.</w:t>
      </w:r>
    </w:p>
    <w:p w14:paraId="46975C9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40. Кайкова В.С. Продвижение услуг стоматологической клиники // Цифровая среда как инструмент модернизации. – 2023. – С. 110.</w:t>
      </w:r>
    </w:p>
    <w:p w14:paraId="6AB5495F">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41. Автандилян Л. А. Маркетинговые стратегии для стоматологических клиник Эффективные подходы к привлечению клиентов // Universum: медицина и фармакология. – 2024. – Т. 2, № 3 (108). – С. 5–11.</w:t>
      </w:r>
    </w:p>
    <w:p w14:paraId="0CC1AB74">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42. Казумова А.Б., Тимошин А.В. Совершенствование организации и эффективности стоматологического лечения при внедрении в практику методики телестоматол аогических решений // Актуальные вопросы современной медицины. – 2023. – С. 202–205.</w:t>
      </w:r>
    </w:p>
    <w:p w14:paraId="69087A2C">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43. Павлова И.И., Кудряшов И.А. Разработка маркетинговой стратегии привлечения поколения Z в стоматологическую клинику // Издательский дом «Среда». – С. 1–5.</w:t>
      </w:r>
    </w:p>
    <w:p w14:paraId="6247CC51">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44. ГОСТ Р 702.5.009-2024. «Российская система качества. Мобильные приложения для смартфонов. Потребительские испытания». – [Электронный ресурс]. – URL: https://docs.cntd.ru/document/1306397056 (дата обращения: 05.05.2026).</w:t>
      </w:r>
    </w:p>
    <w:p w14:paraId="572F815B">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45. 21 U.S.C. 9 – Federal food, drug, and cosmetic act. – Available at: URL: https://www.govinfo.gov/ (дата обращения: 05.05.2026).</w:t>
      </w:r>
    </w:p>
    <w:p w14:paraId="6C72DA26">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46. Федеральный закон № 323 от 21.11.2011 «Об основах охраны здоровья граждан в Российской Федерации» // Консультант Плюс. – [Электронный ресурс]. – URL: https://www.consultant.ru/document/cons_doc_LAW_121895/ (дата обращения: 05.05.2026).</w:t>
      </w:r>
    </w:p>
    <w:p w14:paraId="4B5554F5">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47. Приказ от 11.04.2025 № 181н // Официальный интернет-портал правовой информации. – 2025. – № 0001202505300020. – Зарегистрировано в Минюсте РФ 30.05.2025 № 82421. </w:t>
      </w:r>
    </w:p>
    <w:p w14:paraId="5E2331B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48. Диагностика медицинской отрасли в 2025 году. – URL: https://www.uiscom.ru/blog/diagnostika-meditsinskoy-otrasli-v-2025-godu/?ysclid=mo2mjagcvs687168556 (дата обращения: 05.05.2026).</w:t>
      </w:r>
    </w:p>
    <w:p w14:paraId="2A6C1E9A">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49. Обзор российских инвестиций в цифровое здравоохранение. – URL: https://webiomed.ru/blog/obzor-rossiiskikh-investitsii-v-tsifrovoe-zdravookhranenie/?ysclid=mo2ovacdti626327978 (дата обращения: 05.05.2026).</w:t>
      </w:r>
    </w:p>
    <w:p w14:paraId="1387C13D">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50. ООО «ВИТАНИКА» : официальный сайт. – Санкт-Петербург, 2026. – URL: https://www.audit-it.ru/contragent/1069847285122_ooo-vitanika?ysclid=luqrxdyqnj745911290 (дата обращения: 05.05.2026).</w:t>
      </w:r>
    </w:p>
    <w:p w14:paraId="2C363700">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51. Gupta N., Vujicic M. Main Barriers to Getting Needed Dental Care All Relate to Affordability : Research Brief / Health Policy Institute, American Dental Association. – 2019. – URL: https://www.ada.org/-/media/project/ada-organization/ada/ada-org/files/resources/research/hpi/hpibrief_0419_1.pdf (дата обращения: 05.05.2026).</w:t>
      </w:r>
    </w:p>
    <w:p w14:paraId="38F48D6B">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52. Dental Practice Growth Strategies for 2026 / Vada COO. – 2025. – URL: https://vadacoo.com/blog/dental-practice-growth-strategies-for-2026 (дата обращения: 05.05.2026).</w:t>
      </w:r>
    </w:p>
    <w:p w14:paraId="64D2C097">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53. Федеральный закон от 28.02.2025 N 23-ФЗ «О внесении изменений в Федеральный закон "О персональных данных" и отдельные законодательные акты Российской Федерации». – URL: https://www.consultant.ru/document/cons_doc_LAW_499984/?ysclid=moubo353as612607852 (дата обращения: 05.05.2026).</w:t>
      </w:r>
    </w:p>
    <w:p w14:paraId="58581A51">
      <w:pPr>
        <w:pStyle w:val="151"/>
        <w:numPr>
          <w:ilvl w:val="1"/>
          <w:numId w:val="29"/>
        </w:numPr>
        <w:tabs>
          <w:tab w:val="left" w:pos="993"/>
        </w:tabs>
        <w:spacing w:before="0" w:after="0" w:line="360" w:lineRule="auto"/>
        <w:ind w:left="0"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54. Carrer F. C. de A. et al. Teledentistry: Overview of Systematic Reviews // Journal of Medical Internet Research. – 2025. – Vol. 27. – e65211. – DOI: 10.2196/65211. – URL: https://www.jmir.org/2025/1/e65211 (дата обращения: 05.05.2026).</w:t>
      </w:r>
    </w:p>
    <w:p w14:paraId="5928F323">
      <w:pPr>
        <w:pStyle w:val="2"/>
        <w:pageBreakBefore/>
        <w:tabs>
          <w:tab w:val="left" w:pos="993"/>
        </w:tabs>
        <w:spacing w:before="0" w:after="0" w:line="360" w:lineRule="auto"/>
        <w:ind w:left="709"/>
        <w:jc w:val="center"/>
        <w:rPr>
          <w:rFonts w:ascii="Times New Roman" w:hAnsi="Times New Roman" w:eastAsia="Times New Roman" w:cs="Times New Roman"/>
          <w:b/>
          <w:bCs/>
          <w:sz w:val="28"/>
          <w:szCs w:val="28"/>
          <w:lang w:eastAsia="ru-RU"/>
        </w:rPr>
      </w:pPr>
      <w:bookmarkStart w:id="23" w:name="_Toc684512560"/>
      <w:r>
        <w:rPr>
          <w:rFonts w:ascii="Times New Roman" w:hAnsi="Times New Roman" w:eastAsia="Times New Roman" w:cs="Times New Roman"/>
          <w:b/>
          <w:bCs/>
          <w:sz w:val="28"/>
          <w:szCs w:val="28"/>
          <w:lang w:eastAsia="ru-RU"/>
        </w:rPr>
        <w:t>ПРИЛОЖЕНИЕ А</w:t>
      </w:r>
      <w:bookmarkEnd w:id="23"/>
    </w:p>
    <w:p w14:paraId="1B2B4E2C">
      <w:pPr>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Сервис отображает данные о выручке по каждой кассе, предоставляя информацию о дате открытия и закрытия рабочей смены, кассире, осуществлявшем данную смену, общем количестве выданных чеков и их среднем значение. На вход сервиса поступают данные о результатах оказания медицинских услуг, а на выходе формируется отчётность в виде таблиц </w:t>
      </w:r>
      <w:r>
        <w:rPr>
          <w:rFonts w:ascii="Times New Roman" w:hAnsi="Times New Roman" w:eastAsia="Times New Roman" w:cs="Times New Roman"/>
          <w:kern w:val="0"/>
          <w:sz w:val="28"/>
          <w:szCs w:val="28"/>
          <w:lang w:val="en-US" w:eastAsia="ru-RU"/>
          <w14:ligatures w14:val="none"/>
        </w:rPr>
        <w:t>Excel</w:t>
      </w:r>
      <w:r>
        <w:rPr>
          <w:rFonts w:ascii="Times New Roman" w:hAnsi="Times New Roman" w:eastAsia="Times New Roman" w:cs="Times New Roman"/>
          <w:kern w:val="0"/>
          <w:sz w:val="28"/>
          <w:szCs w:val="28"/>
          <w:lang w:eastAsia="ru-RU"/>
          <w14:ligatures w14:val="none"/>
        </w:rPr>
        <w:t xml:space="preserve">. </w:t>
      </w:r>
    </w:p>
    <w:p w14:paraId="6762A4E8">
      <w:pPr>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Виды отчётов доступных для формирования:</w:t>
      </w:r>
    </w:p>
    <w:p w14:paraId="4E5D3797">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сводный отчёт по сменам;</w:t>
      </w:r>
    </w:p>
    <w:p w14:paraId="692A777E">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сводный отчёт по фискальным документам;</w:t>
      </w:r>
    </w:p>
    <w:p w14:paraId="1D36FC3C">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продажи по номенклатуре; </w:t>
      </w:r>
    </w:p>
    <w:p w14:paraId="61774D01">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детализация отправленных чеков;</w:t>
      </w:r>
    </w:p>
    <w:p w14:paraId="38D21CF2">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статистика обслуживания ККТ за период;</w:t>
      </w:r>
    </w:p>
    <w:p w14:paraId="6FAD33DF">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акт сверки взаиморасчётов;</w:t>
      </w:r>
    </w:p>
    <w:p w14:paraId="62ABE88C">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отчёт по текущему состоянию ККТ;</w:t>
      </w:r>
    </w:p>
    <w:p w14:paraId="78052A7B">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отчёт о маркированных товаров. </w:t>
      </w:r>
    </w:p>
    <w:p w14:paraId="2E3432CE">
      <w:pPr>
        <w:spacing w:before="0" w:after="0"/>
        <w:ind w:left="709"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Интерфейс сервиса Такском-Касса представлен на рисунке 31.  </w:t>
      </w:r>
    </w:p>
    <w:p w14:paraId="238DD963">
      <w:pPr>
        <w:spacing w:before="0" w:after="0" w:line="360" w:lineRule="auto"/>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drawing>
          <wp:anchor distT="0" distB="0" distL="114300" distR="114300" simplePos="0" relativeHeight="251672576" behindDoc="0" locked="0" layoutInCell="1" allowOverlap="1">
            <wp:simplePos x="0" y="0"/>
            <wp:positionH relativeFrom="column">
              <wp:posOffset>-13335</wp:posOffset>
            </wp:positionH>
            <wp:positionV relativeFrom="paragraph">
              <wp:posOffset>3810</wp:posOffset>
            </wp:positionV>
            <wp:extent cx="5454650" cy="2973705"/>
            <wp:effectExtent l="0" t="0" r="0" b="0"/>
            <wp:wrapSquare wrapText="bothSides"/>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pic:cNvPicPr>
                  </pic:nvPicPr>
                  <pic:blipFill>
                    <a:blip r:embed="rId47" cstate="print">
                      <a:extLst>
                        <a:ext uri="{28A0092B-C50C-407E-A947-70E740481C1C}">
                          <a14:useLocalDpi xmlns:a14="http://schemas.microsoft.com/office/drawing/2010/main" val="0"/>
                        </a:ext>
                      </a:extLst>
                    </a:blip>
                    <a:srcRect l="18503" r="18839" b="14366"/>
                    <a:stretch>
                      <a:fillRect/>
                    </a:stretch>
                  </pic:blipFill>
                  <pic:spPr>
                    <a:xfrm>
                      <a:off x="0" y="0"/>
                      <a:ext cx="5454650" cy="2973705"/>
                    </a:xfrm>
                    <a:prstGeom prst="rect">
                      <a:avLst/>
                    </a:prstGeom>
                    <a:ln>
                      <a:noFill/>
                    </a:ln>
                  </pic:spPr>
                </pic:pic>
              </a:graphicData>
            </a:graphic>
          </wp:anchor>
        </w:drawing>
      </w:r>
    </w:p>
    <w:p w14:paraId="13D97F90">
      <w:pPr>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31 — Вид вкладки «Отчёты» сервиса ОФД «Такском-Касса»</w:t>
      </w:r>
    </w:p>
    <w:p w14:paraId="19FF6D90">
      <w:pPr>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При выборе определённого отчёта, например о результатах смены, происходит переход на отдельную страницу, где осуществляется фильтрация по:</w:t>
      </w:r>
    </w:p>
    <w:p w14:paraId="771AF444">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периоду;</w:t>
      </w:r>
    </w:p>
    <w:p w14:paraId="6019D56E">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подразделению;</w:t>
      </w:r>
    </w:p>
    <w:p w14:paraId="5A1DB932">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торговой точке;</w:t>
      </w:r>
    </w:p>
    <w:p w14:paraId="4156A402">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ККТ;</w:t>
      </w:r>
    </w:p>
    <w:p w14:paraId="33DEA955">
      <w:pPr>
        <w:tabs>
          <w:tab w:val="left" w:pos="993"/>
        </w:tabs>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drawing>
          <wp:anchor distT="0" distB="0" distL="114300" distR="114300" simplePos="0" relativeHeight="251673600" behindDoc="0" locked="0" layoutInCell="1" allowOverlap="1">
            <wp:simplePos x="0" y="0"/>
            <wp:positionH relativeFrom="column">
              <wp:posOffset>62865</wp:posOffset>
            </wp:positionH>
            <wp:positionV relativeFrom="paragraph">
              <wp:posOffset>321310</wp:posOffset>
            </wp:positionV>
            <wp:extent cx="5970270" cy="2453640"/>
            <wp:effectExtent l="0" t="0" r="0" b="3810"/>
            <wp:wrapSquare wrapText="bothSides"/>
            <wp:docPr id="2130539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9289" name="Рисунок 1"/>
                    <pic:cNvPicPr>
                      <a:picLocks noChangeAspect="1"/>
                    </pic:cNvPicPr>
                  </pic:nvPicPr>
                  <pic:blipFill>
                    <a:blip r:embed="rId48" cstate="print">
                      <a:extLst>
                        <a:ext uri="{28A0092B-C50C-407E-A947-70E740481C1C}">
                          <a14:useLocalDpi xmlns:a14="http://schemas.microsoft.com/office/drawing/2010/main" val="0"/>
                        </a:ext>
                      </a:extLst>
                    </a:blip>
                    <a:srcRect l="17477" t="3559" r="16783" b="25921"/>
                    <a:stretch>
                      <a:fillRect/>
                    </a:stretch>
                  </pic:blipFill>
                  <pic:spPr>
                    <a:xfrm>
                      <a:off x="0" y="0"/>
                      <a:ext cx="5970270" cy="2453640"/>
                    </a:xfrm>
                    <a:prstGeom prst="rect">
                      <a:avLst/>
                    </a:prstGeom>
                    <a:ln>
                      <a:noFill/>
                    </a:ln>
                  </pic:spPr>
                </pic:pic>
              </a:graphicData>
            </a:graphic>
          </wp:anchor>
        </w:drawing>
      </w:r>
      <w:r>
        <w:rPr>
          <w:rFonts w:ascii="Times New Roman" w:hAnsi="Times New Roman" w:eastAsia="Times New Roman" w:cs="Times New Roman"/>
          <w:kern w:val="0"/>
          <w:sz w:val="28"/>
          <w:szCs w:val="28"/>
          <w:lang w:eastAsia="ru-RU"/>
          <w14:ligatures w14:val="none"/>
        </w:rPr>
        <w:t xml:space="preserve">смене. </w:t>
      </w:r>
    </w:p>
    <w:p w14:paraId="735DF2DE">
      <w:pPr>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32 — Вид страницы «Сводный отчёт по сменам»</w:t>
      </w:r>
    </w:p>
    <w:p w14:paraId="763B19CB">
      <w:pPr>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0"/>
          <w:szCs w:val="20"/>
          <w:lang w:eastAsia="ru-RU"/>
          <w14:ligatures w14:val="none"/>
        </w:rPr>
        <w:t xml:space="preserve">Общий порядок взаимодействия с сервисом Такском-Касса представлен на рисунках 33-36. </w:t>
      </w:r>
    </w:p>
    <w:p w14:paraId="18F171BD">
      <w:pPr>
        <w:spacing w:before="0" w:after="0" w:line="360" w:lineRule="auto"/>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0"/>
          <w:szCs w:val="20"/>
          <w:lang w:eastAsia="ru-RU"/>
          <w14:ligatures w14:val="none"/>
        </w:rPr>
        <w:drawing>
          <wp:anchor distT="0" distB="0" distL="114300" distR="114300" simplePos="0" relativeHeight="251669504" behindDoc="0" locked="0" layoutInCell="1" allowOverlap="1">
            <wp:simplePos x="0" y="0"/>
            <wp:positionH relativeFrom="column">
              <wp:posOffset>377190</wp:posOffset>
            </wp:positionH>
            <wp:positionV relativeFrom="paragraph">
              <wp:posOffset>3810</wp:posOffset>
            </wp:positionV>
            <wp:extent cx="5179695" cy="8361045"/>
            <wp:effectExtent l="0" t="0" r="1905" b="1905"/>
            <wp:wrapSquare wrapText="bothSides"/>
            <wp:docPr id="2041433433" name="Объект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1433433" name="Объект 2"/>
                    <pic:cNvPicPr>
                      <a:picLocks noGrp="1" noChangeAspect="1"/>
                    </pic:cNvPicPr>
                  </pic:nvPicPr>
                  <pic:blipFill>
                    <a:blip r:embed="rId49" cstate="print">
                      <a:extLst>
                        <a:ext uri="{28A0092B-C50C-407E-A947-70E740481C1C}">
                          <a14:useLocalDpi xmlns:a14="http://schemas.microsoft.com/office/drawing/2010/main" val="0"/>
                        </a:ext>
                      </a:extLst>
                    </a:blip>
                    <a:srcRect l="7986" t="20450" b="51789"/>
                    <a:stretch>
                      <a:fillRect/>
                    </a:stretch>
                  </pic:blipFill>
                  <pic:spPr>
                    <a:xfrm>
                      <a:off x="0" y="0"/>
                      <a:ext cx="5179695" cy="8361045"/>
                    </a:xfrm>
                    <a:prstGeom prst="rect">
                      <a:avLst/>
                    </a:prstGeom>
                    <a:noFill/>
                    <a:ln>
                      <a:noFill/>
                    </a:ln>
                  </pic:spPr>
                </pic:pic>
              </a:graphicData>
            </a:graphic>
          </wp:anchor>
        </w:drawing>
      </w:r>
    </w:p>
    <w:p w14:paraId="7741DED8">
      <w:pPr>
        <w:widowControl w:val="0"/>
        <w:autoSpaceDN w:val="0"/>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33 — Формализация бизнес-процесса «Осуществить взаимодействие с сервисом Такском-Касса» в нотации ARIS eEPC (первая часть)</w:t>
      </w:r>
    </w:p>
    <w:p w14:paraId="58B55CD8">
      <w:pPr>
        <w:spacing w:before="0" w:after="0"/>
        <w:ind w:firstLine="709"/>
        <w:jc w:val="both"/>
      </w:pPr>
      <w:r>
        <w:rPr>
          <w:rFonts w:ascii="Times New Roman" w:hAnsi="Times New Roman"/>
          <w:b w:val="0"/>
          <w:sz w:val="28"/>
        </w:rPr>
        <w:t>Первая часть схемы ARIS eEPC описывает начало процесса взаимодействия пользователя с сервисом: вход в личный кабинет, выбор организации и навигацию к разделу отчётности. Роли пользователя и системы «Такском-Касса» разделены плавательными дорожками. Схема фиксирует логику ветвления при наличии или отсутствии нужных прав доступа у пользователя.</w:t>
      </w:r>
    </w:p>
    <w:p w14:paraId="0910AA52">
      <w:pPr>
        <w:spacing w:before="0" w:after="0" w:line="360" w:lineRule="auto"/>
        <w:contextualSpacing/>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0"/>
          <w:szCs w:val="20"/>
          <w:lang w:eastAsia="ru-RU"/>
          <w14:ligatures w14:val="none"/>
        </w:rPr>
        <w:drawing>
          <wp:inline distT="0" distB="0" distL="0" distR="0">
            <wp:extent cx="5046345" cy="8607425"/>
            <wp:effectExtent l="0" t="0" r="1905" b="3175"/>
            <wp:docPr id="815641493"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5641493" name="Объект 3"/>
                    <pic:cNvPicPr>
                      <a:picLocks noGrp="1" noChangeAspect="1"/>
                    </pic:cNvPicPr>
                  </pic:nvPicPr>
                  <pic:blipFill>
                    <a:blip r:embed="rId50"/>
                    <a:srcRect t="47167" b="20954"/>
                    <a:stretch>
                      <a:fillRect/>
                    </a:stretch>
                  </pic:blipFill>
                  <pic:spPr>
                    <a:xfrm>
                      <a:off x="0" y="0"/>
                      <a:ext cx="5050114" cy="8612912"/>
                    </a:xfrm>
                    <a:prstGeom prst="rect">
                      <a:avLst/>
                    </a:prstGeom>
                    <a:noFill/>
                    <a:ln>
                      <a:noFill/>
                    </a:ln>
                  </pic:spPr>
                </pic:pic>
              </a:graphicData>
            </a:graphic>
          </wp:inline>
        </w:drawing>
      </w:r>
    </w:p>
    <w:p w14:paraId="01A51F81">
      <w:pPr>
        <w:spacing w:before="0" w:after="0" w:line="360" w:lineRule="auto"/>
        <w:contextualSpacing/>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34 — Формализация бизнес-процесса «Осуществить взаимодействие с сервисом Такском-Касса» в нотации ARIS eEPC (вторая часть)</w:t>
      </w:r>
    </w:p>
    <w:p w14:paraId="33C5A1E6">
      <w:pPr>
        <w:spacing w:before="0" w:after="0"/>
        <w:ind w:firstLine="709"/>
        <w:jc w:val="both"/>
      </w:pPr>
      <w:r>
        <w:rPr>
          <w:rFonts w:ascii="Times New Roman" w:hAnsi="Times New Roman"/>
          <w:b w:val="0"/>
          <w:sz w:val="28"/>
        </w:rPr>
        <w:t>Вторая часть схемы продолжает процесс: переход к разделу отчётов, выбор конкретного отчёта, настройка периода и формата выгрузки. Ветвление охватывает сценарии успешной выгрузки и ситуацию, когда данные за выбранный период недоступны. Схема детализирует шаги, соответствующие функциям «Выбрать отчёт» и «Настроить параметры».</w:t>
      </w:r>
    </w:p>
    <w:p w14:paraId="680E9F5E">
      <w:pPr>
        <w:spacing w:before="0" w:after="0" w:line="360" w:lineRule="auto"/>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0"/>
          <w:szCs w:val="20"/>
          <w:lang w:eastAsia="ru-RU"/>
          <w14:ligatures w14:val="none"/>
        </w:rPr>
        <w:drawing>
          <wp:anchor distT="0" distB="0" distL="114300" distR="114300" simplePos="0" relativeHeight="251668480" behindDoc="0" locked="0" layoutInCell="1" allowOverlap="1">
            <wp:simplePos x="0" y="0"/>
            <wp:positionH relativeFrom="column">
              <wp:posOffset>1004570</wp:posOffset>
            </wp:positionH>
            <wp:positionV relativeFrom="paragraph">
              <wp:posOffset>80010</wp:posOffset>
            </wp:positionV>
            <wp:extent cx="4201160" cy="6610350"/>
            <wp:effectExtent l="0" t="0" r="8890" b="0"/>
            <wp:wrapSquare wrapText="bothSides"/>
            <wp:docPr id="648140903"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48140903" name="Объект 3"/>
                    <pic:cNvPicPr>
                      <a:picLocks noGrp="1" noChangeAspect="1"/>
                    </pic:cNvPicPr>
                  </pic:nvPicPr>
                  <pic:blipFill>
                    <a:blip r:embed="rId51" cstate="print">
                      <a:extLst>
                        <a:ext uri="{28A0092B-C50C-407E-A947-70E740481C1C}">
                          <a14:useLocalDpi xmlns:a14="http://schemas.microsoft.com/office/drawing/2010/main" val="0"/>
                        </a:ext>
                      </a:extLst>
                    </a:blip>
                    <a:srcRect l="4038" t="78082" r="20503" b="-278"/>
                    <a:stretch>
                      <a:fillRect/>
                    </a:stretch>
                  </pic:blipFill>
                  <pic:spPr>
                    <a:xfrm>
                      <a:off x="0" y="0"/>
                      <a:ext cx="4201160" cy="6610350"/>
                    </a:xfrm>
                    <a:prstGeom prst="rect">
                      <a:avLst/>
                    </a:prstGeom>
                    <a:noFill/>
                    <a:ln>
                      <a:noFill/>
                    </a:ln>
                  </pic:spPr>
                </pic:pic>
              </a:graphicData>
            </a:graphic>
          </wp:anchor>
        </w:drawing>
      </w:r>
      <w:r>
        <w:rPr>
          <w:rFonts w:ascii="Times New Roman" w:hAnsi="Times New Roman" w:eastAsia="Times New Roman" w:cs="Times New Roman"/>
          <w:kern w:val="0"/>
          <w:sz w:val="28"/>
          <w:szCs w:val="28"/>
          <w:lang w:eastAsia="ru-RU"/>
          <w14:ligatures w14:val="none"/>
        </w:rPr>
        <w:t xml:space="preserve"> </w:t>
      </w:r>
    </w:p>
    <w:p w14:paraId="5F62B034">
      <w:pPr>
        <w:widowControl w:val="0"/>
        <w:autoSpaceDN w:val="0"/>
        <w:spacing w:before="0" w:after="0" w:line="360" w:lineRule="auto"/>
        <w:ind w:firstLine="23"/>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35 — Формализация бизнес-процесса «Осуществить взаимодействие с сервисом Такском-Касса» в нотации ARIS eEPC (третья часть)</w:t>
      </w:r>
    </w:p>
    <w:p w14:paraId="67AC4AAA">
      <w:pPr>
        <w:spacing w:before="0" w:after="0"/>
        <w:ind w:firstLine="709"/>
        <w:jc w:val="both"/>
      </w:pPr>
      <w:r>
        <w:rPr>
          <w:rFonts w:ascii="Times New Roman" w:hAnsi="Times New Roman"/>
          <w:b w:val="0"/>
          <w:sz w:val="28"/>
        </w:rPr>
        <w:t>Третья часть охватывает завершающие действия процесса: сохранение отчёта, передачу руководителю или повторный запуск при необходимости корректировки параметров. Схема замыкает ветви альтернативных сценариев и завершается событием выгрузки отчёта в файл. В совокупности части 1–3 описывают полный цикл формирования отчётности в сервисе.</w:t>
      </w:r>
    </w:p>
    <w:p w14:paraId="5776DF01">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Первым делом производитель определённой кассы ставит её на учёт в ФНС вместе с присвоенным ей чипом, на котором в дальнейшем будут храниться данные о всех осуществлённых операциях на данном кассовом аппарате.</w:t>
      </w:r>
    </w:p>
    <w:p w14:paraId="06560F1F">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Если требования к кассовому аппарату и чипу, который в данном случае выступает как фискальный накопитель, соответствуют законодательству, то ФНС вносит их заводские номера в реестры.</w:t>
      </w:r>
    </w:p>
    <w:p w14:paraId="2E8EBF00">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После приобретения кассового аппарата пользователь (продавец товаров и осуществляет вход на сайт сервиса Такском-Касса и регистрируется в личном кабинете. После регистрации пользователю присваивается номер и дата договора с оператором фискальных данных, которые в дальнейшем будут необходимы для подачи заявления на регистрацию кассового аппарата в ФНС.</w:t>
      </w:r>
    </w:p>
    <w:p w14:paraId="35423952">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Далее сервис передает сведения о заключенном с пользователем договоре в ФНС, а пользователь, в свою очередь, отправляет заявление на регистрацию кассовой техники в ФНС. </w:t>
      </w:r>
    </w:p>
    <w:p w14:paraId="489DBBDB">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ФНС, проверив данные кассы и фискального накопителя на предмет включения их в реестры, проводит их регистрацию. После этого пользователь получает регистрационный номер кассовой техники и добавляет информацию о ней на своей странице сервиса, указав необходимые реквизиты. </w:t>
      </w:r>
    </w:p>
    <w:p w14:paraId="663C9BD2">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Для формирования отчёта о регистрации пользователь вводит данный регистрационный номер и необходимые реквизиты в свой фискальный накопитель. </w:t>
      </w:r>
    </w:p>
    <w:p w14:paraId="3E32AA45">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Затем отчёт о регистрации направляется пользователем в ФНС через Такском-Кассу в любом удобном для себя виде.  </w:t>
      </w:r>
    </w:p>
    <w:p w14:paraId="38BAF0E2">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Налоговая служба (ФНС) проводит проверку подлинности пользователя и фискального накопителя, используемого в кассовом аппарате, а также проверяет правильность введенных данных. При соблюдении всех требований ФНС выдает пользователю регистрационную карточку для кассового аппарата. </w:t>
      </w:r>
    </w:p>
    <w:p w14:paraId="76B7E371">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Пользователь начинает продажу товаров и услуг потребителям. </w:t>
      </w:r>
    </w:p>
    <w:p w14:paraId="079D61FC">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Покупатель совершает покупку. </w:t>
      </w:r>
    </w:p>
    <w:p w14:paraId="3BC4C4CF">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Фискальный накопитель в кассовом аппарате формирует кассовый чек, содержащий различные данные, включая QR-код. </w:t>
      </w:r>
    </w:p>
    <w:p w14:paraId="06BEFEE3">
      <w:pPr>
        <w:spacing w:before="0" w:after="0"/>
        <w:ind w:firstLine="709"/>
        <w:contextualSpacing/>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Продавец выдает кассовый чек покупателю, который при необходимости может проверить его подлинность, отсканировав QR-код на сайте оператора. </w:t>
      </w:r>
    </w:p>
    <w:p w14:paraId="6844FB17">
      <w:pPr>
        <w:widowControl w:val="0"/>
        <w:autoSpaceDE w:val="0"/>
        <w:autoSpaceDN w:val="0"/>
        <w:adjustRightInd w:val="0"/>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Заключительным этапом является передача данных кассового чека в ФНС через сервис оператора.</w:t>
      </w:r>
    </w:p>
    <w:p w14:paraId="39619D23">
      <w:pPr>
        <w:widowControl w:val="0"/>
        <w:autoSpaceDE w:val="0"/>
        <w:autoSpaceDN w:val="0"/>
        <w:adjustRightInd w:val="0"/>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Данный бизнес-процесс описывает исключительно общую работу самого сервиса, в котором организация осуществляет мониторинг оказания медицинских услуг. </w:t>
      </w:r>
    </w:p>
    <w:p w14:paraId="70D62440">
      <w:pPr>
        <w:widowControl w:val="0"/>
        <w:autoSpaceDE w:val="0"/>
        <w:autoSpaceDN w:val="0"/>
        <w:adjustRightInd w:val="0"/>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Далее будет рассмотрен непосредственно сам процесс формирования аналитической отчётности, который представлен на рисунках 37-38. </w:t>
      </w:r>
    </w:p>
    <w:p w14:paraId="6239919A">
      <w:pPr>
        <w:widowControl w:val="0"/>
        <w:autoSpaceDE w:val="0"/>
        <w:autoSpaceDN w:val="0"/>
        <w:adjustRightInd w:val="0"/>
        <w:spacing w:before="0" w:after="0"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drawing>
          <wp:anchor distT="0" distB="0" distL="114300" distR="114300" simplePos="0" relativeHeight="251670528" behindDoc="0" locked="0" layoutInCell="1" allowOverlap="1">
            <wp:simplePos x="0" y="0"/>
            <wp:positionH relativeFrom="column">
              <wp:posOffset>62865</wp:posOffset>
            </wp:positionH>
            <wp:positionV relativeFrom="paragraph">
              <wp:posOffset>9525</wp:posOffset>
            </wp:positionV>
            <wp:extent cx="4991100" cy="6671310"/>
            <wp:effectExtent l="0" t="0" r="0" b="0"/>
            <wp:wrapSquare wrapText="bothSides"/>
            <wp:docPr id="216075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5181" name="Рисунок 1"/>
                    <pic:cNvPicPr>
                      <a:picLocks noChangeAspect="1"/>
                    </pic:cNvPicPr>
                  </pic:nvPicPr>
                  <pic:blipFill>
                    <a:blip r:embed="rId52" cstate="print">
                      <a:extLst>
                        <a:ext uri="{28A0092B-C50C-407E-A947-70E740481C1C}">
                          <a14:useLocalDpi xmlns:a14="http://schemas.microsoft.com/office/drawing/2010/main" val="0"/>
                        </a:ext>
                      </a:extLst>
                    </a:blip>
                    <a:srcRect b="24887"/>
                    <a:stretch>
                      <a:fillRect/>
                    </a:stretch>
                  </pic:blipFill>
                  <pic:spPr>
                    <a:xfrm>
                      <a:off x="0" y="0"/>
                      <a:ext cx="4991100" cy="6671310"/>
                    </a:xfrm>
                    <a:prstGeom prst="rect">
                      <a:avLst/>
                    </a:prstGeom>
                    <a:ln>
                      <a:noFill/>
                    </a:ln>
                  </pic:spPr>
                </pic:pic>
              </a:graphicData>
            </a:graphic>
          </wp:anchor>
        </w:drawing>
      </w:r>
    </w:p>
    <w:p w14:paraId="4FBE6D60">
      <w:pPr>
        <w:widowControl w:val="0"/>
        <w:autoSpaceDE w:val="0"/>
        <w:autoSpaceDN w:val="0"/>
        <w:adjustRightInd w:val="0"/>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36 — Формализация бизнес-процесса «Осуществить взаимодействие с сервисом Такском-Касса» в нотации ARIS eEPC (четвёртая часть)</w:t>
      </w:r>
    </w:p>
    <w:p w14:paraId="3684AC99">
      <w:pPr>
        <w:spacing w:before="0" w:after="0"/>
        <w:ind w:firstLine="709"/>
        <w:jc w:val="both"/>
      </w:pPr>
      <w:r>
        <w:rPr>
          <w:rFonts w:ascii="Times New Roman" w:hAnsi="Times New Roman"/>
          <w:b w:val="0"/>
          <w:sz w:val="28"/>
        </w:rPr>
        <w:t>Четвёртая часть схемы детализирует дополнительные ветви процесса взаимодействия с сервисом, отражая обработку исключительных ситуаций. Схема показывает действия при технических сбоях или недоступности данных: повторные попытки и переходы к альтернативным режимам. Вместе с первыми тремя частями схема обеспечивает полное покрытие бизнес-процесса в нотации ARIS eEPC.</w:t>
      </w:r>
    </w:p>
    <w:p w14:paraId="643C0C48">
      <w:pPr>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Пользователь переходит на сайт сервиса. В зависимости от своих прав, он либо осуществляет вход в личный кабинет со своим логином и паролем, либо проходит процедуру регистрации. Авторизировавшись, пользователь переходит в специальный раздел «Отчёты», выбирает необходимый и применяет фильтрацию по временному периоду, нужному кассовому аппарату и т.д. Применив необходимые фильтры пользователь нажимает на кнопку формирования отчёта, после чего отчёт сразу выгружается в файле </w:t>
      </w:r>
      <w:r>
        <w:rPr>
          <w:rFonts w:ascii="Times New Roman" w:hAnsi="Times New Roman" w:eastAsia="Times New Roman" w:cs="Times New Roman"/>
          <w:kern w:val="0"/>
          <w:sz w:val="28"/>
          <w:szCs w:val="28"/>
          <w:lang w:val="en-US" w:eastAsia="ru-RU"/>
          <w14:ligatures w14:val="none"/>
        </w:rPr>
        <w:t>Excel</w:t>
      </w:r>
      <w:r>
        <w:rPr>
          <w:rFonts w:ascii="Times New Roman" w:hAnsi="Times New Roman" w:eastAsia="Times New Roman" w:cs="Times New Roman"/>
          <w:kern w:val="0"/>
          <w:sz w:val="28"/>
          <w:szCs w:val="28"/>
          <w:lang w:eastAsia="ru-RU"/>
          <w14:ligatures w14:val="none"/>
        </w:rPr>
        <w:t>.</w:t>
      </w:r>
    </w:p>
    <w:p w14:paraId="6EB019FE">
      <w:pPr>
        <w:spacing w:before="0" w:after="0"/>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Продолжение бизнес-процесса представлено на рисунке 38. </w:t>
      </w:r>
    </w:p>
    <w:p w14:paraId="74E21E6E">
      <w:pPr>
        <w:widowControl w:val="0"/>
        <w:autoSpaceDE w:val="0"/>
        <w:autoSpaceDN w:val="0"/>
        <w:adjustRightInd w:val="0"/>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drawing>
          <wp:anchor distT="0" distB="0" distL="114300" distR="114300" simplePos="0" relativeHeight="251671552" behindDoc="0" locked="0" layoutInCell="1" allowOverlap="1">
            <wp:simplePos x="0" y="0"/>
            <wp:positionH relativeFrom="column">
              <wp:posOffset>434340</wp:posOffset>
            </wp:positionH>
            <wp:positionV relativeFrom="paragraph">
              <wp:posOffset>26670</wp:posOffset>
            </wp:positionV>
            <wp:extent cx="5400675" cy="3362960"/>
            <wp:effectExtent l="0" t="0" r="9525" b="8890"/>
            <wp:wrapSquare wrapText="bothSides"/>
            <wp:docPr id="637206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6365" name="Рисунок 1"/>
                    <pic:cNvPicPr>
                      <a:picLocks noChangeAspect="1"/>
                    </pic:cNvPicPr>
                  </pic:nvPicPr>
                  <pic:blipFill>
                    <a:blip r:embed="rId53" cstate="print">
                      <a:extLst>
                        <a:ext uri="{28A0092B-C50C-407E-A947-70E740481C1C}">
                          <a14:useLocalDpi xmlns:a14="http://schemas.microsoft.com/office/drawing/2010/main" val="0"/>
                        </a:ext>
                      </a:extLst>
                    </a:blip>
                    <a:srcRect t="73136" r="23232"/>
                    <a:stretch>
                      <a:fillRect/>
                    </a:stretch>
                  </pic:blipFill>
                  <pic:spPr>
                    <a:xfrm>
                      <a:off x="0" y="0"/>
                      <a:ext cx="5400675" cy="3362960"/>
                    </a:xfrm>
                    <a:prstGeom prst="rect">
                      <a:avLst/>
                    </a:prstGeom>
                    <a:ln>
                      <a:noFill/>
                    </a:ln>
                  </pic:spPr>
                </pic:pic>
              </a:graphicData>
            </a:graphic>
          </wp:anchor>
        </w:drawing>
      </w:r>
    </w:p>
    <w:p w14:paraId="63BCFCD3">
      <w:pPr>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37 — Формализация бизнес-процесса AS IS «Сформировать аналитическую отчётность для мониторинга оказания медицинских услуг» в нотации ARIS eEPC (первая часть)</w:t>
      </w:r>
    </w:p>
    <w:p w14:paraId="5F66159B">
      <w:pPr>
        <w:spacing w:before="0" w:after="0"/>
        <w:ind w:firstLine="709"/>
        <w:jc w:val="both"/>
      </w:pPr>
      <w:r>
        <w:rPr>
          <w:rFonts w:ascii="Times New Roman" w:hAnsi="Times New Roman"/>
          <w:b w:val="0"/>
          <w:sz w:val="28"/>
        </w:rPr>
        <w:t>Первая часть схемы описывает начальный этап процесса формирования аналитической отчётности: авторизацию пользователя на сайте сервиса, выбор организации и переход к разделу отчётности. Процесс разделён на дорожки «Пользователь» и «ПМД Такском-Касса»; каждый шаг отображён как событие или функция в нотации eEPC. Продолжение процесса представлено на рисунке 38.</w:t>
      </w:r>
    </w:p>
    <w:p w14:paraId="7D41A657">
      <w:pPr>
        <w:spacing w:before="0" w:after="0"/>
        <w:jc w:val="center"/>
      </w:pPr>
      <w:r>
        <w:drawing>
          <wp:inline distT="0" distB="0" distL="114300" distR="114300">
            <wp:extent cx="5759450" cy="12749530"/>
            <wp:effectExtent l="0" t="0" r="6350" b="1270"/>
            <wp:docPr id="2130539292" name="Picture 213053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9292" name="Picture 2130539292"/>
                    <pic:cNvPicPr>
                      <a:picLocks noChangeAspect="1"/>
                    </pic:cNvPicPr>
                  </pic:nvPicPr>
                  <pic:blipFill>
                    <a:blip r:embed="rId54"/>
                    <a:stretch>
                      <a:fillRect/>
                    </a:stretch>
                  </pic:blipFill>
                  <pic:spPr>
                    <a:xfrm>
                      <a:off x="0" y="0"/>
                      <a:ext cx="5760000" cy="12749564"/>
                    </a:xfrm>
                    <a:prstGeom prst="rect">
                      <a:avLst/>
                    </a:prstGeom>
                  </pic:spPr>
                </pic:pic>
              </a:graphicData>
            </a:graphic>
          </wp:inline>
        </w:drawing>
      </w:r>
    </w:p>
    <w:p w14:paraId="3007FA1B">
      <w:pPr>
        <w:widowControl w:val="0"/>
        <w:autoSpaceDE w:val="0"/>
        <w:autoSpaceDN w:val="0"/>
        <w:adjustRightInd w:val="0"/>
        <w:spacing w:before="0" w:after="0" w:line="360" w:lineRule="auto"/>
        <w:jc w:val="center"/>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Рисунок 38 — Формализация бизнес-процесса AS IS «Сформировать аналитическую отчётность для мониторинга оказания медицинских услуг» (вторая часть)</w:t>
      </w:r>
    </w:p>
    <w:p w14:paraId="3DA0FAD0">
      <w:pPr>
        <w:spacing w:before="0" w:after="0"/>
        <w:ind w:firstLine="709"/>
        <w:jc w:val="both"/>
      </w:pPr>
      <w:r>
        <w:rPr>
          <w:rFonts w:ascii="Times New Roman" w:hAnsi="Times New Roman"/>
          <w:b w:val="0"/>
          <w:sz w:val="28"/>
        </w:rPr>
        <w:t>Вторая часть схемы ARIS eEPC продолжает формализацию процесса формирования аналитической отчётности в сервисе «Такском-Касса». На схеме отображены действия пользователя по навигации между разделами отчётности: переходы к разделам отчётов, выбор нужного отчёта и формат выгрузки, а также ветвление по результатам — сохранение отчёта или передача его руководителю. Роли «ПМД “Такском-Касса”» и «Пользователь» чётко разграничены посредством плавательных дорожек. Завершающим событием процесса служит событие «Отчёт выгружен в Excel-файл». Схема в совокупности с первой частью описывает полный цикл работы с аналитической подсистемой сервиса — от входа в личный кабинет до получения готового отчёта.</w:t>
      </w:r>
    </w:p>
    <w:p w14:paraId="7C3142E4">
      <w:pPr>
        <w:pStyle w:val="2"/>
        <w:pageBreakBefore/>
        <w:spacing w:before="0" w:after="0"/>
        <w:jc w:val="center"/>
      </w:pPr>
      <w:bookmarkStart w:id="24" w:name="_Toc532698941"/>
      <w:r>
        <w:rPr>
          <w:rFonts w:ascii="Times New Roman" w:hAnsi="Times New Roman"/>
          <w:b/>
          <w:sz w:val="28"/>
        </w:rPr>
        <w:t>ПРИЛОЖЕНИЕ Б</w:t>
      </w:r>
      <w:bookmarkEnd w:id="24"/>
    </w:p>
    <w:p w14:paraId="3867CE25">
      <w:pPr>
        <w:spacing w:before="0" w:after="0"/>
        <w:ind w:firstLine="709"/>
        <w:jc w:val="both"/>
      </w:pPr>
      <w:r>
        <w:rPr>
          <w:rFonts w:ascii="Times New Roman" w:hAnsi="Times New Roman"/>
          <w:b w:val="0"/>
          <w:sz w:val="28"/>
        </w:rPr>
        <w:t>Часть параметров расчёта экономической эффективности (раздел 3.3) принята как модельные допущения: фактические данные конкретной клиники по ним отсутствуют, поэтому за основу взяты отраслевые бенчмарки или косвенные расчётные оценки. Для каждого параметра таблица содержит публичный источник, диапазон значений и основание выбора конкретной цифры. Параметры, по которым верифицированных российских данных не найдено, явно помечены как модельная оценка и подлежат замене фактическими данными клиники по итогам пилота.</w:t>
      </w:r>
    </w:p>
    <w:p w14:paraId="60245A48">
      <w:pPr>
        <w:spacing w:before="0" w:after="0"/>
        <w:jc w:val="left"/>
      </w:pPr>
      <w:r>
        <w:rPr>
          <w:rFonts w:ascii="Times New Roman" w:hAnsi="Times New Roman"/>
          <w:b w:val="0"/>
          <w:sz w:val="28"/>
        </w:rPr>
        <w:t>Таблица 50 — Обоснование модельных допущений экономического расчёта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2338"/>
        <w:gridCol w:w="2338"/>
        <w:gridCol w:w="2338"/>
      </w:tblGrid>
      <w:tr w14:paraId="6F2C2D62">
        <w:tc>
          <w:tcPr>
            <w:tcW w:w="2338" w:type="dxa"/>
          </w:tcPr>
          <w:p w14:paraId="4CD87E80">
            <w:pPr>
              <w:spacing w:before="0" w:after="0" w:line="240" w:lineRule="auto"/>
              <w:ind w:firstLine="0"/>
              <w:jc w:val="both"/>
              <w:rPr>
                <w:kern w:val="0"/>
                <w14:ligatures w14:val="none"/>
              </w:rPr>
            </w:pPr>
            <w:r>
              <w:rPr>
                <w:rFonts w:ascii="Times New Roman" w:hAnsi="Times New Roman"/>
                <w:b/>
                <w:kern w:val="0"/>
                <w:sz w:val="24"/>
                <w14:ligatures w14:val="none"/>
              </w:rPr>
              <w:t>Допущение / параметр</w:t>
            </w:r>
          </w:p>
        </w:tc>
        <w:tc>
          <w:tcPr>
            <w:tcW w:w="2338" w:type="dxa"/>
          </w:tcPr>
          <w:p w14:paraId="45801FBD">
            <w:pPr>
              <w:spacing w:before="0" w:after="0" w:line="240" w:lineRule="auto"/>
              <w:ind w:firstLine="0"/>
              <w:jc w:val="both"/>
              <w:rPr>
                <w:kern w:val="0"/>
                <w14:ligatures w14:val="none"/>
              </w:rPr>
            </w:pPr>
            <w:r>
              <w:rPr>
                <w:rFonts w:ascii="Times New Roman" w:hAnsi="Times New Roman"/>
                <w:b/>
                <w:kern w:val="0"/>
                <w:sz w:val="24"/>
                <w14:ligatures w14:val="none"/>
              </w:rPr>
              <w:t>Значение</w:t>
            </w:r>
          </w:p>
        </w:tc>
        <w:tc>
          <w:tcPr>
            <w:tcW w:w="2338" w:type="dxa"/>
          </w:tcPr>
          <w:p w14:paraId="54C9C856">
            <w:pPr>
              <w:spacing w:before="0" w:after="0" w:line="240" w:lineRule="auto"/>
              <w:ind w:firstLine="0"/>
              <w:jc w:val="both"/>
              <w:rPr>
                <w:kern w:val="0"/>
                <w14:ligatures w14:val="none"/>
              </w:rPr>
            </w:pPr>
            <w:r>
              <w:rPr>
                <w:rFonts w:ascii="Times New Roman" w:hAnsi="Times New Roman"/>
                <w:b/>
                <w:kern w:val="0"/>
                <w:sz w:val="24"/>
                <w14:ligatures w14:val="none"/>
              </w:rPr>
              <w:t>Публичный источник</w:t>
            </w:r>
          </w:p>
        </w:tc>
        <w:tc>
          <w:tcPr>
            <w:tcW w:w="2338" w:type="dxa"/>
          </w:tcPr>
          <w:p w14:paraId="5619741D">
            <w:pPr>
              <w:spacing w:before="0" w:after="0" w:line="240" w:lineRule="auto"/>
              <w:ind w:firstLine="0"/>
              <w:jc w:val="both"/>
              <w:rPr>
                <w:kern w:val="0"/>
                <w14:ligatures w14:val="none"/>
              </w:rPr>
            </w:pPr>
            <w:r>
              <w:rPr>
                <w:rFonts w:ascii="Times New Roman" w:hAnsi="Times New Roman"/>
                <w:b/>
                <w:kern w:val="0"/>
                <w:sz w:val="24"/>
                <w14:ligatures w14:val="none"/>
              </w:rPr>
              <w:t>Обоснование диапазона</w:t>
            </w:r>
          </w:p>
        </w:tc>
      </w:tr>
      <w:tr w14:paraId="168E3C5F">
        <w:tc>
          <w:tcPr>
            <w:tcW w:w="2338" w:type="dxa"/>
          </w:tcPr>
          <w:p w14:paraId="72F954F8">
            <w:pPr>
              <w:spacing w:before="0" w:after="0" w:line="240" w:lineRule="auto"/>
              <w:ind w:firstLine="0"/>
              <w:jc w:val="both"/>
              <w:rPr>
                <w:kern w:val="0"/>
                <w14:ligatures w14:val="none"/>
              </w:rPr>
            </w:pPr>
            <w:r>
              <w:rPr>
                <w:rFonts w:ascii="Times New Roman" w:hAnsi="Times New Roman"/>
                <w:b w:val="0"/>
                <w:kern w:val="0"/>
                <w:sz w:val="24"/>
                <w14:ligatures w14:val="none"/>
              </w:rPr>
              <w:t>Средний LTV пациента</w:t>
            </w:r>
          </w:p>
        </w:tc>
        <w:tc>
          <w:tcPr>
            <w:tcW w:w="2338" w:type="dxa"/>
          </w:tcPr>
          <w:p w14:paraId="1A959437">
            <w:pPr>
              <w:spacing w:before="0" w:after="0" w:line="240" w:lineRule="auto"/>
              <w:ind w:firstLine="0"/>
              <w:jc w:val="both"/>
              <w:rPr>
                <w:kern w:val="0"/>
                <w14:ligatures w14:val="none"/>
              </w:rPr>
            </w:pPr>
            <w:r>
              <w:rPr>
                <w:rFonts w:ascii="Times New Roman" w:hAnsi="Times New Roman"/>
                <w:b w:val="0"/>
                <w:kern w:val="0"/>
                <w:sz w:val="24"/>
                <w14:ligatures w14:val="none"/>
              </w:rPr>
              <w:t>120 000 руб.</w:t>
            </w:r>
          </w:p>
        </w:tc>
        <w:tc>
          <w:tcPr>
            <w:tcW w:w="2338" w:type="dxa"/>
          </w:tcPr>
          <w:p w14:paraId="79B90ABF">
            <w:pPr>
              <w:spacing w:before="0" w:after="0" w:line="240" w:lineRule="auto"/>
              <w:ind w:firstLine="0"/>
              <w:jc w:val="both"/>
              <w:rPr>
                <w:kern w:val="0"/>
                <w14:ligatures w14:val="none"/>
              </w:rPr>
            </w:pPr>
            <w:r>
              <w:rPr>
                <w:rFonts w:ascii="Times New Roman" w:hAnsi="Times New Roman"/>
                <w:b w:val="0"/>
                <w:kern w:val="0"/>
                <w:sz w:val="24"/>
                <w14:ligatures w14:val="none"/>
              </w:rPr>
              <w:t>B5: модельная оценка по B2 (ср. чек 10 108 руб.) и B7 (2–3 визита/год); dentalsem.ru, 2024. Диапазон 120 000–400 000 руб., на согласование с заказчиком</w:t>
            </w:r>
          </w:p>
        </w:tc>
        <w:tc>
          <w:tcPr>
            <w:tcW w:w="2338" w:type="dxa"/>
          </w:tcPr>
          <w:p w14:paraId="216A2047">
            <w:pPr>
              <w:spacing w:before="0" w:after="0" w:line="240" w:lineRule="auto"/>
              <w:ind w:firstLine="0"/>
              <w:jc w:val="both"/>
              <w:rPr>
                <w:kern w:val="0"/>
                <w14:ligatures w14:val="none"/>
              </w:rPr>
            </w:pPr>
            <w:r>
              <w:rPr>
                <w:rFonts w:ascii="Times New Roman" w:hAnsi="Times New Roman"/>
                <w:b w:val="0"/>
                <w:kern w:val="0"/>
                <w:sz w:val="24"/>
                <w14:ligatures w14:val="none"/>
              </w:rPr>
              <w:t>Ср. чек × 2 визита/год × 4–10 лет удержания. 120 000 руб. — нижний порог при 4 годах минимальной активности; 400 000 руб. — при высокой активности пациента. Фактических данных клиники нет</w:t>
            </w:r>
          </w:p>
        </w:tc>
      </w:tr>
      <w:tr w14:paraId="27004A75">
        <w:tc>
          <w:tcPr>
            <w:tcW w:w="2338" w:type="dxa"/>
          </w:tcPr>
          <w:p w14:paraId="6EFD08DA">
            <w:pPr>
              <w:spacing w:before="0" w:after="0" w:line="240" w:lineRule="auto"/>
              <w:ind w:firstLine="0"/>
              <w:jc w:val="both"/>
              <w:rPr>
                <w:kern w:val="0"/>
                <w14:ligatures w14:val="none"/>
              </w:rPr>
            </w:pPr>
            <w:r>
              <w:rPr>
                <w:rFonts w:ascii="Times New Roman" w:hAnsi="Times New Roman"/>
                <w:b w:val="0"/>
                <w:kern w:val="0"/>
                <w:sz w:val="24"/>
                <w14:ligatures w14:val="none"/>
              </w:rPr>
              <w:t>Активные пациенты одной клиники в год</w:t>
            </w:r>
          </w:p>
        </w:tc>
        <w:tc>
          <w:tcPr>
            <w:tcW w:w="2338" w:type="dxa"/>
          </w:tcPr>
          <w:p w14:paraId="2F86924A">
            <w:pPr>
              <w:spacing w:before="0" w:after="0" w:line="240" w:lineRule="auto"/>
              <w:ind w:firstLine="0"/>
              <w:jc w:val="both"/>
              <w:rPr>
                <w:kern w:val="0"/>
                <w14:ligatures w14:val="none"/>
              </w:rPr>
            </w:pPr>
            <w:r>
              <w:rPr>
                <w:rFonts w:ascii="Times New Roman" w:hAnsi="Times New Roman"/>
                <w:b w:val="0"/>
                <w:kern w:val="0"/>
                <w:sz w:val="24"/>
                <w14:ligatures w14:val="none"/>
              </w:rPr>
              <w:t>6 000 чел.</w:t>
            </w:r>
          </w:p>
        </w:tc>
        <w:tc>
          <w:tcPr>
            <w:tcW w:w="2338" w:type="dxa"/>
          </w:tcPr>
          <w:p w14:paraId="72F7A560">
            <w:pPr>
              <w:spacing w:before="0" w:after="0" w:line="240" w:lineRule="auto"/>
              <w:ind w:firstLine="0"/>
              <w:jc w:val="both"/>
              <w:rPr>
                <w:kern w:val="0"/>
                <w14:ligatures w14:val="none"/>
              </w:rPr>
            </w:pPr>
            <w:r>
              <w:rPr>
                <w:rFonts w:ascii="Times New Roman" w:hAnsi="Times New Roman"/>
                <w:b w:val="0"/>
                <w:kern w:val="0"/>
                <w:sz w:val="24"/>
                <w14:ligatures w14:val="none"/>
              </w:rPr>
              <w:t>B7: модельная оценка (международный бенчмарк). Jarvis Analytics, 2024; FollowApp 2024. Диапазон 4 000–8 000 чел., на согласование с заказчиком</w:t>
            </w:r>
          </w:p>
        </w:tc>
        <w:tc>
          <w:tcPr>
            <w:tcW w:w="2338" w:type="dxa"/>
          </w:tcPr>
          <w:p w14:paraId="154EFF58">
            <w:pPr>
              <w:spacing w:before="0" w:after="0" w:line="240" w:lineRule="auto"/>
              <w:ind w:firstLine="0"/>
              <w:jc w:val="both"/>
              <w:rPr>
                <w:kern w:val="0"/>
                <w14:ligatures w14:val="none"/>
              </w:rPr>
            </w:pPr>
            <w:r>
              <w:rPr>
                <w:rFonts w:ascii="Times New Roman" w:hAnsi="Times New Roman"/>
                <w:b w:val="0"/>
                <w:kern w:val="0"/>
                <w:sz w:val="24"/>
                <w14:ligatures w14:val="none"/>
              </w:rPr>
              <w:t>1 500–2 300 активных пациентов на врача (международный бенчмарк). Для клиники 3–4 кресла: 4 500–9 200 чел. 6 000 — медианная оценка. Данных клиники нет</w:t>
            </w:r>
          </w:p>
        </w:tc>
      </w:tr>
      <w:tr w14:paraId="531F9542">
        <w:tc>
          <w:tcPr>
            <w:tcW w:w="2338" w:type="dxa"/>
          </w:tcPr>
          <w:p w14:paraId="34692700">
            <w:pPr>
              <w:spacing w:before="0" w:after="0" w:line="240" w:lineRule="auto"/>
              <w:ind w:firstLine="0"/>
              <w:jc w:val="both"/>
              <w:rPr>
                <w:kern w:val="0"/>
                <w14:ligatures w14:val="none"/>
              </w:rPr>
            </w:pPr>
            <w:r>
              <w:rPr>
                <w:rFonts w:ascii="Times New Roman" w:hAnsi="Times New Roman"/>
                <w:b w:val="0"/>
                <w:kern w:val="0"/>
                <w:sz w:val="24"/>
                <w14:ligatures w14:val="none"/>
              </w:rPr>
              <w:t>Визитов на активного пациента в год</w:t>
            </w:r>
          </w:p>
        </w:tc>
        <w:tc>
          <w:tcPr>
            <w:tcW w:w="2338" w:type="dxa"/>
          </w:tcPr>
          <w:p w14:paraId="1C8C1033">
            <w:pPr>
              <w:spacing w:before="0" w:after="0" w:line="240" w:lineRule="auto"/>
              <w:ind w:firstLine="0"/>
              <w:jc w:val="both"/>
              <w:rPr>
                <w:kern w:val="0"/>
                <w14:ligatures w14:val="none"/>
              </w:rPr>
            </w:pPr>
            <w:r>
              <w:rPr>
                <w:rFonts w:ascii="Times New Roman" w:hAnsi="Times New Roman"/>
                <w:b w:val="0"/>
                <w:kern w:val="0"/>
                <w:sz w:val="24"/>
                <w14:ligatures w14:val="none"/>
              </w:rPr>
              <w:t>2,5</w:t>
            </w:r>
          </w:p>
        </w:tc>
        <w:tc>
          <w:tcPr>
            <w:tcW w:w="2338" w:type="dxa"/>
          </w:tcPr>
          <w:p w14:paraId="2E767826">
            <w:pPr>
              <w:spacing w:before="0" w:after="0" w:line="240" w:lineRule="auto"/>
              <w:ind w:firstLine="0"/>
              <w:jc w:val="both"/>
              <w:rPr>
                <w:kern w:val="0"/>
                <w14:ligatures w14:val="none"/>
              </w:rPr>
            </w:pPr>
            <w:r>
              <w:rPr>
                <w:rFonts w:ascii="Times New Roman" w:hAnsi="Times New Roman"/>
                <w:b w:val="0"/>
                <w:kern w:val="0"/>
                <w:sz w:val="24"/>
                <w14:ligatures w14:val="none"/>
              </w:rPr>
              <w:t>B7: международный бенчмарк. Jarvis Analytics, 2024; FollowApp 2024. Диапазон 2,0–3,0, на согласование с заказчиком</w:t>
            </w:r>
          </w:p>
        </w:tc>
        <w:tc>
          <w:tcPr>
            <w:tcW w:w="2338" w:type="dxa"/>
          </w:tcPr>
          <w:p w14:paraId="5278CB9D">
            <w:pPr>
              <w:spacing w:before="0" w:after="0" w:line="240" w:lineRule="auto"/>
              <w:ind w:firstLine="0"/>
              <w:jc w:val="both"/>
              <w:rPr>
                <w:kern w:val="0"/>
                <w14:ligatures w14:val="none"/>
              </w:rPr>
            </w:pPr>
            <w:r>
              <w:rPr>
                <w:rFonts w:ascii="Times New Roman" w:hAnsi="Times New Roman"/>
                <w:b w:val="0"/>
                <w:kern w:val="0"/>
                <w:sz w:val="24"/>
                <w14:ligatures w14:val="none"/>
              </w:rPr>
              <w:t>Профилактический минимум — 2 визита/год; фактически по отрасли — 2–3. 2,5 — среднее значение. Данных клиники нет</w:t>
            </w:r>
          </w:p>
        </w:tc>
      </w:tr>
      <w:tr w14:paraId="2F2E3360">
        <w:tc>
          <w:tcPr>
            <w:tcW w:w="2338" w:type="dxa"/>
          </w:tcPr>
          <w:p w14:paraId="7EF3D134">
            <w:pPr>
              <w:spacing w:before="0" w:after="0" w:line="240" w:lineRule="auto"/>
              <w:ind w:firstLine="0"/>
              <w:jc w:val="both"/>
              <w:rPr>
                <w:kern w:val="0"/>
                <w14:ligatures w14:val="none"/>
              </w:rPr>
            </w:pPr>
            <w:r>
              <w:rPr>
                <w:rFonts w:ascii="Times New Roman" w:hAnsi="Times New Roman"/>
                <w:b w:val="0"/>
                <w:kern w:val="0"/>
                <w:sz w:val="24"/>
                <w14:ligatures w14:val="none"/>
              </w:rPr>
              <w:t>Плановый прирост удержания от приложения</w:t>
            </w:r>
          </w:p>
        </w:tc>
        <w:tc>
          <w:tcPr>
            <w:tcW w:w="2338" w:type="dxa"/>
          </w:tcPr>
          <w:p w14:paraId="716F9E6A">
            <w:pPr>
              <w:spacing w:before="0" w:after="0" w:line="240" w:lineRule="auto"/>
              <w:ind w:firstLine="0"/>
              <w:jc w:val="both"/>
              <w:rPr>
                <w:kern w:val="0"/>
                <w14:ligatures w14:val="none"/>
              </w:rPr>
            </w:pPr>
            <w:r>
              <w:rPr>
                <w:rFonts w:ascii="Times New Roman" w:hAnsi="Times New Roman"/>
                <w:b w:val="0"/>
                <w:kern w:val="0"/>
                <w:sz w:val="24"/>
                <w14:ligatures w14:val="none"/>
              </w:rPr>
              <w:t>+3,0 п.п.</w:t>
            </w:r>
          </w:p>
        </w:tc>
        <w:tc>
          <w:tcPr>
            <w:tcW w:w="2338" w:type="dxa"/>
          </w:tcPr>
          <w:p w14:paraId="2E31FA25">
            <w:pPr>
              <w:spacing w:before="0" w:after="0" w:line="240" w:lineRule="auto"/>
              <w:ind w:firstLine="0"/>
              <w:jc w:val="both"/>
              <w:rPr>
                <w:kern w:val="0"/>
                <w14:ligatures w14:val="none"/>
              </w:rPr>
            </w:pPr>
            <w:r>
              <w:rPr>
                <w:rFonts w:ascii="Times New Roman" w:hAnsi="Times New Roman"/>
                <w:b w:val="0"/>
                <w:kern w:val="0"/>
                <w:sz w:val="24"/>
                <w14:ligatures w14:val="none"/>
              </w:rPr>
              <w:t>B8: модельная оценка (смежные специализации). PMC / Scoping Review «Mobile Phone Apps in Oral Health», 2023; Meta-analysis TJA Apps, 2023. Диапазон +1,5–5,0 п.п., на согласование с заказчиком</w:t>
            </w:r>
          </w:p>
        </w:tc>
        <w:tc>
          <w:tcPr>
            <w:tcW w:w="2338" w:type="dxa"/>
          </w:tcPr>
          <w:p w14:paraId="04D3EF1F">
            <w:pPr>
              <w:spacing w:before="0" w:after="0" w:line="240" w:lineRule="auto"/>
              <w:ind w:firstLine="0"/>
              <w:jc w:val="both"/>
              <w:rPr>
                <w:kern w:val="0"/>
                <w14:ligatures w14:val="none"/>
              </w:rPr>
            </w:pPr>
            <w:r>
              <w:rPr>
                <w:rFonts w:ascii="Times New Roman" w:hAnsi="Times New Roman"/>
                <w:b w:val="0"/>
                <w:kern w:val="0"/>
                <w:sz w:val="24"/>
                <w14:ligatures w14:val="none"/>
              </w:rPr>
              <w:t>Прямых данных по стоматология + мобильное приложение + удержание в РФ нет. WeChat-ортодонтия: неявки снизились с 10,9% до 3,1% (–71%). TJA-приложения: OR 4,6 на соблюдение протоколов. +3,0 п.п. — консервативный перенос эффекта</w:t>
            </w:r>
          </w:p>
        </w:tc>
      </w:tr>
      <w:tr w14:paraId="5DD6589C">
        <w:tc>
          <w:tcPr>
            <w:tcW w:w="2338" w:type="dxa"/>
          </w:tcPr>
          <w:p w14:paraId="0A1FAC49">
            <w:pPr>
              <w:spacing w:before="0" w:after="0" w:line="240" w:lineRule="auto"/>
              <w:ind w:firstLine="0"/>
              <w:jc w:val="both"/>
              <w:rPr>
                <w:kern w:val="0"/>
                <w14:ligatures w14:val="none"/>
              </w:rPr>
            </w:pPr>
            <w:r>
              <w:rPr>
                <w:rFonts w:ascii="Times New Roman" w:hAnsi="Times New Roman"/>
                <w:b w:val="0"/>
                <w:kern w:val="0"/>
                <w:sz w:val="24"/>
                <w14:ligatures w14:val="none"/>
              </w:rPr>
              <w:t>CAPEX M1 (мес. 1–3): ТЗ, архитектура, дизайн, инфраструктура</w:t>
            </w:r>
          </w:p>
        </w:tc>
        <w:tc>
          <w:tcPr>
            <w:tcW w:w="2338" w:type="dxa"/>
          </w:tcPr>
          <w:p w14:paraId="062E0210">
            <w:pPr>
              <w:spacing w:before="0" w:after="0" w:line="240" w:lineRule="auto"/>
              <w:ind w:firstLine="0"/>
              <w:jc w:val="both"/>
              <w:rPr>
                <w:kern w:val="0"/>
                <w14:ligatures w14:val="none"/>
              </w:rPr>
            </w:pPr>
            <w:r>
              <w:rPr>
                <w:rFonts w:ascii="Times New Roman" w:hAnsi="Times New Roman"/>
                <w:b w:val="0"/>
                <w:kern w:val="0"/>
                <w:sz w:val="24"/>
                <w14:ligatures w14:val="none"/>
              </w:rPr>
              <w:t>7,0 млн руб.</w:t>
            </w:r>
          </w:p>
        </w:tc>
        <w:tc>
          <w:tcPr>
            <w:tcW w:w="2338" w:type="dxa"/>
          </w:tcPr>
          <w:p w14:paraId="1BF2BD89">
            <w:pPr>
              <w:spacing w:before="0" w:after="0" w:line="240" w:lineRule="auto"/>
              <w:ind w:firstLine="0"/>
              <w:jc w:val="both"/>
              <w:rPr>
                <w:kern w:val="0"/>
                <w14:ligatures w14:val="none"/>
              </w:rPr>
            </w:pPr>
            <w:r>
              <w:rPr>
                <w:rFonts w:ascii="Times New Roman" w:hAnsi="Times New Roman"/>
                <w:b w:val="0"/>
                <w:kern w:val="0"/>
                <w:sz w:val="24"/>
                <w14:ligatures w14:val="none"/>
              </w:rPr>
              <w:t>B9: Habr Career / Яндекс Практикум, осень 2025 – апрель 2026. Диапазон 6,0–9,0 млн руб., на согласование с заказчиком</w:t>
            </w:r>
          </w:p>
        </w:tc>
        <w:tc>
          <w:tcPr>
            <w:tcW w:w="2338" w:type="dxa"/>
          </w:tcPr>
          <w:p w14:paraId="537F90B5">
            <w:pPr>
              <w:spacing w:before="0" w:after="0" w:line="240" w:lineRule="auto"/>
              <w:ind w:firstLine="0"/>
              <w:jc w:val="both"/>
              <w:rPr>
                <w:kern w:val="0"/>
                <w14:ligatures w14:val="none"/>
              </w:rPr>
            </w:pPr>
            <w:r>
              <w:rPr>
                <w:rFonts w:ascii="Times New Roman" w:hAnsi="Times New Roman"/>
                <w:b w:val="0"/>
                <w:kern w:val="0"/>
                <w:sz w:val="24"/>
                <w14:ligatures w14:val="none"/>
              </w:rPr>
              <w:t>Команда 5–6 чел. (backend middle 244 000 руб./мес., DevOps 257 000 руб./мес.) × 3 мес. + накладные. Ставки фактических подрядчиков не известны</w:t>
            </w:r>
          </w:p>
        </w:tc>
      </w:tr>
      <w:tr w14:paraId="678C898F">
        <w:tc>
          <w:tcPr>
            <w:tcW w:w="2338" w:type="dxa"/>
          </w:tcPr>
          <w:p w14:paraId="0201021D">
            <w:pPr>
              <w:spacing w:before="0" w:after="0" w:line="240" w:lineRule="auto"/>
              <w:ind w:firstLine="0"/>
              <w:jc w:val="both"/>
              <w:rPr>
                <w:kern w:val="0"/>
                <w14:ligatures w14:val="none"/>
              </w:rPr>
            </w:pPr>
            <w:r>
              <w:rPr>
                <w:rFonts w:ascii="Times New Roman" w:hAnsi="Times New Roman"/>
                <w:b w:val="0"/>
                <w:kern w:val="0"/>
                <w:sz w:val="24"/>
                <w14:ligatures w14:val="none"/>
              </w:rPr>
              <w:t>CAPEX M2 (мес. 4–6): пациентский контур и админ-кабинет</w:t>
            </w:r>
          </w:p>
        </w:tc>
        <w:tc>
          <w:tcPr>
            <w:tcW w:w="2338" w:type="dxa"/>
          </w:tcPr>
          <w:p w14:paraId="3D8100EA">
            <w:pPr>
              <w:spacing w:before="0" w:after="0" w:line="240" w:lineRule="auto"/>
              <w:ind w:firstLine="0"/>
              <w:jc w:val="both"/>
              <w:rPr>
                <w:kern w:val="0"/>
                <w14:ligatures w14:val="none"/>
              </w:rPr>
            </w:pPr>
            <w:r>
              <w:rPr>
                <w:rFonts w:ascii="Times New Roman" w:hAnsi="Times New Roman"/>
                <w:b w:val="0"/>
                <w:kern w:val="0"/>
                <w:sz w:val="24"/>
                <w14:ligatures w14:val="none"/>
              </w:rPr>
              <w:t>11,0 млн руб.</w:t>
            </w:r>
          </w:p>
        </w:tc>
        <w:tc>
          <w:tcPr>
            <w:tcW w:w="2338" w:type="dxa"/>
          </w:tcPr>
          <w:p w14:paraId="24E4D239">
            <w:pPr>
              <w:spacing w:before="0" w:after="0" w:line="240" w:lineRule="auto"/>
              <w:ind w:firstLine="0"/>
              <w:jc w:val="both"/>
              <w:rPr>
                <w:kern w:val="0"/>
                <w14:ligatures w14:val="none"/>
              </w:rPr>
            </w:pPr>
            <w:r>
              <w:rPr>
                <w:rFonts w:ascii="Times New Roman" w:hAnsi="Times New Roman"/>
                <w:b w:val="0"/>
                <w:kern w:val="0"/>
                <w:sz w:val="24"/>
                <w14:ligatures w14:val="none"/>
              </w:rPr>
              <w:t>B9: Habr Career / Яндекс Практикум, осень 2025 – апрель 2026. Диапазон 9,0–14,0 млн руб., на согласование с заказчиком</w:t>
            </w:r>
          </w:p>
        </w:tc>
        <w:tc>
          <w:tcPr>
            <w:tcW w:w="2338" w:type="dxa"/>
          </w:tcPr>
          <w:p w14:paraId="79E9531C">
            <w:pPr>
              <w:spacing w:before="0" w:after="0" w:line="240" w:lineRule="auto"/>
              <w:ind w:firstLine="0"/>
              <w:jc w:val="both"/>
              <w:rPr>
                <w:kern w:val="0"/>
                <w14:ligatures w14:val="none"/>
              </w:rPr>
            </w:pPr>
            <w:r>
              <w:rPr>
                <w:rFonts w:ascii="Times New Roman" w:hAnsi="Times New Roman"/>
                <w:b w:val="0"/>
                <w:kern w:val="0"/>
                <w:sz w:val="24"/>
                <w14:ligatures w14:val="none"/>
              </w:rPr>
              <w:t>Наибольшая трудоёмкость: бизнес-логика, интеграции с МИС, iOS/Android-клиенты. Команда расширяется. Ставки фактических подрядчиков не известны</w:t>
            </w:r>
          </w:p>
        </w:tc>
      </w:tr>
      <w:tr w14:paraId="422E808F">
        <w:tc>
          <w:tcPr>
            <w:tcW w:w="2338" w:type="dxa"/>
          </w:tcPr>
          <w:p w14:paraId="2381006E">
            <w:pPr>
              <w:spacing w:before="0" w:after="0" w:line="240" w:lineRule="auto"/>
              <w:ind w:firstLine="0"/>
              <w:jc w:val="both"/>
              <w:rPr>
                <w:kern w:val="0"/>
                <w14:ligatures w14:val="none"/>
              </w:rPr>
            </w:pPr>
            <w:r>
              <w:rPr>
                <w:rFonts w:ascii="Times New Roman" w:hAnsi="Times New Roman"/>
                <w:b w:val="0"/>
                <w:kern w:val="0"/>
                <w:sz w:val="24"/>
                <w14:ligatures w14:val="none"/>
              </w:rPr>
              <w:t>CAPEX M3 (мес. 7–9): интеграции, стабилизация, пилот</w:t>
            </w:r>
          </w:p>
        </w:tc>
        <w:tc>
          <w:tcPr>
            <w:tcW w:w="2338" w:type="dxa"/>
          </w:tcPr>
          <w:p w14:paraId="77B78828">
            <w:pPr>
              <w:spacing w:before="0" w:after="0" w:line="240" w:lineRule="auto"/>
              <w:ind w:firstLine="0"/>
              <w:jc w:val="both"/>
              <w:rPr>
                <w:kern w:val="0"/>
                <w14:ligatures w14:val="none"/>
              </w:rPr>
            </w:pPr>
            <w:r>
              <w:rPr>
                <w:rFonts w:ascii="Times New Roman" w:hAnsi="Times New Roman"/>
                <w:b w:val="0"/>
                <w:kern w:val="0"/>
                <w:sz w:val="24"/>
                <w14:ligatures w14:val="none"/>
              </w:rPr>
              <w:t>5,5 млн руб.</w:t>
            </w:r>
          </w:p>
        </w:tc>
        <w:tc>
          <w:tcPr>
            <w:tcW w:w="2338" w:type="dxa"/>
          </w:tcPr>
          <w:p w14:paraId="6345FD23">
            <w:pPr>
              <w:spacing w:before="0" w:after="0" w:line="240" w:lineRule="auto"/>
              <w:ind w:firstLine="0"/>
              <w:jc w:val="both"/>
              <w:rPr>
                <w:kern w:val="0"/>
                <w14:ligatures w14:val="none"/>
              </w:rPr>
            </w:pPr>
            <w:r>
              <w:rPr>
                <w:rFonts w:ascii="Times New Roman" w:hAnsi="Times New Roman"/>
                <w:b w:val="0"/>
                <w:kern w:val="0"/>
                <w:sz w:val="24"/>
                <w14:ligatures w14:val="none"/>
              </w:rPr>
              <w:t>B9: Habr Career / Яндекс Практикум, осень 2025 – апрель 2026. Диапазон 4,5–7,5 млн руб., на согласование с заказчиком</w:t>
            </w:r>
          </w:p>
        </w:tc>
        <w:tc>
          <w:tcPr>
            <w:tcW w:w="2338" w:type="dxa"/>
          </w:tcPr>
          <w:p w14:paraId="3537AD9D">
            <w:pPr>
              <w:spacing w:before="0" w:after="0" w:line="240" w:lineRule="auto"/>
              <w:ind w:firstLine="0"/>
              <w:jc w:val="both"/>
              <w:rPr>
                <w:kern w:val="0"/>
                <w14:ligatures w14:val="none"/>
              </w:rPr>
            </w:pPr>
            <w:r>
              <w:rPr>
                <w:rFonts w:ascii="Times New Roman" w:hAnsi="Times New Roman"/>
                <w:b w:val="0"/>
                <w:kern w:val="0"/>
                <w:sz w:val="24"/>
                <w14:ligatures w14:val="none"/>
              </w:rPr>
              <w:t>Фаза стабилизации: меньший состав команды; акцент на тестировании и развёртывании. Ставки фактических подрядчиков не известны</w:t>
            </w:r>
          </w:p>
        </w:tc>
      </w:tr>
      <w:tr w14:paraId="6F732F0D">
        <w:tc>
          <w:tcPr>
            <w:tcW w:w="2338" w:type="dxa"/>
          </w:tcPr>
          <w:p w14:paraId="57D01E35">
            <w:pPr>
              <w:spacing w:before="0" w:after="0" w:line="240" w:lineRule="auto"/>
              <w:ind w:firstLine="0"/>
              <w:jc w:val="both"/>
              <w:rPr>
                <w:kern w:val="0"/>
                <w14:ligatures w14:val="none"/>
              </w:rPr>
            </w:pPr>
            <w:r>
              <w:rPr>
                <w:rFonts w:ascii="Times New Roman" w:hAnsi="Times New Roman"/>
                <w:b w:val="0"/>
                <w:kern w:val="0"/>
                <w:sz w:val="24"/>
                <w14:ligatures w14:val="none"/>
              </w:rPr>
              <w:t>CAPEX: непрямые расходы (HR, менеджмент, юридическое сопровождение)</w:t>
            </w:r>
          </w:p>
        </w:tc>
        <w:tc>
          <w:tcPr>
            <w:tcW w:w="2338" w:type="dxa"/>
          </w:tcPr>
          <w:p w14:paraId="6281BA93">
            <w:pPr>
              <w:spacing w:before="0" w:after="0" w:line="240" w:lineRule="auto"/>
              <w:ind w:firstLine="0"/>
              <w:jc w:val="both"/>
              <w:rPr>
                <w:kern w:val="0"/>
                <w14:ligatures w14:val="none"/>
              </w:rPr>
            </w:pPr>
            <w:r>
              <w:rPr>
                <w:rFonts w:ascii="Times New Roman" w:hAnsi="Times New Roman"/>
                <w:b w:val="0"/>
                <w:kern w:val="0"/>
                <w:sz w:val="24"/>
                <w14:ligatures w14:val="none"/>
              </w:rPr>
              <w:t>1,5 млн руб.</w:t>
            </w:r>
          </w:p>
        </w:tc>
        <w:tc>
          <w:tcPr>
            <w:tcW w:w="2338" w:type="dxa"/>
          </w:tcPr>
          <w:p w14:paraId="38695DED">
            <w:pPr>
              <w:spacing w:before="0" w:after="0" w:line="240" w:lineRule="auto"/>
              <w:ind w:firstLine="0"/>
              <w:jc w:val="both"/>
              <w:rPr>
                <w:kern w:val="0"/>
                <w14:ligatures w14:val="none"/>
              </w:rPr>
            </w:pPr>
            <w:r>
              <w:rPr>
                <w:rFonts w:ascii="Times New Roman" w:hAnsi="Times New Roman"/>
                <w:b w:val="0"/>
                <w:kern w:val="0"/>
                <w:sz w:val="24"/>
                <w14:ligatures w14:val="none"/>
              </w:rPr>
              <w:t>Модельная оценка (до 6% от прямых затрат). Диапазон 1,2–2,0 млн руб., на согласование с заказчиком</w:t>
            </w:r>
          </w:p>
        </w:tc>
        <w:tc>
          <w:tcPr>
            <w:tcW w:w="2338" w:type="dxa"/>
          </w:tcPr>
          <w:p w14:paraId="1F3AE26B">
            <w:pPr>
              <w:spacing w:before="0" w:after="0" w:line="240" w:lineRule="auto"/>
              <w:ind w:firstLine="0"/>
              <w:jc w:val="both"/>
              <w:rPr>
                <w:kern w:val="0"/>
                <w14:ligatures w14:val="none"/>
              </w:rPr>
            </w:pPr>
            <w:r>
              <w:rPr>
                <w:rFonts w:ascii="Times New Roman" w:hAnsi="Times New Roman"/>
                <w:b w:val="0"/>
                <w:kern w:val="0"/>
                <w:sz w:val="24"/>
                <w14:ligatures w14:val="none"/>
              </w:rPr>
              <w:t>Стандарт ИТ-проектов: накладные расходы 5–8% от прямых. 6% — нижняя оценка. Фактических данных клиники нет</w:t>
            </w:r>
          </w:p>
        </w:tc>
      </w:tr>
      <w:tr w14:paraId="1EC18DDE">
        <w:tc>
          <w:tcPr>
            <w:tcW w:w="2338" w:type="dxa"/>
          </w:tcPr>
          <w:p w14:paraId="449B9FA1">
            <w:pPr>
              <w:spacing w:before="0" w:after="0" w:line="240" w:lineRule="auto"/>
              <w:ind w:firstLine="0"/>
              <w:jc w:val="both"/>
              <w:rPr>
                <w:kern w:val="0"/>
                <w14:ligatures w14:val="none"/>
              </w:rPr>
            </w:pPr>
            <w:r>
              <w:rPr>
                <w:rFonts w:ascii="Times New Roman" w:hAnsi="Times New Roman"/>
                <w:b w:val="0"/>
                <w:kern w:val="0"/>
                <w:sz w:val="24"/>
                <w14:ligatures w14:val="none"/>
              </w:rPr>
              <w:t>CAPEX: резерв 10%</w:t>
            </w:r>
          </w:p>
        </w:tc>
        <w:tc>
          <w:tcPr>
            <w:tcW w:w="2338" w:type="dxa"/>
          </w:tcPr>
          <w:p w14:paraId="455B23DB">
            <w:pPr>
              <w:spacing w:before="0" w:after="0" w:line="240" w:lineRule="auto"/>
              <w:ind w:firstLine="0"/>
              <w:jc w:val="both"/>
              <w:rPr>
                <w:kern w:val="0"/>
                <w14:ligatures w14:val="none"/>
              </w:rPr>
            </w:pPr>
            <w:r>
              <w:rPr>
                <w:rFonts w:ascii="Times New Roman" w:hAnsi="Times New Roman"/>
                <w:b w:val="0"/>
                <w:kern w:val="0"/>
                <w:sz w:val="24"/>
                <w14:ligatures w14:val="none"/>
              </w:rPr>
              <w:t>1,0 млн руб.</w:t>
            </w:r>
          </w:p>
        </w:tc>
        <w:tc>
          <w:tcPr>
            <w:tcW w:w="2338" w:type="dxa"/>
          </w:tcPr>
          <w:p w14:paraId="5FD2BEA2">
            <w:pPr>
              <w:spacing w:before="0" w:after="0" w:line="240" w:lineRule="auto"/>
              <w:ind w:firstLine="0"/>
              <w:jc w:val="both"/>
              <w:rPr>
                <w:kern w:val="0"/>
                <w14:ligatures w14:val="none"/>
              </w:rPr>
            </w:pPr>
            <w:r>
              <w:rPr>
                <w:rFonts w:ascii="Times New Roman" w:hAnsi="Times New Roman"/>
                <w:b w:val="0"/>
                <w:kern w:val="0"/>
                <w:sz w:val="24"/>
                <w14:ligatures w14:val="none"/>
              </w:rPr>
              <w:t>Модельная оценка (10% от суммы M1–M3). Диапазон 0,8–1,2 млн руб.</w:t>
            </w:r>
          </w:p>
        </w:tc>
        <w:tc>
          <w:tcPr>
            <w:tcW w:w="2338" w:type="dxa"/>
          </w:tcPr>
          <w:p w14:paraId="63FF97A6">
            <w:pPr>
              <w:spacing w:before="0" w:after="0" w:line="240" w:lineRule="auto"/>
              <w:ind w:firstLine="0"/>
              <w:jc w:val="both"/>
              <w:rPr>
                <w:kern w:val="0"/>
                <w14:ligatures w14:val="none"/>
              </w:rPr>
            </w:pPr>
            <w:r>
              <w:rPr>
                <w:rFonts w:ascii="Times New Roman" w:hAnsi="Times New Roman"/>
                <w:b w:val="0"/>
                <w:kern w:val="0"/>
                <w:sz w:val="24"/>
                <w14:ligatures w14:val="none"/>
              </w:rPr>
              <w:t>Отраслевая практика ИТ-проектов: резерв 10–15% на непредвиденные расходы. 10% — минимальное значение для пилотного проекта</w:t>
            </w:r>
          </w:p>
        </w:tc>
      </w:tr>
      <w:tr w14:paraId="0725A69E">
        <w:tc>
          <w:tcPr>
            <w:tcW w:w="2338" w:type="dxa"/>
          </w:tcPr>
          <w:p w14:paraId="7980A506">
            <w:pPr>
              <w:spacing w:before="0" w:after="0" w:line="240" w:lineRule="auto"/>
              <w:ind w:firstLine="0"/>
              <w:jc w:val="both"/>
              <w:rPr>
                <w:kern w:val="0"/>
                <w14:ligatures w14:val="none"/>
              </w:rPr>
            </w:pPr>
            <w:r>
              <w:rPr>
                <w:rFonts w:ascii="Times New Roman" w:hAnsi="Times New Roman"/>
                <w:b w:val="0"/>
                <w:kern w:val="0"/>
                <w:sz w:val="24"/>
                <w14:ligatures w14:val="none"/>
              </w:rPr>
              <w:t>OPEX: SMS-шлюз (SMSC)</w:t>
            </w:r>
          </w:p>
        </w:tc>
        <w:tc>
          <w:tcPr>
            <w:tcW w:w="2338" w:type="dxa"/>
          </w:tcPr>
          <w:p w14:paraId="64D188DD">
            <w:pPr>
              <w:spacing w:before="0" w:after="0" w:line="240" w:lineRule="auto"/>
              <w:ind w:firstLine="0"/>
              <w:jc w:val="both"/>
              <w:rPr>
                <w:kern w:val="0"/>
                <w14:ligatures w14:val="none"/>
              </w:rPr>
            </w:pPr>
            <w:r>
              <w:rPr>
                <w:rFonts w:ascii="Times New Roman" w:hAnsi="Times New Roman"/>
                <w:b w:val="0"/>
                <w:kern w:val="0"/>
                <w:sz w:val="24"/>
                <w14:ligatures w14:val="none"/>
              </w:rPr>
              <w:t>45 000 руб./мес.</w:t>
            </w:r>
          </w:p>
        </w:tc>
        <w:tc>
          <w:tcPr>
            <w:tcW w:w="2338" w:type="dxa"/>
          </w:tcPr>
          <w:p w14:paraId="516E63BD">
            <w:pPr>
              <w:spacing w:before="0" w:after="0" w:line="240" w:lineRule="auto"/>
              <w:ind w:firstLine="0"/>
              <w:jc w:val="both"/>
              <w:rPr>
                <w:kern w:val="0"/>
                <w14:ligatures w14:val="none"/>
              </w:rPr>
            </w:pPr>
            <w:r>
              <w:rPr>
                <w:rFonts w:ascii="Times New Roman" w:hAnsi="Times New Roman"/>
                <w:b w:val="0"/>
                <w:kern w:val="0"/>
                <w:sz w:val="24"/>
                <w14:ligatures w14:val="none"/>
              </w:rPr>
              <w:t>B10: SMSC.ru, публичный прайс-лист, сверен 19.05.2026. Диапазон 30 000–65 000 руб./мес.</w:t>
            </w:r>
          </w:p>
        </w:tc>
        <w:tc>
          <w:tcPr>
            <w:tcW w:w="2338" w:type="dxa"/>
          </w:tcPr>
          <w:p w14:paraId="6EF9AF68">
            <w:pPr>
              <w:spacing w:before="0" w:after="0" w:line="240" w:lineRule="auto"/>
              <w:ind w:firstLine="0"/>
              <w:jc w:val="both"/>
              <w:rPr>
                <w:kern w:val="0"/>
                <w14:ligatures w14:val="none"/>
              </w:rPr>
            </w:pPr>
            <w:r>
              <w:rPr>
                <w:rFonts w:ascii="Times New Roman" w:hAnsi="Times New Roman"/>
                <w:b w:val="0"/>
                <w:kern w:val="0"/>
                <w:sz w:val="24"/>
                <w14:ligatures w14:val="none"/>
              </w:rPr>
              <w:t>~2 500 SMS/мес. при 6 000 пациентах × 2 напоминания × 2,5 визита/12 мес. × 8 руб./SMS = ~20 000 руб. + резерв на именные SMS и пик. Подлежит уточнению</w:t>
            </w:r>
          </w:p>
        </w:tc>
      </w:tr>
      <w:tr w14:paraId="0DEE052F">
        <w:tc>
          <w:tcPr>
            <w:tcW w:w="2338" w:type="dxa"/>
          </w:tcPr>
          <w:p w14:paraId="1D61FA36">
            <w:pPr>
              <w:spacing w:before="0" w:after="0" w:line="240" w:lineRule="auto"/>
              <w:ind w:firstLine="0"/>
              <w:jc w:val="both"/>
              <w:rPr>
                <w:kern w:val="0"/>
                <w14:ligatures w14:val="none"/>
              </w:rPr>
            </w:pPr>
            <w:r>
              <w:rPr>
                <w:rFonts w:ascii="Times New Roman" w:hAnsi="Times New Roman"/>
                <w:b w:val="0"/>
                <w:kern w:val="0"/>
                <w:sz w:val="24"/>
                <w14:ligatures w14:val="none"/>
              </w:rPr>
              <w:t>OPEX: ЭДО (Диадок/СБИС)</w:t>
            </w:r>
          </w:p>
        </w:tc>
        <w:tc>
          <w:tcPr>
            <w:tcW w:w="2338" w:type="dxa"/>
          </w:tcPr>
          <w:p w14:paraId="08BF70FE">
            <w:pPr>
              <w:spacing w:before="0" w:after="0" w:line="240" w:lineRule="auto"/>
              <w:ind w:firstLine="0"/>
              <w:jc w:val="both"/>
              <w:rPr>
                <w:kern w:val="0"/>
                <w14:ligatures w14:val="none"/>
              </w:rPr>
            </w:pPr>
            <w:r>
              <w:rPr>
                <w:rFonts w:ascii="Times New Roman" w:hAnsi="Times New Roman"/>
                <w:b w:val="0"/>
                <w:kern w:val="0"/>
                <w:sz w:val="24"/>
                <w14:ligatures w14:val="none"/>
              </w:rPr>
              <w:t>12 000 руб./мес.</w:t>
            </w:r>
          </w:p>
        </w:tc>
        <w:tc>
          <w:tcPr>
            <w:tcW w:w="2338" w:type="dxa"/>
          </w:tcPr>
          <w:p w14:paraId="2A9CBB8A">
            <w:pPr>
              <w:spacing w:before="0" w:after="0" w:line="240" w:lineRule="auto"/>
              <w:ind w:firstLine="0"/>
              <w:jc w:val="both"/>
              <w:rPr>
                <w:kern w:val="0"/>
                <w14:ligatures w14:val="none"/>
              </w:rPr>
            </w:pPr>
            <w:r>
              <w:rPr>
                <w:rFonts w:ascii="Times New Roman" w:hAnsi="Times New Roman"/>
                <w:b w:val="0"/>
                <w:kern w:val="0"/>
                <w:sz w:val="24"/>
                <w14:ligatures w14:val="none"/>
              </w:rPr>
              <w:t>Модельная оценка по публичным тарифам Диадок/СБИС. Диапазон 8 000–18 000 руб./мес., на согласование с заказчиком</w:t>
            </w:r>
          </w:p>
        </w:tc>
        <w:tc>
          <w:tcPr>
            <w:tcW w:w="2338" w:type="dxa"/>
          </w:tcPr>
          <w:p w14:paraId="32D8201A">
            <w:pPr>
              <w:spacing w:before="0" w:after="0" w:line="240" w:lineRule="auto"/>
              <w:ind w:firstLine="0"/>
              <w:jc w:val="both"/>
              <w:rPr>
                <w:kern w:val="0"/>
                <w14:ligatures w14:val="none"/>
              </w:rPr>
            </w:pPr>
            <w:r>
              <w:rPr>
                <w:rFonts w:ascii="Times New Roman" w:hAnsi="Times New Roman"/>
                <w:b w:val="0"/>
                <w:kern w:val="0"/>
                <w:sz w:val="24"/>
                <w14:ligatures w14:val="none"/>
              </w:rPr>
              <w:t>Тарифы вендоров публичны, но зависят от объёма документооборота и тарифного плана. Значение — типичный план МСБ с умеренным документооборотом</w:t>
            </w:r>
          </w:p>
        </w:tc>
      </w:tr>
      <w:tr w14:paraId="238A0EAB">
        <w:tc>
          <w:tcPr>
            <w:tcW w:w="2338" w:type="dxa"/>
          </w:tcPr>
          <w:p w14:paraId="586F457A">
            <w:pPr>
              <w:spacing w:before="0" w:after="0" w:line="240" w:lineRule="auto"/>
              <w:ind w:firstLine="0"/>
              <w:jc w:val="both"/>
              <w:rPr>
                <w:kern w:val="0"/>
                <w14:ligatures w14:val="none"/>
              </w:rPr>
            </w:pPr>
            <w:r>
              <w:rPr>
                <w:rFonts w:ascii="Times New Roman" w:hAnsi="Times New Roman"/>
                <w:b w:val="0"/>
                <w:kern w:val="0"/>
                <w:sz w:val="24"/>
                <w14:ligatures w14:val="none"/>
              </w:rPr>
              <w:t>OPEX: команда поддержки (Middle + 0,5 Senior)</w:t>
            </w:r>
          </w:p>
        </w:tc>
        <w:tc>
          <w:tcPr>
            <w:tcW w:w="2338" w:type="dxa"/>
          </w:tcPr>
          <w:p w14:paraId="1C05EE98">
            <w:pPr>
              <w:spacing w:before="0" w:after="0" w:line="240" w:lineRule="auto"/>
              <w:ind w:firstLine="0"/>
              <w:jc w:val="both"/>
              <w:rPr>
                <w:kern w:val="0"/>
                <w14:ligatures w14:val="none"/>
              </w:rPr>
            </w:pPr>
            <w:r>
              <w:rPr>
                <w:rFonts w:ascii="Times New Roman" w:hAnsi="Times New Roman"/>
                <w:b w:val="0"/>
                <w:kern w:val="0"/>
                <w:sz w:val="24"/>
                <w14:ligatures w14:val="none"/>
              </w:rPr>
              <w:t>600 000 руб./мес.</w:t>
            </w:r>
          </w:p>
        </w:tc>
        <w:tc>
          <w:tcPr>
            <w:tcW w:w="2338" w:type="dxa"/>
          </w:tcPr>
          <w:p w14:paraId="2EF3EB2F">
            <w:pPr>
              <w:spacing w:before="0" w:after="0" w:line="240" w:lineRule="auto"/>
              <w:ind w:firstLine="0"/>
              <w:jc w:val="both"/>
              <w:rPr>
                <w:kern w:val="0"/>
                <w14:ligatures w14:val="none"/>
              </w:rPr>
            </w:pPr>
            <w:r>
              <w:rPr>
                <w:rFonts w:ascii="Times New Roman" w:hAnsi="Times New Roman"/>
                <w:b w:val="0"/>
                <w:kern w:val="0"/>
                <w:sz w:val="24"/>
                <w14:ligatures w14:val="none"/>
              </w:rPr>
              <w:t>B9: Habr Career / Яндекс Практикум, осень 2025 – апрель 2026. Диапазон 450 000–750 000 руб./мес.</w:t>
            </w:r>
          </w:p>
        </w:tc>
        <w:tc>
          <w:tcPr>
            <w:tcW w:w="2338" w:type="dxa"/>
          </w:tcPr>
          <w:p w14:paraId="0C02CDBC">
            <w:pPr>
              <w:spacing w:before="0" w:after="0" w:line="240" w:lineRule="auto"/>
              <w:ind w:firstLine="0"/>
              <w:jc w:val="both"/>
              <w:rPr>
                <w:kern w:val="0"/>
                <w14:ligatures w14:val="none"/>
              </w:rPr>
            </w:pPr>
            <w:r>
              <w:rPr>
                <w:rFonts w:ascii="Times New Roman" w:hAnsi="Times New Roman"/>
                <w:b w:val="0"/>
                <w:kern w:val="0"/>
                <w:sz w:val="24"/>
                <w14:ligatures w14:val="none"/>
              </w:rPr>
              <w:t>1 backend middle (244 000) + 0,5 backend senior (141 500) + 0,5 DevOps (128 500) ≈ 514 000 руб./мес. + налоги ~17%. Ставки фактических специалистов не известны</w:t>
            </w:r>
          </w:p>
        </w:tc>
      </w:tr>
      <w:tr w14:paraId="29F5F834">
        <w:tc>
          <w:tcPr>
            <w:tcW w:w="2338" w:type="dxa"/>
          </w:tcPr>
          <w:p w14:paraId="46A5ECAB">
            <w:pPr>
              <w:spacing w:before="0" w:after="0" w:line="240" w:lineRule="auto"/>
              <w:ind w:firstLine="0"/>
              <w:jc w:val="both"/>
              <w:rPr>
                <w:kern w:val="0"/>
                <w14:ligatures w14:val="none"/>
              </w:rPr>
            </w:pPr>
            <w:r>
              <w:rPr>
                <w:rFonts w:ascii="Times New Roman" w:hAnsi="Times New Roman"/>
                <w:b w:val="0"/>
                <w:kern w:val="0"/>
                <w:sz w:val="24"/>
                <w14:ligatures w14:val="none"/>
              </w:rPr>
              <w:t>OPEX: compliance (пентесты, ротация ключей)</w:t>
            </w:r>
          </w:p>
        </w:tc>
        <w:tc>
          <w:tcPr>
            <w:tcW w:w="2338" w:type="dxa"/>
          </w:tcPr>
          <w:p w14:paraId="242326DC">
            <w:pPr>
              <w:spacing w:before="0" w:after="0" w:line="240" w:lineRule="auto"/>
              <w:ind w:firstLine="0"/>
              <w:jc w:val="both"/>
              <w:rPr>
                <w:kern w:val="0"/>
                <w14:ligatures w14:val="none"/>
              </w:rPr>
            </w:pPr>
            <w:r>
              <w:rPr>
                <w:rFonts w:ascii="Times New Roman" w:hAnsi="Times New Roman"/>
                <w:b w:val="0"/>
                <w:kern w:val="0"/>
                <w:sz w:val="24"/>
                <w14:ligatures w14:val="none"/>
              </w:rPr>
              <w:t>20 000 руб./мес.</w:t>
            </w:r>
          </w:p>
        </w:tc>
        <w:tc>
          <w:tcPr>
            <w:tcW w:w="2338" w:type="dxa"/>
          </w:tcPr>
          <w:p w14:paraId="78176E40">
            <w:pPr>
              <w:spacing w:before="0" w:after="0" w:line="240" w:lineRule="auto"/>
              <w:ind w:firstLine="0"/>
              <w:jc w:val="both"/>
              <w:rPr>
                <w:kern w:val="0"/>
                <w14:ligatures w14:val="none"/>
              </w:rPr>
            </w:pPr>
            <w:r>
              <w:rPr>
                <w:rFonts w:ascii="Times New Roman" w:hAnsi="Times New Roman"/>
                <w:b w:val="0"/>
                <w:kern w:val="0"/>
                <w:sz w:val="24"/>
                <w14:ligatures w14:val="none"/>
              </w:rPr>
              <w:t>Модельная оценка. Диапазон 15 000–35 000 руб./мес., на согласование с заказчиком</w:t>
            </w:r>
          </w:p>
        </w:tc>
        <w:tc>
          <w:tcPr>
            <w:tcW w:w="2338" w:type="dxa"/>
          </w:tcPr>
          <w:p w14:paraId="6EFB3624">
            <w:pPr>
              <w:spacing w:before="0" w:after="0" w:line="240" w:lineRule="auto"/>
              <w:ind w:firstLine="0"/>
              <w:jc w:val="both"/>
              <w:rPr>
                <w:kern w:val="0"/>
                <w14:ligatures w14:val="none"/>
              </w:rPr>
            </w:pPr>
            <w:r>
              <w:rPr>
                <w:rFonts w:ascii="Times New Roman" w:hAnsi="Times New Roman"/>
                <w:b w:val="0"/>
                <w:kern w:val="0"/>
                <w:sz w:val="24"/>
                <w14:ligatures w14:val="none"/>
              </w:rPr>
              <w:t>Ежегодный пентест УЗ-3: 150 000–300 000 руб./год; ротация ключей в Hashicorp Vault — операционный расход. 20 000 руб./мес. — нижняя граница для небольшого продукта</w:t>
            </w:r>
          </w:p>
        </w:tc>
      </w:tr>
    </w:tbl>
    <w:p w14:paraId="2D8C8C4C">
      <w:pPr>
        <w:pStyle w:val="2"/>
        <w:pageBreakBefore/>
        <w:spacing w:before="0" w:after="0"/>
        <w:jc w:val="center"/>
      </w:pPr>
      <w:bookmarkStart w:id="25" w:name="_Toc211777044"/>
      <w:r>
        <w:rPr>
          <w:rFonts w:ascii="Times New Roman" w:hAnsi="Times New Roman"/>
          <w:b/>
          <w:sz w:val="28"/>
        </w:rPr>
        <w:t>ПРИЛОЖЕНИЕ В</w:t>
      </w:r>
      <w:bookmarkEnd w:id="25"/>
    </w:p>
    <w:p w14:paraId="398FE917">
      <w:pPr>
        <w:spacing w:before="0" w:after="0"/>
        <w:ind w:firstLine="709"/>
        <w:jc w:val="both"/>
      </w:pPr>
      <w:r>
        <w:rPr>
          <w:rFonts w:ascii="Times New Roman" w:hAnsi="Times New Roman"/>
          <w:b w:val="0"/>
          <w:sz w:val="28"/>
        </w:rPr>
        <w:t>Приложение содержит поквартальную развёртку денежных потоков базового сценария внедрения продукта в одной клинике сети. Горизонт — три года, или 12 кварталов; CAPEX сосредоточен в первых трёх кварталах разработки, начиная с четвёртого квартала проект генерирует операционный эффект. Ставка дисконтирования — 25 % годовых (ключевая ставка ЦБ РФ 14,5 % плюс премия за риск 10,5 п.п.); потоки приведены к концу каждого квартала по стандартной конвенции. Все суммы — в млн руб.</w:t>
      </w:r>
    </w:p>
    <w:p w14:paraId="4318B5EB">
      <w:pPr>
        <w:spacing w:before="0" w:after="0"/>
        <w:jc w:val="left"/>
      </w:pPr>
      <w:r>
        <w:rPr>
          <w:rFonts w:ascii="Times New Roman" w:hAnsi="Times New Roman"/>
          <w:b w:val="0"/>
          <w:sz w:val="28"/>
        </w:rPr>
        <w:t>Таблица 51 — Дисконтированный расчёт денежных потоков (горизонт 3 года, ставка 25 %)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1109"/>
        <w:gridCol w:w="962"/>
        <w:gridCol w:w="1515"/>
        <w:gridCol w:w="933"/>
        <w:gridCol w:w="2145"/>
        <w:gridCol w:w="933"/>
        <w:gridCol w:w="825"/>
      </w:tblGrid>
      <w:tr w14:paraId="1820B983">
        <w:tc>
          <w:tcPr>
            <w:tcW w:w="1169" w:type="dxa"/>
          </w:tcPr>
          <w:p w14:paraId="5470DC10">
            <w:pPr>
              <w:spacing w:before="0" w:after="0" w:line="240" w:lineRule="auto"/>
              <w:ind w:firstLine="0"/>
              <w:jc w:val="both"/>
              <w:rPr>
                <w:kern w:val="0"/>
                <w14:ligatures w14:val="none"/>
              </w:rPr>
            </w:pPr>
            <w:r>
              <w:rPr>
                <w:rFonts w:ascii="Times New Roman" w:hAnsi="Times New Roman"/>
                <w:b/>
                <w:kern w:val="0"/>
                <w:sz w:val="24"/>
                <w14:ligatures w14:val="none"/>
              </w:rPr>
              <w:t>Квартал</w:t>
            </w:r>
          </w:p>
        </w:tc>
        <w:tc>
          <w:tcPr>
            <w:tcW w:w="1169" w:type="dxa"/>
          </w:tcPr>
          <w:p w14:paraId="1AA8AE48">
            <w:pPr>
              <w:spacing w:before="0" w:after="0" w:line="240" w:lineRule="auto"/>
              <w:ind w:firstLine="0"/>
              <w:jc w:val="both"/>
              <w:rPr>
                <w:kern w:val="0"/>
                <w14:ligatures w14:val="none"/>
              </w:rPr>
            </w:pPr>
            <w:r>
              <w:rPr>
                <w:rFonts w:ascii="Times New Roman" w:hAnsi="Times New Roman"/>
                <w:b/>
                <w:kern w:val="0"/>
                <w:sz w:val="24"/>
                <w14:ligatures w14:val="none"/>
              </w:rPr>
              <w:t>CAPEX, млн руб.</w:t>
            </w:r>
          </w:p>
        </w:tc>
        <w:tc>
          <w:tcPr>
            <w:tcW w:w="1169" w:type="dxa"/>
          </w:tcPr>
          <w:p w14:paraId="66AFA291">
            <w:pPr>
              <w:spacing w:before="0" w:after="0" w:line="240" w:lineRule="auto"/>
              <w:ind w:firstLine="0"/>
              <w:jc w:val="both"/>
              <w:rPr>
                <w:kern w:val="0"/>
                <w14:ligatures w14:val="none"/>
              </w:rPr>
            </w:pPr>
            <w:r>
              <w:rPr>
                <w:rFonts w:ascii="Times New Roman" w:hAnsi="Times New Roman"/>
                <w:b/>
                <w:kern w:val="0"/>
                <w:sz w:val="24"/>
                <w14:ligatures w14:val="none"/>
              </w:rPr>
              <w:t>OPEX, млн руб.</w:t>
            </w:r>
          </w:p>
        </w:tc>
        <w:tc>
          <w:tcPr>
            <w:tcW w:w="1169" w:type="dxa"/>
          </w:tcPr>
          <w:p w14:paraId="5DF1BA0D">
            <w:pPr>
              <w:spacing w:before="0" w:after="0" w:line="240" w:lineRule="auto"/>
              <w:ind w:firstLine="0"/>
              <w:jc w:val="both"/>
              <w:rPr>
                <w:kern w:val="0"/>
                <w14:ligatures w14:val="none"/>
              </w:rPr>
            </w:pPr>
            <w:r>
              <w:rPr>
                <w:rFonts w:ascii="Times New Roman" w:hAnsi="Times New Roman"/>
                <w:b/>
                <w:kern w:val="0"/>
                <w:sz w:val="24"/>
                <w14:ligatures w14:val="none"/>
              </w:rPr>
              <w:t>Эффект (экономия + удержание), млн руб.</w:t>
            </w:r>
          </w:p>
        </w:tc>
        <w:tc>
          <w:tcPr>
            <w:tcW w:w="1169" w:type="dxa"/>
          </w:tcPr>
          <w:p w14:paraId="7EA49A7B">
            <w:pPr>
              <w:spacing w:before="0" w:after="0" w:line="240" w:lineRule="auto"/>
              <w:ind w:firstLine="0"/>
              <w:jc w:val="both"/>
              <w:rPr>
                <w:kern w:val="0"/>
                <w14:ligatures w14:val="none"/>
              </w:rPr>
            </w:pPr>
            <w:r>
              <w:rPr>
                <w:rFonts w:ascii="Times New Roman" w:hAnsi="Times New Roman"/>
                <w:b/>
                <w:kern w:val="0"/>
                <w:sz w:val="24"/>
                <w14:ligatures w14:val="none"/>
              </w:rPr>
              <w:t>Чистый денежный поток, млн руб.</w:t>
            </w:r>
          </w:p>
        </w:tc>
        <w:tc>
          <w:tcPr>
            <w:tcW w:w="1169" w:type="dxa"/>
          </w:tcPr>
          <w:p w14:paraId="74AEB592">
            <w:pPr>
              <w:spacing w:before="0" w:after="0" w:line="240" w:lineRule="auto"/>
              <w:ind w:firstLine="0"/>
              <w:jc w:val="both"/>
              <w:rPr>
                <w:kern w:val="0"/>
                <w14:ligatures w14:val="none"/>
              </w:rPr>
            </w:pPr>
            <w:r>
              <w:rPr>
                <w:rFonts w:ascii="Times New Roman" w:hAnsi="Times New Roman"/>
                <w:b/>
                <w:kern w:val="0"/>
                <w:sz w:val="24"/>
                <w14:ligatures w14:val="none"/>
              </w:rPr>
              <w:t>Коэф. дисконтирования</w:t>
            </w:r>
          </w:p>
        </w:tc>
        <w:tc>
          <w:tcPr>
            <w:tcW w:w="1169" w:type="dxa"/>
          </w:tcPr>
          <w:p w14:paraId="63E192E0">
            <w:pPr>
              <w:spacing w:before="0" w:after="0" w:line="240" w:lineRule="auto"/>
              <w:ind w:firstLine="0"/>
              <w:jc w:val="both"/>
              <w:rPr>
                <w:kern w:val="0"/>
                <w14:ligatures w14:val="none"/>
              </w:rPr>
            </w:pPr>
            <w:r>
              <w:rPr>
                <w:rFonts w:ascii="Times New Roman" w:hAnsi="Times New Roman"/>
                <w:b/>
                <w:kern w:val="0"/>
                <w:sz w:val="24"/>
                <w14:ligatures w14:val="none"/>
              </w:rPr>
              <w:t>Дисконтированный поток, млн руб.</w:t>
            </w:r>
          </w:p>
        </w:tc>
        <w:tc>
          <w:tcPr>
            <w:tcW w:w="1169" w:type="dxa"/>
          </w:tcPr>
          <w:p w14:paraId="3071E683">
            <w:pPr>
              <w:spacing w:before="0" w:after="0" w:line="240" w:lineRule="auto"/>
              <w:ind w:firstLine="0"/>
              <w:jc w:val="both"/>
              <w:rPr>
                <w:kern w:val="0"/>
                <w14:ligatures w14:val="none"/>
              </w:rPr>
            </w:pPr>
            <w:r>
              <w:rPr>
                <w:rFonts w:ascii="Times New Roman" w:hAnsi="Times New Roman"/>
                <w:b/>
                <w:kern w:val="0"/>
                <w:sz w:val="24"/>
                <w14:ligatures w14:val="none"/>
              </w:rPr>
              <w:t>Накопленный ДДП, млн руб.</w:t>
            </w:r>
          </w:p>
        </w:tc>
      </w:tr>
      <w:tr w14:paraId="07A80AF3">
        <w:tc>
          <w:tcPr>
            <w:tcW w:w="1169" w:type="dxa"/>
          </w:tcPr>
          <w:p w14:paraId="51B4A1A2">
            <w:pPr>
              <w:spacing w:before="0" w:after="0" w:line="240" w:lineRule="auto"/>
              <w:ind w:firstLine="0"/>
              <w:jc w:val="both"/>
              <w:rPr>
                <w:kern w:val="0"/>
                <w14:ligatures w14:val="none"/>
              </w:rPr>
            </w:pPr>
            <w:r>
              <w:rPr>
                <w:rFonts w:ascii="Times New Roman" w:hAnsi="Times New Roman"/>
                <w:b w:val="0"/>
                <w:kern w:val="0"/>
                <w:sz w:val="24"/>
                <w14:ligatures w14:val="none"/>
              </w:rPr>
              <w:t>1</w:t>
            </w:r>
          </w:p>
        </w:tc>
        <w:tc>
          <w:tcPr>
            <w:tcW w:w="1169" w:type="dxa"/>
          </w:tcPr>
          <w:p w14:paraId="4C4DF71B">
            <w:pPr>
              <w:spacing w:before="0" w:after="0" w:line="240" w:lineRule="auto"/>
              <w:ind w:firstLine="0"/>
              <w:jc w:val="both"/>
              <w:rPr>
                <w:kern w:val="0"/>
                <w14:ligatures w14:val="none"/>
              </w:rPr>
            </w:pPr>
            <w:r>
              <w:rPr>
                <w:rFonts w:ascii="Times New Roman" w:hAnsi="Times New Roman"/>
                <w:b w:val="0"/>
                <w:kern w:val="0"/>
                <w:sz w:val="24"/>
                <w14:ligatures w14:val="none"/>
              </w:rPr>
              <w:t>7,74</w:t>
            </w:r>
          </w:p>
        </w:tc>
        <w:tc>
          <w:tcPr>
            <w:tcW w:w="1169" w:type="dxa"/>
          </w:tcPr>
          <w:p w14:paraId="0DD42A45">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64E1BC37">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081829B1">
            <w:pPr>
              <w:spacing w:before="0" w:after="0" w:line="240" w:lineRule="auto"/>
              <w:ind w:firstLine="0"/>
              <w:jc w:val="both"/>
              <w:rPr>
                <w:kern w:val="0"/>
                <w14:ligatures w14:val="none"/>
              </w:rPr>
            </w:pPr>
            <w:r>
              <w:rPr>
                <w:rFonts w:ascii="Times New Roman" w:hAnsi="Times New Roman"/>
                <w:b w:val="0"/>
                <w:kern w:val="0"/>
                <w:sz w:val="24"/>
                <w14:ligatures w14:val="none"/>
              </w:rPr>
              <w:t>-7,74</w:t>
            </w:r>
          </w:p>
        </w:tc>
        <w:tc>
          <w:tcPr>
            <w:tcW w:w="1169" w:type="dxa"/>
          </w:tcPr>
          <w:p w14:paraId="53AC70BC">
            <w:pPr>
              <w:spacing w:before="0" w:after="0" w:line="240" w:lineRule="auto"/>
              <w:ind w:firstLine="0"/>
              <w:jc w:val="both"/>
              <w:rPr>
                <w:kern w:val="0"/>
                <w14:ligatures w14:val="none"/>
              </w:rPr>
            </w:pPr>
            <w:r>
              <w:rPr>
                <w:rFonts w:ascii="Times New Roman" w:hAnsi="Times New Roman"/>
                <w:b w:val="0"/>
                <w:kern w:val="0"/>
                <w:sz w:val="24"/>
                <w14:ligatures w14:val="none"/>
              </w:rPr>
              <w:t>0,9457</w:t>
            </w:r>
          </w:p>
        </w:tc>
        <w:tc>
          <w:tcPr>
            <w:tcW w:w="1169" w:type="dxa"/>
          </w:tcPr>
          <w:p w14:paraId="7098F543">
            <w:pPr>
              <w:spacing w:before="0" w:after="0" w:line="240" w:lineRule="auto"/>
              <w:ind w:firstLine="0"/>
              <w:jc w:val="both"/>
              <w:rPr>
                <w:kern w:val="0"/>
                <w14:ligatures w14:val="none"/>
              </w:rPr>
            </w:pPr>
            <w:r>
              <w:rPr>
                <w:rFonts w:ascii="Times New Roman" w:hAnsi="Times New Roman"/>
                <w:b w:val="0"/>
                <w:kern w:val="0"/>
                <w:sz w:val="24"/>
                <w14:ligatures w14:val="none"/>
              </w:rPr>
              <w:t>-7,32</w:t>
            </w:r>
          </w:p>
        </w:tc>
        <w:tc>
          <w:tcPr>
            <w:tcW w:w="1169" w:type="dxa"/>
          </w:tcPr>
          <w:p w14:paraId="2D0C6BA8">
            <w:pPr>
              <w:spacing w:before="0" w:after="0" w:line="240" w:lineRule="auto"/>
              <w:ind w:firstLine="0"/>
              <w:jc w:val="both"/>
              <w:rPr>
                <w:kern w:val="0"/>
                <w14:ligatures w14:val="none"/>
              </w:rPr>
            </w:pPr>
            <w:r>
              <w:rPr>
                <w:rFonts w:ascii="Times New Roman" w:hAnsi="Times New Roman"/>
                <w:b w:val="0"/>
                <w:kern w:val="0"/>
                <w:sz w:val="24"/>
                <w14:ligatures w14:val="none"/>
              </w:rPr>
              <w:t>-7,32</w:t>
            </w:r>
          </w:p>
        </w:tc>
      </w:tr>
      <w:tr w14:paraId="284BF4B9">
        <w:tc>
          <w:tcPr>
            <w:tcW w:w="1169" w:type="dxa"/>
          </w:tcPr>
          <w:p w14:paraId="568FBC0E">
            <w:pPr>
              <w:spacing w:before="0" w:after="0" w:line="240" w:lineRule="auto"/>
              <w:ind w:firstLine="0"/>
              <w:jc w:val="both"/>
              <w:rPr>
                <w:kern w:val="0"/>
                <w14:ligatures w14:val="none"/>
              </w:rPr>
            </w:pPr>
            <w:r>
              <w:rPr>
                <w:rFonts w:ascii="Times New Roman" w:hAnsi="Times New Roman"/>
                <w:b w:val="0"/>
                <w:kern w:val="0"/>
                <w:sz w:val="24"/>
                <w14:ligatures w14:val="none"/>
              </w:rPr>
              <w:t>2</w:t>
            </w:r>
          </w:p>
        </w:tc>
        <w:tc>
          <w:tcPr>
            <w:tcW w:w="1169" w:type="dxa"/>
          </w:tcPr>
          <w:p w14:paraId="6CD65255">
            <w:pPr>
              <w:spacing w:before="0" w:after="0" w:line="240" w:lineRule="auto"/>
              <w:ind w:firstLine="0"/>
              <w:jc w:val="both"/>
              <w:rPr>
                <w:kern w:val="0"/>
                <w14:ligatures w14:val="none"/>
              </w:rPr>
            </w:pPr>
            <w:r>
              <w:rPr>
                <w:rFonts w:ascii="Times New Roman" w:hAnsi="Times New Roman"/>
                <w:b w:val="0"/>
                <w:kern w:val="0"/>
                <w:sz w:val="24"/>
                <w14:ligatures w14:val="none"/>
              </w:rPr>
              <w:t>12,17</w:t>
            </w:r>
          </w:p>
        </w:tc>
        <w:tc>
          <w:tcPr>
            <w:tcW w:w="1169" w:type="dxa"/>
          </w:tcPr>
          <w:p w14:paraId="313081FB">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057E8567">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656BECBA">
            <w:pPr>
              <w:spacing w:before="0" w:after="0" w:line="240" w:lineRule="auto"/>
              <w:ind w:firstLine="0"/>
              <w:jc w:val="both"/>
              <w:rPr>
                <w:kern w:val="0"/>
                <w14:ligatures w14:val="none"/>
              </w:rPr>
            </w:pPr>
            <w:r>
              <w:rPr>
                <w:rFonts w:ascii="Times New Roman" w:hAnsi="Times New Roman"/>
                <w:b w:val="0"/>
                <w:kern w:val="0"/>
                <w:sz w:val="24"/>
                <w14:ligatures w14:val="none"/>
              </w:rPr>
              <w:t>-12,17</w:t>
            </w:r>
          </w:p>
        </w:tc>
        <w:tc>
          <w:tcPr>
            <w:tcW w:w="1169" w:type="dxa"/>
          </w:tcPr>
          <w:p w14:paraId="4145BC65">
            <w:pPr>
              <w:spacing w:before="0" w:after="0" w:line="240" w:lineRule="auto"/>
              <w:ind w:firstLine="0"/>
              <w:jc w:val="both"/>
              <w:rPr>
                <w:kern w:val="0"/>
                <w14:ligatures w14:val="none"/>
              </w:rPr>
            </w:pPr>
            <w:r>
              <w:rPr>
                <w:rFonts w:ascii="Times New Roman" w:hAnsi="Times New Roman"/>
                <w:b w:val="0"/>
                <w:kern w:val="0"/>
                <w:sz w:val="24"/>
                <w14:ligatures w14:val="none"/>
              </w:rPr>
              <w:t>0,8944</w:t>
            </w:r>
          </w:p>
        </w:tc>
        <w:tc>
          <w:tcPr>
            <w:tcW w:w="1169" w:type="dxa"/>
          </w:tcPr>
          <w:p w14:paraId="22C06A0B">
            <w:pPr>
              <w:spacing w:before="0" w:after="0" w:line="240" w:lineRule="auto"/>
              <w:ind w:firstLine="0"/>
              <w:jc w:val="both"/>
              <w:rPr>
                <w:kern w:val="0"/>
                <w14:ligatures w14:val="none"/>
              </w:rPr>
            </w:pPr>
            <w:r>
              <w:rPr>
                <w:rFonts w:ascii="Times New Roman" w:hAnsi="Times New Roman"/>
                <w:b w:val="0"/>
                <w:kern w:val="0"/>
                <w:sz w:val="24"/>
                <w14:ligatures w14:val="none"/>
              </w:rPr>
              <w:t>-10,89</w:t>
            </w:r>
          </w:p>
        </w:tc>
        <w:tc>
          <w:tcPr>
            <w:tcW w:w="1169" w:type="dxa"/>
          </w:tcPr>
          <w:p w14:paraId="6236D61F">
            <w:pPr>
              <w:spacing w:before="0" w:after="0" w:line="240" w:lineRule="auto"/>
              <w:ind w:firstLine="0"/>
              <w:jc w:val="both"/>
              <w:rPr>
                <w:kern w:val="0"/>
                <w14:ligatures w14:val="none"/>
              </w:rPr>
            </w:pPr>
            <w:r>
              <w:rPr>
                <w:rFonts w:ascii="Times New Roman" w:hAnsi="Times New Roman"/>
                <w:b w:val="0"/>
                <w:kern w:val="0"/>
                <w:sz w:val="24"/>
                <w14:ligatures w14:val="none"/>
              </w:rPr>
              <w:t>-18,21</w:t>
            </w:r>
          </w:p>
        </w:tc>
      </w:tr>
      <w:tr w14:paraId="67779771">
        <w:tc>
          <w:tcPr>
            <w:tcW w:w="1169" w:type="dxa"/>
          </w:tcPr>
          <w:p w14:paraId="5AB8DF8F">
            <w:pPr>
              <w:spacing w:before="0" w:after="0" w:line="240" w:lineRule="auto"/>
              <w:ind w:firstLine="0"/>
              <w:jc w:val="both"/>
              <w:rPr>
                <w:kern w:val="0"/>
                <w14:ligatures w14:val="none"/>
              </w:rPr>
            </w:pPr>
            <w:r>
              <w:rPr>
                <w:rFonts w:ascii="Times New Roman" w:hAnsi="Times New Roman"/>
                <w:b w:val="0"/>
                <w:kern w:val="0"/>
                <w:sz w:val="24"/>
                <w14:ligatures w14:val="none"/>
              </w:rPr>
              <w:t>3</w:t>
            </w:r>
          </w:p>
        </w:tc>
        <w:tc>
          <w:tcPr>
            <w:tcW w:w="1169" w:type="dxa"/>
          </w:tcPr>
          <w:p w14:paraId="293AD953">
            <w:pPr>
              <w:spacing w:before="0" w:after="0" w:line="240" w:lineRule="auto"/>
              <w:ind w:firstLine="0"/>
              <w:jc w:val="both"/>
              <w:rPr>
                <w:kern w:val="0"/>
                <w14:ligatures w14:val="none"/>
              </w:rPr>
            </w:pPr>
            <w:r>
              <w:rPr>
                <w:rFonts w:ascii="Times New Roman" w:hAnsi="Times New Roman"/>
                <w:b w:val="0"/>
                <w:kern w:val="0"/>
                <w:sz w:val="24"/>
                <w14:ligatures w14:val="none"/>
              </w:rPr>
              <w:t>6,09</w:t>
            </w:r>
          </w:p>
        </w:tc>
        <w:tc>
          <w:tcPr>
            <w:tcW w:w="1169" w:type="dxa"/>
          </w:tcPr>
          <w:p w14:paraId="7A7FFA46">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1E8FDA8E">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27D12C3B">
            <w:pPr>
              <w:spacing w:before="0" w:after="0" w:line="240" w:lineRule="auto"/>
              <w:ind w:firstLine="0"/>
              <w:jc w:val="both"/>
              <w:rPr>
                <w:kern w:val="0"/>
                <w14:ligatures w14:val="none"/>
              </w:rPr>
            </w:pPr>
            <w:r>
              <w:rPr>
                <w:rFonts w:ascii="Times New Roman" w:hAnsi="Times New Roman"/>
                <w:b w:val="0"/>
                <w:kern w:val="0"/>
                <w:sz w:val="24"/>
                <w14:ligatures w14:val="none"/>
              </w:rPr>
              <w:t>-6,09</w:t>
            </w:r>
          </w:p>
        </w:tc>
        <w:tc>
          <w:tcPr>
            <w:tcW w:w="1169" w:type="dxa"/>
          </w:tcPr>
          <w:p w14:paraId="4338C5A2">
            <w:pPr>
              <w:spacing w:before="0" w:after="0" w:line="240" w:lineRule="auto"/>
              <w:ind w:firstLine="0"/>
              <w:jc w:val="both"/>
              <w:rPr>
                <w:kern w:val="0"/>
                <w14:ligatures w14:val="none"/>
              </w:rPr>
            </w:pPr>
            <w:r>
              <w:rPr>
                <w:rFonts w:ascii="Times New Roman" w:hAnsi="Times New Roman"/>
                <w:b w:val="0"/>
                <w:kern w:val="0"/>
                <w:sz w:val="24"/>
                <w14:ligatures w14:val="none"/>
              </w:rPr>
              <w:t>0,8459</w:t>
            </w:r>
          </w:p>
        </w:tc>
        <w:tc>
          <w:tcPr>
            <w:tcW w:w="1169" w:type="dxa"/>
          </w:tcPr>
          <w:p w14:paraId="375E02A9">
            <w:pPr>
              <w:spacing w:before="0" w:after="0" w:line="240" w:lineRule="auto"/>
              <w:ind w:firstLine="0"/>
              <w:jc w:val="both"/>
              <w:rPr>
                <w:kern w:val="0"/>
                <w14:ligatures w14:val="none"/>
              </w:rPr>
            </w:pPr>
            <w:r>
              <w:rPr>
                <w:rFonts w:ascii="Times New Roman" w:hAnsi="Times New Roman"/>
                <w:b w:val="0"/>
                <w:kern w:val="0"/>
                <w:sz w:val="24"/>
                <w14:ligatures w14:val="none"/>
              </w:rPr>
              <w:t>-5,15</w:t>
            </w:r>
          </w:p>
        </w:tc>
        <w:tc>
          <w:tcPr>
            <w:tcW w:w="1169" w:type="dxa"/>
          </w:tcPr>
          <w:p w14:paraId="32158E0B">
            <w:pPr>
              <w:spacing w:before="0" w:after="0" w:line="240" w:lineRule="auto"/>
              <w:ind w:firstLine="0"/>
              <w:jc w:val="both"/>
              <w:rPr>
                <w:kern w:val="0"/>
                <w14:ligatures w14:val="none"/>
              </w:rPr>
            </w:pPr>
            <w:r>
              <w:rPr>
                <w:rFonts w:ascii="Times New Roman" w:hAnsi="Times New Roman"/>
                <w:b w:val="0"/>
                <w:kern w:val="0"/>
                <w:sz w:val="24"/>
                <w14:ligatures w14:val="none"/>
              </w:rPr>
              <w:t>-23,36</w:t>
            </w:r>
          </w:p>
        </w:tc>
      </w:tr>
      <w:tr w14:paraId="34D6A6EF">
        <w:tc>
          <w:tcPr>
            <w:tcW w:w="1169" w:type="dxa"/>
          </w:tcPr>
          <w:p w14:paraId="387A5239">
            <w:pPr>
              <w:spacing w:before="0" w:after="0" w:line="240" w:lineRule="auto"/>
              <w:ind w:firstLine="0"/>
              <w:jc w:val="both"/>
              <w:rPr>
                <w:kern w:val="0"/>
                <w14:ligatures w14:val="none"/>
              </w:rPr>
            </w:pPr>
            <w:r>
              <w:rPr>
                <w:rFonts w:ascii="Times New Roman" w:hAnsi="Times New Roman"/>
                <w:b w:val="0"/>
                <w:kern w:val="0"/>
                <w:sz w:val="24"/>
                <w14:ligatures w14:val="none"/>
              </w:rPr>
              <w:t>4</w:t>
            </w:r>
          </w:p>
        </w:tc>
        <w:tc>
          <w:tcPr>
            <w:tcW w:w="1169" w:type="dxa"/>
          </w:tcPr>
          <w:p w14:paraId="0239672B">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0C2CE61F">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25E10035">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580AE699">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22B01450">
            <w:pPr>
              <w:spacing w:before="0" w:after="0" w:line="240" w:lineRule="auto"/>
              <w:ind w:firstLine="0"/>
              <w:jc w:val="both"/>
              <w:rPr>
                <w:kern w:val="0"/>
                <w14:ligatures w14:val="none"/>
              </w:rPr>
            </w:pPr>
            <w:r>
              <w:rPr>
                <w:rFonts w:ascii="Times New Roman" w:hAnsi="Times New Roman"/>
                <w:b w:val="0"/>
                <w:kern w:val="0"/>
                <w:sz w:val="24"/>
                <w14:ligatures w14:val="none"/>
              </w:rPr>
              <w:t>0,8000</w:t>
            </w:r>
          </w:p>
        </w:tc>
        <w:tc>
          <w:tcPr>
            <w:tcW w:w="1169" w:type="dxa"/>
          </w:tcPr>
          <w:p w14:paraId="3D62B7EC">
            <w:pPr>
              <w:spacing w:before="0" w:after="0" w:line="240" w:lineRule="auto"/>
              <w:ind w:firstLine="0"/>
              <w:jc w:val="both"/>
              <w:rPr>
                <w:kern w:val="0"/>
                <w14:ligatures w14:val="none"/>
              </w:rPr>
            </w:pPr>
            <w:r>
              <w:rPr>
                <w:rFonts w:ascii="Times New Roman" w:hAnsi="Times New Roman"/>
                <w:b w:val="0"/>
                <w:kern w:val="0"/>
                <w:sz w:val="24"/>
                <w14:ligatures w14:val="none"/>
              </w:rPr>
              <w:t>3,26</w:t>
            </w:r>
          </w:p>
        </w:tc>
        <w:tc>
          <w:tcPr>
            <w:tcW w:w="1169" w:type="dxa"/>
          </w:tcPr>
          <w:p w14:paraId="29580D78">
            <w:pPr>
              <w:spacing w:before="0" w:after="0" w:line="240" w:lineRule="auto"/>
              <w:ind w:firstLine="0"/>
              <w:jc w:val="both"/>
              <w:rPr>
                <w:kern w:val="0"/>
                <w14:ligatures w14:val="none"/>
              </w:rPr>
            </w:pPr>
            <w:r>
              <w:rPr>
                <w:rFonts w:ascii="Times New Roman" w:hAnsi="Times New Roman"/>
                <w:b w:val="0"/>
                <w:kern w:val="0"/>
                <w:sz w:val="24"/>
                <w14:ligatures w14:val="none"/>
              </w:rPr>
              <w:t>-20,10</w:t>
            </w:r>
          </w:p>
        </w:tc>
      </w:tr>
      <w:tr w14:paraId="14BF3353">
        <w:tc>
          <w:tcPr>
            <w:tcW w:w="1169" w:type="dxa"/>
          </w:tcPr>
          <w:p w14:paraId="683F4D12">
            <w:pPr>
              <w:spacing w:before="0" w:after="0" w:line="240" w:lineRule="auto"/>
              <w:ind w:firstLine="0"/>
              <w:jc w:val="both"/>
              <w:rPr>
                <w:kern w:val="0"/>
                <w14:ligatures w14:val="none"/>
              </w:rPr>
            </w:pPr>
            <w:r>
              <w:rPr>
                <w:rFonts w:ascii="Times New Roman" w:hAnsi="Times New Roman"/>
                <w:b w:val="0"/>
                <w:kern w:val="0"/>
                <w:sz w:val="24"/>
                <w14:ligatures w14:val="none"/>
              </w:rPr>
              <w:t>5</w:t>
            </w:r>
          </w:p>
        </w:tc>
        <w:tc>
          <w:tcPr>
            <w:tcW w:w="1169" w:type="dxa"/>
          </w:tcPr>
          <w:p w14:paraId="442E151A">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6915DD22">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743A625C">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2F5138A8">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7091BF22">
            <w:pPr>
              <w:spacing w:before="0" w:after="0" w:line="240" w:lineRule="auto"/>
              <w:ind w:firstLine="0"/>
              <w:jc w:val="both"/>
              <w:rPr>
                <w:kern w:val="0"/>
                <w14:ligatures w14:val="none"/>
              </w:rPr>
            </w:pPr>
            <w:r>
              <w:rPr>
                <w:rFonts w:ascii="Times New Roman" w:hAnsi="Times New Roman"/>
                <w:b w:val="0"/>
                <w:kern w:val="0"/>
                <w:sz w:val="24"/>
                <w14:ligatures w14:val="none"/>
              </w:rPr>
              <w:t>0,7566</w:t>
            </w:r>
          </w:p>
        </w:tc>
        <w:tc>
          <w:tcPr>
            <w:tcW w:w="1169" w:type="dxa"/>
          </w:tcPr>
          <w:p w14:paraId="3885927E">
            <w:pPr>
              <w:spacing w:before="0" w:after="0" w:line="240" w:lineRule="auto"/>
              <w:ind w:firstLine="0"/>
              <w:jc w:val="both"/>
              <w:rPr>
                <w:kern w:val="0"/>
                <w14:ligatures w14:val="none"/>
              </w:rPr>
            </w:pPr>
            <w:r>
              <w:rPr>
                <w:rFonts w:ascii="Times New Roman" w:hAnsi="Times New Roman"/>
                <w:b w:val="0"/>
                <w:kern w:val="0"/>
                <w:sz w:val="24"/>
                <w14:ligatures w14:val="none"/>
              </w:rPr>
              <w:t>3,08</w:t>
            </w:r>
          </w:p>
        </w:tc>
        <w:tc>
          <w:tcPr>
            <w:tcW w:w="1169" w:type="dxa"/>
          </w:tcPr>
          <w:p w14:paraId="612A956F">
            <w:pPr>
              <w:spacing w:before="0" w:after="0" w:line="240" w:lineRule="auto"/>
              <w:ind w:firstLine="0"/>
              <w:jc w:val="both"/>
              <w:rPr>
                <w:kern w:val="0"/>
                <w14:ligatures w14:val="none"/>
              </w:rPr>
            </w:pPr>
            <w:r>
              <w:rPr>
                <w:rFonts w:ascii="Times New Roman" w:hAnsi="Times New Roman"/>
                <w:b w:val="0"/>
                <w:kern w:val="0"/>
                <w:sz w:val="24"/>
                <w14:ligatures w14:val="none"/>
              </w:rPr>
              <w:t>-17,01</w:t>
            </w:r>
          </w:p>
        </w:tc>
      </w:tr>
      <w:tr w14:paraId="510DB64E">
        <w:tc>
          <w:tcPr>
            <w:tcW w:w="1169" w:type="dxa"/>
          </w:tcPr>
          <w:p w14:paraId="207379A2">
            <w:pPr>
              <w:spacing w:before="0" w:after="0" w:line="240" w:lineRule="auto"/>
              <w:ind w:firstLine="0"/>
              <w:jc w:val="both"/>
              <w:rPr>
                <w:kern w:val="0"/>
                <w14:ligatures w14:val="none"/>
              </w:rPr>
            </w:pPr>
            <w:r>
              <w:rPr>
                <w:rFonts w:ascii="Times New Roman" w:hAnsi="Times New Roman"/>
                <w:b w:val="0"/>
                <w:kern w:val="0"/>
                <w:sz w:val="24"/>
                <w14:ligatures w14:val="none"/>
              </w:rPr>
              <w:t>6</w:t>
            </w:r>
          </w:p>
        </w:tc>
        <w:tc>
          <w:tcPr>
            <w:tcW w:w="1169" w:type="dxa"/>
          </w:tcPr>
          <w:p w14:paraId="6D78A182">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3F9DB939">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76D5D5EB">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01B34F8D">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639E21F4">
            <w:pPr>
              <w:spacing w:before="0" w:after="0" w:line="240" w:lineRule="auto"/>
              <w:ind w:firstLine="0"/>
              <w:jc w:val="both"/>
              <w:rPr>
                <w:kern w:val="0"/>
                <w14:ligatures w14:val="none"/>
              </w:rPr>
            </w:pPr>
            <w:r>
              <w:rPr>
                <w:rFonts w:ascii="Times New Roman" w:hAnsi="Times New Roman"/>
                <w:b w:val="0"/>
                <w:kern w:val="0"/>
                <w:sz w:val="24"/>
                <w14:ligatures w14:val="none"/>
              </w:rPr>
              <w:t>0,7155</w:t>
            </w:r>
          </w:p>
        </w:tc>
        <w:tc>
          <w:tcPr>
            <w:tcW w:w="1169" w:type="dxa"/>
          </w:tcPr>
          <w:p w14:paraId="6997956D">
            <w:pPr>
              <w:spacing w:before="0" w:after="0" w:line="240" w:lineRule="auto"/>
              <w:ind w:firstLine="0"/>
              <w:jc w:val="both"/>
              <w:rPr>
                <w:kern w:val="0"/>
                <w14:ligatures w14:val="none"/>
              </w:rPr>
            </w:pPr>
            <w:r>
              <w:rPr>
                <w:rFonts w:ascii="Times New Roman" w:hAnsi="Times New Roman"/>
                <w:b w:val="0"/>
                <w:kern w:val="0"/>
                <w:sz w:val="24"/>
                <w14:ligatures w14:val="none"/>
              </w:rPr>
              <w:t>2,92</w:t>
            </w:r>
          </w:p>
        </w:tc>
        <w:tc>
          <w:tcPr>
            <w:tcW w:w="1169" w:type="dxa"/>
          </w:tcPr>
          <w:p w14:paraId="1F415C43">
            <w:pPr>
              <w:spacing w:before="0" w:after="0" w:line="240" w:lineRule="auto"/>
              <w:ind w:firstLine="0"/>
              <w:jc w:val="both"/>
              <w:rPr>
                <w:kern w:val="0"/>
                <w14:ligatures w14:val="none"/>
              </w:rPr>
            </w:pPr>
            <w:r>
              <w:rPr>
                <w:rFonts w:ascii="Times New Roman" w:hAnsi="Times New Roman"/>
                <w:b w:val="0"/>
                <w:kern w:val="0"/>
                <w:sz w:val="24"/>
                <w14:ligatures w14:val="none"/>
              </w:rPr>
              <w:t>-14,10</w:t>
            </w:r>
          </w:p>
        </w:tc>
      </w:tr>
      <w:tr w14:paraId="15A2481F">
        <w:tc>
          <w:tcPr>
            <w:tcW w:w="1169" w:type="dxa"/>
          </w:tcPr>
          <w:p w14:paraId="14DC8250">
            <w:pPr>
              <w:spacing w:before="0" w:after="0" w:line="240" w:lineRule="auto"/>
              <w:ind w:firstLine="0"/>
              <w:jc w:val="both"/>
              <w:rPr>
                <w:kern w:val="0"/>
                <w14:ligatures w14:val="none"/>
              </w:rPr>
            </w:pPr>
            <w:r>
              <w:rPr>
                <w:rFonts w:ascii="Times New Roman" w:hAnsi="Times New Roman"/>
                <w:b w:val="0"/>
                <w:kern w:val="0"/>
                <w:sz w:val="24"/>
                <w14:ligatures w14:val="none"/>
              </w:rPr>
              <w:t>7</w:t>
            </w:r>
          </w:p>
        </w:tc>
        <w:tc>
          <w:tcPr>
            <w:tcW w:w="1169" w:type="dxa"/>
          </w:tcPr>
          <w:p w14:paraId="29CE06EA">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3A53E9A7">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6AF62C83">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67A9D44E">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0F6B955E">
            <w:pPr>
              <w:spacing w:before="0" w:after="0" w:line="240" w:lineRule="auto"/>
              <w:ind w:firstLine="0"/>
              <w:jc w:val="both"/>
              <w:rPr>
                <w:kern w:val="0"/>
                <w14:ligatures w14:val="none"/>
              </w:rPr>
            </w:pPr>
            <w:r>
              <w:rPr>
                <w:rFonts w:ascii="Times New Roman" w:hAnsi="Times New Roman"/>
                <w:b w:val="0"/>
                <w:kern w:val="0"/>
                <w:sz w:val="24"/>
                <w14:ligatures w14:val="none"/>
              </w:rPr>
              <w:t>0,6767</w:t>
            </w:r>
          </w:p>
        </w:tc>
        <w:tc>
          <w:tcPr>
            <w:tcW w:w="1169" w:type="dxa"/>
          </w:tcPr>
          <w:p w14:paraId="086938A7">
            <w:pPr>
              <w:spacing w:before="0" w:after="0" w:line="240" w:lineRule="auto"/>
              <w:ind w:firstLine="0"/>
              <w:jc w:val="both"/>
              <w:rPr>
                <w:kern w:val="0"/>
                <w14:ligatures w14:val="none"/>
              </w:rPr>
            </w:pPr>
            <w:r>
              <w:rPr>
                <w:rFonts w:ascii="Times New Roman" w:hAnsi="Times New Roman"/>
                <w:b w:val="0"/>
                <w:kern w:val="0"/>
                <w:sz w:val="24"/>
                <w14:ligatures w14:val="none"/>
              </w:rPr>
              <w:t>2,76</w:t>
            </w:r>
          </w:p>
        </w:tc>
        <w:tc>
          <w:tcPr>
            <w:tcW w:w="1169" w:type="dxa"/>
          </w:tcPr>
          <w:p w14:paraId="2D45920D">
            <w:pPr>
              <w:spacing w:before="0" w:after="0" w:line="240" w:lineRule="auto"/>
              <w:ind w:firstLine="0"/>
              <w:jc w:val="both"/>
              <w:rPr>
                <w:kern w:val="0"/>
                <w14:ligatures w14:val="none"/>
              </w:rPr>
            </w:pPr>
            <w:r>
              <w:rPr>
                <w:rFonts w:ascii="Times New Roman" w:hAnsi="Times New Roman"/>
                <w:b w:val="0"/>
                <w:kern w:val="0"/>
                <w:sz w:val="24"/>
                <w14:ligatures w14:val="none"/>
              </w:rPr>
              <w:t>-11,34</w:t>
            </w:r>
          </w:p>
        </w:tc>
      </w:tr>
      <w:tr w14:paraId="18A4C68E">
        <w:tc>
          <w:tcPr>
            <w:tcW w:w="1169" w:type="dxa"/>
          </w:tcPr>
          <w:p w14:paraId="069D4C68">
            <w:pPr>
              <w:spacing w:before="0" w:after="0" w:line="240" w:lineRule="auto"/>
              <w:ind w:firstLine="0"/>
              <w:jc w:val="both"/>
              <w:rPr>
                <w:kern w:val="0"/>
                <w14:ligatures w14:val="none"/>
              </w:rPr>
            </w:pPr>
            <w:r>
              <w:rPr>
                <w:rFonts w:ascii="Times New Roman" w:hAnsi="Times New Roman"/>
                <w:b w:val="0"/>
                <w:kern w:val="0"/>
                <w:sz w:val="24"/>
                <w14:ligatures w14:val="none"/>
              </w:rPr>
              <w:t>8</w:t>
            </w:r>
          </w:p>
        </w:tc>
        <w:tc>
          <w:tcPr>
            <w:tcW w:w="1169" w:type="dxa"/>
          </w:tcPr>
          <w:p w14:paraId="55833BB5">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7407127D">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4C389425">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31BA1890">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17167841">
            <w:pPr>
              <w:spacing w:before="0" w:after="0" w:line="240" w:lineRule="auto"/>
              <w:ind w:firstLine="0"/>
              <w:jc w:val="both"/>
              <w:rPr>
                <w:kern w:val="0"/>
                <w14:ligatures w14:val="none"/>
              </w:rPr>
            </w:pPr>
            <w:r>
              <w:rPr>
                <w:rFonts w:ascii="Times New Roman" w:hAnsi="Times New Roman"/>
                <w:b w:val="0"/>
                <w:kern w:val="0"/>
                <w:sz w:val="24"/>
                <w14:ligatures w14:val="none"/>
              </w:rPr>
              <w:t>0,6400</w:t>
            </w:r>
          </w:p>
        </w:tc>
        <w:tc>
          <w:tcPr>
            <w:tcW w:w="1169" w:type="dxa"/>
          </w:tcPr>
          <w:p w14:paraId="7A70DFF6">
            <w:pPr>
              <w:spacing w:before="0" w:after="0" w:line="240" w:lineRule="auto"/>
              <w:ind w:firstLine="0"/>
              <w:jc w:val="both"/>
              <w:rPr>
                <w:kern w:val="0"/>
                <w14:ligatures w14:val="none"/>
              </w:rPr>
            </w:pPr>
            <w:r>
              <w:rPr>
                <w:rFonts w:ascii="Times New Roman" w:hAnsi="Times New Roman"/>
                <w:b w:val="0"/>
                <w:kern w:val="0"/>
                <w:sz w:val="24"/>
                <w14:ligatures w14:val="none"/>
              </w:rPr>
              <w:t>2,61</w:t>
            </w:r>
          </w:p>
        </w:tc>
        <w:tc>
          <w:tcPr>
            <w:tcW w:w="1169" w:type="dxa"/>
          </w:tcPr>
          <w:p w14:paraId="5CA8E0DE">
            <w:pPr>
              <w:spacing w:before="0" w:after="0" w:line="240" w:lineRule="auto"/>
              <w:ind w:firstLine="0"/>
              <w:jc w:val="both"/>
              <w:rPr>
                <w:kern w:val="0"/>
                <w14:ligatures w14:val="none"/>
              </w:rPr>
            </w:pPr>
            <w:r>
              <w:rPr>
                <w:rFonts w:ascii="Times New Roman" w:hAnsi="Times New Roman"/>
                <w:b w:val="0"/>
                <w:kern w:val="0"/>
                <w:sz w:val="24"/>
                <w14:ligatures w14:val="none"/>
              </w:rPr>
              <w:t>-8,73</w:t>
            </w:r>
          </w:p>
        </w:tc>
      </w:tr>
      <w:tr w14:paraId="31F2BCC5">
        <w:tc>
          <w:tcPr>
            <w:tcW w:w="1169" w:type="dxa"/>
          </w:tcPr>
          <w:p w14:paraId="23FE128A">
            <w:pPr>
              <w:spacing w:before="0" w:after="0" w:line="240" w:lineRule="auto"/>
              <w:ind w:firstLine="0"/>
              <w:jc w:val="both"/>
              <w:rPr>
                <w:kern w:val="0"/>
                <w14:ligatures w14:val="none"/>
              </w:rPr>
            </w:pPr>
            <w:r>
              <w:rPr>
                <w:rFonts w:ascii="Times New Roman" w:hAnsi="Times New Roman"/>
                <w:b w:val="0"/>
                <w:kern w:val="0"/>
                <w:sz w:val="24"/>
                <w14:ligatures w14:val="none"/>
              </w:rPr>
              <w:t>9</w:t>
            </w:r>
          </w:p>
        </w:tc>
        <w:tc>
          <w:tcPr>
            <w:tcW w:w="1169" w:type="dxa"/>
          </w:tcPr>
          <w:p w14:paraId="6501B523">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3EEC3DB9">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6839F171">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3D06B3E8">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22DEAB06">
            <w:pPr>
              <w:spacing w:before="0" w:after="0" w:line="240" w:lineRule="auto"/>
              <w:ind w:firstLine="0"/>
              <w:jc w:val="both"/>
              <w:rPr>
                <w:kern w:val="0"/>
                <w14:ligatures w14:val="none"/>
              </w:rPr>
            </w:pPr>
            <w:r>
              <w:rPr>
                <w:rFonts w:ascii="Times New Roman" w:hAnsi="Times New Roman"/>
                <w:b w:val="0"/>
                <w:kern w:val="0"/>
                <w:sz w:val="24"/>
                <w14:ligatures w14:val="none"/>
              </w:rPr>
              <w:t>0,6053</w:t>
            </w:r>
          </w:p>
        </w:tc>
        <w:tc>
          <w:tcPr>
            <w:tcW w:w="1169" w:type="dxa"/>
          </w:tcPr>
          <w:p w14:paraId="4BD90521">
            <w:pPr>
              <w:spacing w:before="0" w:after="0" w:line="240" w:lineRule="auto"/>
              <w:ind w:firstLine="0"/>
              <w:jc w:val="both"/>
              <w:rPr>
                <w:kern w:val="0"/>
                <w14:ligatures w14:val="none"/>
              </w:rPr>
            </w:pPr>
            <w:r>
              <w:rPr>
                <w:rFonts w:ascii="Times New Roman" w:hAnsi="Times New Roman"/>
                <w:b w:val="0"/>
                <w:kern w:val="0"/>
                <w:sz w:val="24"/>
                <w14:ligatures w14:val="none"/>
              </w:rPr>
              <w:t>2,47</w:t>
            </w:r>
          </w:p>
        </w:tc>
        <w:tc>
          <w:tcPr>
            <w:tcW w:w="1169" w:type="dxa"/>
          </w:tcPr>
          <w:p w14:paraId="66E6F26A">
            <w:pPr>
              <w:spacing w:before="0" w:after="0" w:line="240" w:lineRule="auto"/>
              <w:ind w:firstLine="0"/>
              <w:jc w:val="both"/>
              <w:rPr>
                <w:kern w:val="0"/>
                <w14:ligatures w14:val="none"/>
              </w:rPr>
            </w:pPr>
            <w:r>
              <w:rPr>
                <w:rFonts w:ascii="Times New Roman" w:hAnsi="Times New Roman"/>
                <w:b w:val="0"/>
                <w:kern w:val="0"/>
                <w:sz w:val="24"/>
                <w14:ligatures w14:val="none"/>
              </w:rPr>
              <w:t>-6,26</w:t>
            </w:r>
          </w:p>
        </w:tc>
      </w:tr>
      <w:tr w14:paraId="5776EBB2">
        <w:tc>
          <w:tcPr>
            <w:tcW w:w="1169" w:type="dxa"/>
          </w:tcPr>
          <w:p w14:paraId="708DB601">
            <w:pPr>
              <w:spacing w:before="0" w:after="0" w:line="240" w:lineRule="auto"/>
              <w:ind w:firstLine="0"/>
              <w:jc w:val="both"/>
              <w:rPr>
                <w:kern w:val="0"/>
                <w14:ligatures w14:val="none"/>
              </w:rPr>
            </w:pPr>
            <w:r>
              <w:rPr>
                <w:rFonts w:ascii="Times New Roman" w:hAnsi="Times New Roman"/>
                <w:b w:val="0"/>
                <w:kern w:val="0"/>
                <w:sz w:val="24"/>
                <w14:ligatures w14:val="none"/>
              </w:rPr>
              <w:t>10</w:t>
            </w:r>
          </w:p>
        </w:tc>
        <w:tc>
          <w:tcPr>
            <w:tcW w:w="1169" w:type="dxa"/>
          </w:tcPr>
          <w:p w14:paraId="39E82FCE">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72DFD7DB">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5C607F81">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55B530A6">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18B0AA63">
            <w:pPr>
              <w:spacing w:before="0" w:after="0" w:line="240" w:lineRule="auto"/>
              <w:ind w:firstLine="0"/>
              <w:jc w:val="both"/>
              <w:rPr>
                <w:kern w:val="0"/>
                <w14:ligatures w14:val="none"/>
              </w:rPr>
            </w:pPr>
            <w:r>
              <w:rPr>
                <w:rFonts w:ascii="Times New Roman" w:hAnsi="Times New Roman"/>
                <w:b w:val="0"/>
                <w:kern w:val="0"/>
                <w:sz w:val="24"/>
                <w14:ligatures w14:val="none"/>
              </w:rPr>
              <w:t>0,5724</w:t>
            </w:r>
          </w:p>
        </w:tc>
        <w:tc>
          <w:tcPr>
            <w:tcW w:w="1169" w:type="dxa"/>
          </w:tcPr>
          <w:p w14:paraId="1E129DDC">
            <w:pPr>
              <w:spacing w:before="0" w:after="0" w:line="240" w:lineRule="auto"/>
              <w:ind w:firstLine="0"/>
              <w:jc w:val="both"/>
              <w:rPr>
                <w:kern w:val="0"/>
                <w14:ligatures w14:val="none"/>
              </w:rPr>
            </w:pPr>
            <w:r>
              <w:rPr>
                <w:rFonts w:ascii="Times New Roman" w:hAnsi="Times New Roman"/>
                <w:b w:val="0"/>
                <w:kern w:val="0"/>
                <w:sz w:val="24"/>
                <w14:ligatures w14:val="none"/>
              </w:rPr>
              <w:t>2,33</w:t>
            </w:r>
          </w:p>
        </w:tc>
        <w:tc>
          <w:tcPr>
            <w:tcW w:w="1169" w:type="dxa"/>
          </w:tcPr>
          <w:p w14:paraId="6A8391F8">
            <w:pPr>
              <w:spacing w:before="0" w:after="0" w:line="240" w:lineRule="auto"/>
              <w:ind w:firstLine="0"/>
              <w:jc w:val="both"/>
              <w:rPr>
                <w:kern w:val="0"/>
                <w14:ligatures w14:val="none"/>
              </w:rPr>
            </w:pPr>
            <w:r>
              <w:rPr>
                <w:rFonts w:ascii="Times New Roman" w:hAnsi="Times New Roman"/>
                <w:b w:val="0"/>
                <w:kern w:val="0"/>
                <w:sz w:val="24"/>
                <w14:ligatures w14:val="none"/>
              </w:rPr>
              <w:t>-3,93</w:t>
            </w:r>
          </w:p>
        </w:tc>
      </w:tr>
      <w:tr w14:paraId="48185936">
        <w:tc>
          <w:tcPr>
            <w:tcW w:w="1169" w:type="dxa"/>
          </w:tcPr>
          <w:p w14:paraId="32C4E5EA">
            <w:pPr>
              <w:spacing w:before="0" w:after="0" w:line="240" w:lineRule="auto"/>
              <w:ind w:firstLine="0"/>
              <w:jc w:val="both"/>
              <w:rPr>
                <w:kern w:val="0"/>
                <w14:ligatures w14:val="none"/>
              </w:rPr>
            </w:pPr>
            <w:r>
              <w:rPr>
                <w:rFonts w:ascii="Times New Roman" w:hAnsi="Times New Roman"/>
                <w:b w:val="0"/>
                <w:kern w:val="0"/>
                <w:sz w:val="24"/>
                <w14:ligatures w14:val="none"/>
              </w:rPr>
              <w:t>11</w:t>
            </w:r>
          </w:p>
        </w:tc>
        <w:tc>
          <w:tcPr>
            <w:tcW w:w="1169" w:type="dxa"/>
          </w:tcPr>
          <w:p w14:paraId="19661368">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539CACDB">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12AA3B67">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00E7F7A6">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65DEC7E1">
            <w:pPr>
              <w:spacing w:before="0" w:after="0" w:line="240" w:lineRule="auto"/>
              <w:ind w:firstLine="0"/>
              <w:jc w:val="both"/>
              <w:rPr>
                <w:kern w:val="0"/>
                <w14:ligatures w14:val="none"/>
              </w:rPr>
            </w:pPr>
            <w:r>
              <w:rPr>
                <w:rFonts w:ascii="Times New Roman" w:hAnsi="Times New Roman"/>
                <w:b w:val="0"/>
                <w:kern w:val="0"/>
                <w:sz w:val="24"/>
                <w14:ligatures w14:val="none"/>
              </w:rPr>
              <w:t>0,5414</w:t>
            </w:r>
          </w:p>
        </w:tc>
        <w:tc>
          <w:tcPr>
            <w:tcW w:w="1169" w:type="dxa"/>
          </w:tcPr>
          <w:p w14:paraId="61F2A91B">
            <w:pPr>
              <w:spacing w:before="0" w:after="0" w:line="240" w:lineRule="auto"/>
              <w:ind w:firstLine="0"/>
              <w:jc w:val="both"/>
              <w:rPr>
                <w:kern w:val="0"/>
                <w14:ligatures w14:val="none"/>
              </w:rPr>
            </w:pPr>
            <w:r>
              <w:rPr>
                <w:rFonts w:ascii="Times New Roman" w:hAnsi="Times New Roman"/>
                <w:b w:val="0"/>
                <w:kern w:val="0"/>
                <w:sz w:val="24"/>
                <w14:ligatures w14:val="none"/>
              </w:rPr>
              <w:t>2,21</w:t>
            </w:r>
          </w:p>
        </w:tc>
        <w:tc>
          <w:tcPr>
            <w:tcW w:w="1169" w:type="dxa"/>
          </w:tcPr>
          <w:p w14:paraId="56984B38">
            <w:pPr>
              <w:spacing w:before="0" w:after="0" w:line="240" w:lineRule="auto"/>
              <w:ind w:firstLine="0"/>
              <w:jc w:val="both"/>
              <w:rPr>
                <w:kern w:val="0"/>
                <w14:ligatures w14:val="none"/>
              </w:rPr>
            </w:pPr>
            <w:r>
              <w:rPr>
                <w:rFonts w:ascii="Times New Roman" w:hAnsi="Times New Roman"/>
                <w:b w:val="0"/>
                <w:kern w:val="0"/>
                <w:sz w:val="24"/>
                <w14:ligatures w14:val="none"/>
              </w:rPr>
              <w:t>-1,73</w:t>
            </w:r>
          </w:p>
        </w:tc>
      </w:tr>
      <w:tr w14:paraId="5E2BA840">
        <w:tc>
          <w:tcPr>
            <w:tcW w:w="1169" w:type="dxa"/>
          </w:tcPr>
          <w:p w14:paraId="39EEE9F3">
            <w:pPr>
              <w:spacing w:before="0" w:after="0" w:line="240" w:lineRule="auto"/>
              <w:ind w:firstLine="0"/>
              <w:jc w:val="both"/>
              <w:rPr>
                <w:kern w:val="0"/>
                <w14:ligatures w14:val="none"/>
              </w:rPr>
            </w:pPr>
            <w:r>
              <w:rPr>
                <w:rFonts w:ascii="Times New Roman" w:hAnsi="Times New Roman"/>
                <w:b w:val="0"/>
                <w:kern w:val="0"/>
                <w:sz w:val="24"/>
                <w14:ligatures w14:val="none"/>
              </w:rPr>
              <w:t>12</w:t>
            </w:r>
          </w:p>
        </w:tc>
        <w:tc>
          <w:tcPr>
            <w:tcW w:w="1169" w:type="dxa"/>
          </w:tcPr>
          <w:p w14:paraId="3120E530">
            <w:pPr>
              <w:spacing w:before="0" w:after="0" w:line="240" w:lineRule="auto"/>
              <w:ind w:firstLine="0"/>
              <w:jc w:val="both"/>
              <w:rPr>
                <w:kern w:val="0"/>
                <w14:ligatures w14:val="none"/>
              </w:rPr>
            </w:pPr>
            <w:r>
              <w:rPr>
                <w:rFonts w:ascii="Times New Roman" w:hAnsi="Times New Roman"/>
                <w:b w:val="0"/>
                <w:kern w:val="0"/>
                <w:sz w:val="24"/>
                <w14:ligatures w14:val="none"/>
              </w:rPr>
              <w:t>0,00</w:t>
            </w:r>
          </w:p>
        </w:tc>
        <w:tc>
          <w:tcPr>
            <w:tcW w:w="1169" w:type="dxa"/>
          </w:tcPr>
          <w:p w14:paraId="6C42ED74">
            <w:pPr>
              <w:spacing w:before="0" w:after="0" w:line="240" w:lineRule="auto"/>
              <w:ind w:firstLine="0"/>
              <w:jc w:val="both"/>
              <w:rPr>
                <w:kern w:val="0"/>
                <w14:ligatures w14:val="none"/>
              </w:rPr>
            </w:pPr>
            <w:r>
              <w:rPr>
                <w:rFonts w:ascii="Times New Roman" w:hAnsi="Times New Roman"/>
                <w:b w:val="0"/>
                <w:kern w:val="0"/>
                <w:sz w:val="24"/>
                <w14:ligatures w14:val="none"/>
              </w:rPr>
              <w:t>2,30</w:t>
            </w:r>
          </w:p>
        </w:tc>
        <w:tc>
          <w:tcPr>
            <w:tcW w:w="1169" w:type="dxa"/>
          </w:tcPr>
          <w:p w14:paraId="65A9AD4C">
            <w:pPr>
              <w:spacing w:before="0" w:after="0" w:line="240" w:lineRule="auto"/>
              <w:ind w:firstLine="0"/>
              <w:jc w:val="both"/>
              <w:rPr>
                <w:kern w:val="0"/>
                <w14:ligatures w14:val="none"/>
              </w:rPr>
            </w:pPr>
            <w:r>
              <w:rPr>
                <w:rFonts w:ascii="Times New Roman" w:hAnsi="Times New Roman"/>
                <w:b w:val="0"/>
                <w:kern w:val="0"/>
                <w:sz w:val="24"/>
                <w14:ligatures w14:val="none"/>
              </w:rPr>
              <w:t>6,38</w:t>
            </w:r>
          </w:p>
        </w:tc>
        <w:tc>
          <w:tcPr>
            <w:tcW w:w="1169" w:type="dxa"/>
          </w:tcPr>
          <w:p w14:paraId="420CA6DD">
            <w:pPr>
              <w:spacing w:before="0" w:after="0" w:line="240" w:lineRule="auto"/>
              <w:ind w:firstLine="0"/>
              <w:jc w:val="both"/>
              <w:rPr>
                <w:kern w:val="0"/>
                <w14:ligatures w14:val="none"/>
              </w:rPr>
            </w:pPr>
            <w:r>
              <w:rPr>
                <w:rFonts w:ascii="Times New Roman" w:hAnsi="Times New Roman"/>
                <w:b w:val="0"/>
                <w:kern w:val="0"/>
                <w:sz w:val="24"/>
                <w14:ligatures w14:val="none"/>
              </w:rPr>
              <w:t>4,08</w:t>
            </w:r>
          </w:p>
        </w:tc>
        <w:tc>
          <w:tcPr>
            <w:tcW w:w="1169" w:type="dxa"/>
          </w:tcPr>
          <w:p w14:paraId="7426880E">
            <w:pPr>
              <w:spacing w:before="0" w:after="0" w:line="240" w:lineRule="auto"/>
              <w:ind w:firstLine="0"/>
              <w:jc w:val="both"/>
              <w:rPr>
                <w:kern w:val="0"/>
                <w14:ligatures w14:val="none"/>
              </w:rPr>
            </w:pPr>
            <w:r>
              <w:rPr>
                <w:rFonts w:ascii="Times New Roman" w:hAnsi="Times New Roman"/>
                <w:b w:val="0"/>
                <w:kern w:val="0"/>
                <w:sz w:val="24"/>
                <w14:ligatures w14:val="none"/>
              </w:rPr>
              <w:t>0,5120</w:t>
            </w:r>
          </w:p>
        </w:tc>
        <w:tc>
          <w:tcPr>
            <w:tcW w:w="1169" w:type="dxa"/>
          </w:tcPr>
          <w:p w14:paraId="338621D3">
            <w:pPr>
              <w:spacing w:before="0" w:after="0" w:line="240" w:lineRule="auto"/>
              <w:ind w:firstLine="0"/>
              <w:jc w:val="both"/>
              <w:rPr>
                <w:kern w:val="0"/>
                <w14:ligatures w14:val="none"/>
              </w:rPr>
            </w:pPr>
            <w:r>
              <w:rPr>
                <w:rFonts w:ascii="Times New Roman" w:hAnsi="Times New Roman"/>
                <w:b w:val="0"/>
                <w:kern w:val="0"/>
                <w:sz w:val="24"/>
                <w14:ligatures w14:val="none"/>
              </w:rPr>
              <w:t>2,09</w:t>
            </w:r>
          </w:p>
        </w:tc>
        <w:tc>
          <w:tcPr>
            <w:tcW w:w="1169" w:type="dxa"/>
          </w:tcPr>
          <w:p w14:paraId="6FE23D5B">
            <w:pPr>
              <w:spacing w:before="0" w:after="0" w:line="240" w:lineRule="auto"/>
              <w:ind w:firstLine="0"/>
              <w:jc w:val="both"/>
              <w:rPr>
                <w:kern w:val="0"/>
                <w14:ligatures w14:val="none"/>
              </w:rPr>
            </w:pPr>
            <w:r>
              <w:rPr>
                <w:rFonts w:ascii="Times New Roman" w:hAnsi="Times New Roman"/>
                <w:b w:val="0"/>
                <w:kern w:val="0"/>
                <w:sz w:val="24"/>
                <w14:ligatures w14:val="none"/>
              </w:rPr>
              <w:t>0,36</w:t>
            </w:r>
          </w:p>
        </w:tc>
      </w:tr>
    </w:tbl>
    <w:p w14:paraId="11303A8C"/>
    <w:sectPr>
      <w:footerReference r:id="rId14" w:type="default"/>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309020205020404"/>
    <w:charset w:val="00"/>
    <w:family w:val="modern"/>
    <w:pitch w:val="default"/>
    <w:sig w:usb0="00000000" w:usb1="00000000" w:usb2="00000000" w:usb3="00000000" w:csb0="00000001" w:csb1="00000000"/>
  </w:font>
  <w:font w:name="MS Mincho">
    <w:altName w:val="Hiragino Sans"/>
    <w:panose1 w:val="02020609040205080304"/>
    <w:charset w:val="80"/>
    <w:family w:val="modern"/>
    <w:pitch w:val="default"/>
    <w:sig w:usb0="00000000" w:usb1="00000000" w:usb2="08000012" w:usb3="00000000" w:csb0="0002009F" w:csb1="00000000"/>
  </w:font>
  <w:font w:name="Cambria">
    <w:altName w:val="Helvetica Neue"/>
    <w:panose1 w:val="02040503050406030204"/>
    <w:charset w:val="CC"/>
    <w:family w:val="roman"/>
    <w:pitch w:val="default"/>
    <w:sig w:usb0="00000000" w:usb1="00000000" w:usb2="02000000" w:usb3="00000000" w:csb0="0000019F" w:csb1="00000000"/>
  </w:font>
  <w:font w:name="MS Gothic">
    <w:altName w:val="Hiragino Sans"/>
    <w:panose1 w:val="020B0609070205080204"/>
    <w:charset w:val="80"/>
    <w:family w:val="modern"/>
    <w:pitch w:val="default"/>
    <w:sig w:usb0="00000000" w:usb1="00000000" w:usb2="08000012" w:usb3="00000000" w:csb0="0002009F" w:csb1="00000000"/>
  </w:font>
  <w:font w:name="Cambria Math">
    <w:altName w:val="Kingsoft Math"/>
    <w:panose1 w:val="02040503050406030204"/>
    <w:charset w:val="CC"/>
    <w:family w:val="roman"/>
    <w:pitch w:val="default"/>
    <w:sig w:usb0="00000000" w:usb1="00000000" w:usb2="02000000" w:usb3="00000000" w:csb0="0000019F" w:csb1="00000000"/>
  </w:font>
  <w:font w:name="Helvetica Neue">
    <w:panose1 w:val="02000503000000020004"/>
    <w:charset w:val="00"/>
    <w:family w:val="auto"/>
    <w:pitch w:val="default"/>
    <w:sig w:usb0="E50002FF" w:usb1="500079DB" w:usb2="00000010" w:usb3="00000000" w:csb0="00000000" w:csb1="00000000"/>
  </w:font>
  <w:font w:name="Hiragino Sans">
    <w:panose1 w:val="020B0700000000000000"/>
    <w:charset w:val="80"/>
    <w:family w:val="auto"/>
    <w:pitch w:val="default"/>
    <w:sig w:usb0="800002CF" w:usb1="6AC7FCFC"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48073">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4649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C4DCD">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A05F3">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E051B">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49DB2">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8610D">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31962">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70021">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8B549">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7C01101"/>
    <w:multiLevelType w:val="multilevel"/>
    <w:tmpl w:val="07C01101"/>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08E01932"/>
    <w:multiLevelType w:val="multilevel"/>
    <w:tmpl w:val="08E019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D1A60A6"/>
    <w:multiLevelType w:val="multilevel"/>
    <w:tmpl w:val="0D1A60A6"/>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9">
    <w:nsid w:val="111471DE"/>
    <w:multiLevelType w:val="multilevel"/>
    <w:tmpl w:val="111471DE"/>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0">
    <w:nsid w:val="1268505D"/>
    <w:multiLevelType w:val="multilevel"/>
    <w:tmpl w:val="1268505D"/>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1D196F33"/>
    <w:multiLevelType w:val="multilevel"/>
    <w:tmpl w:val="1D196F3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
    <w:nsid w:val="251C696D"/>
    <w:multiLevelType w:val="multilevel"/>
    <w:tmpl w:val="251C696D"/>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3">
    <w:nsid w:val="27772B41"/>
    <w:multiLevelType w:val="multilevel"/>
    <w:tmpl w:val="27772B41"/>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4">
    <w:nsid w:val="380265C0"/>
    <w:multiLevelType w:val="multilevel"/>
    <w:tmpl w:val="380265C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5">
    <w:nsid w:val="39081C70"/>
    <w:multiLevelType w:val="multilevel"/>
    <w:tmpl w:val="39081C70"/>
    <w:lvl w:ilvl="0" w:tentative="0">
      <w:start w:val="1"/>
      <w:numFmt w:val="decimal"/>
      <w:lvlText w:val="%1)"/>
      <w:lvlJc w:val="left"/>
      <w:pPr>
        <w:ind w:left="1069" w:hanging="360"/>
      </w:pPr>
      <w:rPr>
        <w:rFonts w:hint="default"/>
        <w:color w:val="000000"/>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6">
    <w:nsid w:val="40374E21"/>
    <w:multiLevelType w:val="multilevel"/>
    <w:tmpl w:val="40374E21"/>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
    <w:nsid w:val="49742CF9"/>
    <w:multiLevelType w:val="multilevel"/>
    <w:tmpl w:val="49742CF9"/>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
    <w:nsid w:val="4B1472CE"/>
    <w:multiLevelType w:val="multilevel"/>
    <w:tmpl w:val="4B1472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DD057AD"/>
    <w:multiLevelType w:val="multilevel"/>
    <w:tmpl w:val="4DD057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2D507C4"/>
    <w:multiLevelType w:val="multilevel"/>
    <w:tmpl w:val="52D507C4"/>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
    <w:nsid w:val="55707CFD"/>
    <w:multiLevelType w:val="multilevel"/>
    <w:tmpl w:val="55707CFD"/>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
    <w:nsid w:val="5E6C32D1"/>
    <w:multiLevelType w:val="multilevel"/>
    <w:tmpl w:val="5E6C32D1"/>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3">
    <w:nsid w:val="607070E8"/>
    <w:multiLevelType w:val="multilevel"/>
    <w:tmpl w:val="607070E8"/>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4">
    <w:nsid w:val="6408541D"/>
    <w:multiLevelType w:val="multilevel"/>
    <w:tmpl w:val="6408541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5676463"/>
    <w:multiLevelType w:val="multilevel"/>
    <w:tmpl w:val="656764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973234B"/>
    <w:multiLevelType w:val="multilevel"/>
    <w:tmpl w:val="6973234B"/>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7">
    <w:nsid w:val="6C9D0E3C"/>
    <w:multiLevelType w:val="multilevel"/>
    <w:tmpl w:val="6C9D0E3C"/>
    <w:lvl w:ilvl="0" w:tentative="0">
      <w:start w:val="1"/>
      <w:numFmt w:val="bullet"/>
      <w:lvlText w:val="̶"/>
      <w:lvlJc w:val="center"/>
      <w:pPr>
        <w:ind w:left="1429" w:hanging="360"/>
      </w:pPr>
      <w:rPr>
        <w:rFonts w:hint="default" w:ascii="Calibri" w:hAnsi="Calibr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8">
    <w:nsid w:val="6EC26684"/>
    <w:multiLevelType w:val="multilevel"/>
    <w:tmpl w:val="6EC2668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9">
    <w:nsid w:val="764C12D0"/>
    <w:multiLevelType w:val="multilevel"/>
    <w:tmpl w:val="764C12D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0">
    <w:nsid w:val="7AB25F4B"/>
    <w:multiLevelType w:val="multilevel"/>
    <w:tmpl w:val="7AB25F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F390DF9"/>
    <w:multiLevelType w:val="multilevel"/>
    <w:tmpl w:val="7F390DF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lvlOverride w:ilvl="0">
      <w:startOverride w:val="1"/>
    </w:lvlOverride>
  </w:num>
  <w:num w:numId="5">
    <w:abstractNumId w:val="1"/>
    <w:lvlOverride w:ilvl="0">
      <w:startOverride w:val="1"/>
    </w:lvlOverride>
  </w:num>
  <w:num w:numId="6">
    <w:abstractNumId w:val="0"/>
    <w:lvlOverride w:ilvl="0">
      <w:startOverride w:val="1"/>
    </w:lvlOverride>
  </w:num>
  <w:num w:numId="7">
    <w:abstractNumId w:val="15"/>
  </w:num>
  <w:num w:numId="8">
    <w:abstractNumId w:val="10"/>
  </w:num>
  <w:num w:numId="9">
    <w:abstractNumId w:val="26"/>
  </w:num>
  <w:num w:numId="10">
    <w:abstractNumId w:val="6"/>
  </w:num>
  <w:num w:numId="11">
    <w:abstractNumId w:val="11"/>
  </w:num>
  <w:num w:numId="12">
    <w:abstractNumId w:val="22"/>
  </w:num>
  <w:num w:numId="13">
    <w:abstractNumId w:val="16"/>
  </w:num>
  <w:num w:numId="14">
    <w:abstractNumId w:val="23"/>
  </w:num>
  <w:num w:numId="15">
    <w:abstractNumId w:val="29"/>
  </w:num>
  <w:num w:numId="16">
    <w:abstractNumId w:val="20"/>
  </w:num>
  <w:num w:numId="17">
    <w:abstractNumId w:val="28"/>
  </w:num>
  <w:num w:numId="18">
    <w:abstractNumId w:val="27"/>
  </w:num>
  <w:num w:numId="19">
    <w:abstractNumId w:val="13"/>
  </w:num>
  <w:num w:numId="20">
    <w:abstractNumId w:val="14"/>
  </w:num>
  <w:num w:numId="21">
    <w:abstractNumId w:val="12"/>
  </w:num>
  <w:num w:numId="22">
    <w:abstractNumId w:val="7"/>
  </w:num>
  <w:num w:numId="23">
    <w:abstractNumId w:val="9"/>
  </w:num>
  <w:num w:numId="24">
    <w:abstractNumId w:val="24"/>
  </w:num>
  <w:num w:numId="25">
    <w:abstractNumId w:val="31"/>
  </w:num>
  <w:num w:numId="26">
    <w:abstractNumId w:val="8"/>
  </w:num>
  <w:num w:numId="27">
    <w:abstractNumId w:val="18"/>
  </w:num>
  <w:num w:numId="28">
    <w:abstractNumId w:val="30"/>
  </w:num>
  <w:num w:numId="29">
    <w:abstractNumId w:val="25"/>
  </w:num>
  <w:num w:numId="30">
    <w:abstractNumId w:val="19"/>
  </w:num>
  <w:num w:numId="31">
    <w:abstractNumId w:val="17"/>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380"/>
    <w:rsid w:val="0001315F"/>
    <w:rsid w:val="000161A9"/>
    <w:rsid w:val="000409D1"/>
    <w:rsid w:val="00043BCC"/>
    <w:rsid w:val="000507AB"/>
    <w:rsid w:val="00052EEB"/>
    <w:rsid w:val="00062171"/>
    <w:rsid w:val="00065388"/>
    <w:rsid w:val="000668D9"/>
    <w:rsid w:val="000801FB"/>
    <w:rsid w:val="00090DEC"/>
    <w:rsid w:val="000A615E"/>
    <w:rsid w:val="000B3D50"/>
    <w:rsid w:val="000D05D9"/>
    <w:rsid w:val="00122714"/>
    <w:rsid w:val="0013789B"/>
    <w:rsid w:val="00163A86"/>
    <w:rsid w:val="00192904"/>
    <w:rsid w:val="001C0037"/>
    <w:rsid w:val="001C0DA3"/>
    <w:rsid w:val="001C3E76"/>
    <w:rsid w:val="001C707F"/>
    <w:rsid w:val="001D14C6"/>
    <w:rsid w:val="001E75DC"/>
    <w:rsid w:val="00205BB9"/>
    <w:rsid w:val="00212A88"/>
    <w:rsid w:val="00217F0B"/>
    <w:rsid w:val="00230EE4"/>
    <w:rsid w:val="00235F81"/>
    <w:rsid w:val="00247D89"/>
    <w:rsid w:val="0026391B"/>
    <w:rsid w:val="002678B6"/>
    <w:rsid w:val="0027461C"/>
    <w:rsid w:val="002900A1"/>
    <w:rsid w:val="002A2E56"/>
    <w:rsid w:val="002A3ECC"/>
    <w:rsid w:val="002B21EA"/>
    <w:rsid w:val="002C3D47"/>
    <w:rsid w:val="002E7F1A"/>
    <w:rsid w:val="002F02AC"/>
    <w:rsid w:val="00320803"/>
    <w:rsid w:val="00322CCF"/>
    <w:rsid w:val="00356506"/>
    <w:rsid w:val="003605AB"/>
    <w:rsid w:val="0036357F"/>
    <w:rsid w:val="00373B37"/>
    <w:rsid w:val="00374AB5"/>
    <w:rsid w:val="00387421"/>
    <w:rsid w:val="003B1380"/>
    <w:rsid w:val="003B2063"/>
    <w:rsid w:val="003C1FE2"/>
    <w:rsid w:val="003C35EB"/>
    <w:rsid w:val="003C3D14"/>
    <w:rsid w:val="003C44F7"/>
    <w:rsid w:val="003D19E9"/>
    <w:rsid w:val="003D77C2"/>
    <w:rsid w:val="003D7A7F"/>
    <w:rsid w:val="0045174B"/>
    <w:rsid w:val="00492E76"/>
    <w:rsid w:val="00496C2F"/>
    <w:rsid w:val="004B48DD"/>
    <w:rsid w:val="004B5C37"/>
    <w:rsid w:val="004B7DB2"/>
    <w:rsid w:val="004C3FA4"/>
    <w:rsid w:val="004E79A4"/>
    <w:rsid w:val="005303EA"/>
    <w:rsid w:val="00565083"/>
    <w:rsid w:val="005658A1"/>
    <w:rsid w:val="00586B2A"/>
    <w:rsid w:val="005914E5"/>
    <w:rsid w:val="00594137"/>
    <w:rsid w:val="005B3174"/>
    <w:rsid w:val="005B5ABC"/>
    <w:rsid w:val="005D042E"/>
    <w:rsid w:val="005D0803"/>
    <w:rsid w:val="005D4EC1"/>
    <w:rsid w:val="005D61F2"/>
    <w:rsid w:val="005D75C3"/>
    <w:rsid w:val="00621FD3"/>
    <w:rsid w:val="006407D4"/>
    <w:rsid w:val="006417EE"/>
    <w:rsid w:val="00644DBC"/>
    <w:rsid w:val="00645494"/>
    <w:rsid w:val="006470BC"/>
    <w:rsid w:val="00652BAB"/>
    <w:rsid w:val="00661274"/>
    <w:rsid w:val="00662F0E"/>
    <w:rsid w:val="00686C4E"/>
    <w:rsid w:val="006A0A4A"/>
    <w:rsid w:val="006A0E25"/>
    <w:rsid w:val="006B64AD"/>
    <w:rsid w:val="006C1EB5"/>
    <w:rsid w:val="006D1603"/>
    <w:rsid w:val="006E07DC"/>
    <w:rsid w:val="006F171C"/>
    <w:rsid w:val="006F78CA"/>
    <w:rsid w:val="00705250"/>
    <w:rsid w:val="007119A2"/>
    <w:rsid w:val="00712020"/>
    <w:rsid w:val="00726724"/>
    <w:rsid w:val="00751FE8"/>
    <w:rsid w:val="007568F0"/>
    <w:rsid w:val="007624EB"/>
    <w:rsid w:val="00771D95"/>
    <w:rsid w:val="007812EE"/>
    <w:rsid w:val="007C19E0"/>
    <w:rsid w:val="007C2819"/>
    <w:rsid w:val="007C3760"/>
    <w:rsid w:val="007C6CA5"/>
    <w:rsid w:val="007C7C1D"/>
    <w:rsid w:val="007D52DF"/>
    <w:rsid w:val="007D5A77"/>
    <w:rsid w:val="007E0C05"/>
    <w:rsid w:val="007F40D0"/>
    <w:rsid w:val="007F476B"/>
    <w:rsid w:val="008117DD"/>
    <w:rsid w:val="008138A3"/>
    <w:rsid w:val="00820FC4"/>
    <w:rsid w:val="008239F9"/>
    <w:rsid w:val="00843FE8"/>
    <w:rsid w:val="008614EB"/>
    <w:rsid w:val="00865F25"/>
    <w:rsid w:val="00870068"/>
    <w:rsid w:val="00883BBF"/>
    <w:rsid w:val="008854FB"/>
    <w:rsid w:val="008A6ACB"/>
    <w:rsid w:val="008B3BA6"/>
    <w:rsid w:val="008D4540"/>
    <w:rsid w:val="008D48F1"/>
    <w:rsid w:val="008E1ABE"/>
    <w:rsid w:val="008E3691"/>
    <w:rsid w:val="008E6673"/>
    <w:rsid w:val="008F7A7D"/>
    <w:rsid w:val="00913BCE"/>
    <w:rsid w:val="00921226"/>
    <w:rsid w:val="00962055"/>
    <w:rsid w:val="00974DA9"/>
    <w:rsid w:val="00986789"/>
    <w:rsid w:val="00993404"/>
    <w:rsid w:val="00997A81"/>
    <w:rsid w:val="009A271D"/>
    <w:rsid w:val="009B05F5"/>
    <w:rsid w:val="009B3AB5"/>
    <w:rsid w:val="009C056B"/>
    <w:rsid w:val="009E42C7"/>
    <w:rsid w:val="009E6213"/>
    <w:rsid w:val="009F6D54"/>
    <w:rsid w:val="00A03E44"/>
    <w:rsid w:val="00A20B6A"/>
    <w:rsid w:val="00A32590"/>
    <w:rsid w:val="00A51D7A"/>
    <w:rsid w:val="00A52D39"/>
    <w:rsid w:val="00A842CA"/>
    <w:rsid w:val="00A86520"/>
    <w:rsid w:val="00A90D13"/>
    <w:rsid w:val="00A9244E"/>
    <w:rsid w:val="00A95DBD"/>
    <w:rsid w:val="00AB162F"/>
    <w:rsid w:val="00AC1DE5"/>
    <w:rsid w:val="00AE5D87"/>
    <w:rsid w:val="00B00779"/>
    <w:rsid w:val="00B01863"/>
    <w:rsid w:val="00B30B3B"/>
    <w:rsid w:val="00B46B20"/>
    <w:rsid w:val="00B62C97"/>
    <w:rsid w:val="00B63901"/>
    <w:rsid w:val="00B6658F"/>
    <w:rsid w:val="00B91D59"/>
    <w:rsid w:val="00BA0681"/>
    <w:rsid w:val="00BA0A14"/>
    <w:rsid w:val="00BA6533"/>
    <w:rsid w:val="00BC78B9"/>
    <w:rsid w:val="00BD376E"/>
    <w:rsid w:val="00BE3EE3"/>
    <w:rsid w:val="00C31141"/>
    <w:rsid w:val="00C314DA"/>
    <w:rsid w:val="00C44BC5"/>
    <w:rsid w:val="00C62743"/>
    <w:rsid w:val="00C65B60"/>
    <w:rsid w:val="00C8129A"/>
    <w:rsid w:val="00C814C2"/>
    <w:rsid w:val="00C95943"/>
    <w:rsid w:val="00CA09CB"/>
    <w:rsid w:val="00CA2AEE"/>
    <w:rsid w:val="00CB00CA"/>
    <w:rsid w:val="00CB3CE9"/>
    <w:rsid w:val="00CC3620"/>
    <w:rsid w:val="00CE5A7E"/>
    <w:rsid w:val="00CF5985"/>
    <w:rsid w:val="00D01E31"/>
    <w:rsid w:val="00D33AD8"/>
    <w:rsid w:val="00D453DC"/>
    <w:rsid w:val="00D57F58"/>
    <w:rsid w:val="00D63EFE"/>
    <w:rsid w:val="00D72270"/>
    <w:rsid w:val="00D908EB"/>
    <w:rsid w:val="00DA48B0"/>
    <w:rsid w:val="00DA4CD5"/>
    <w:rsid w:val="00DA7DB7"/>
    <w:rsid w:val="00DC0D12"/>
    <w:rsid w:val="00DC534E"/>
    <w:rsid w:val="00DC5E8B"/>
    <w:rsid w:val="00DC7785"/>
    <w:rsid w:val="00DD55EB"/>
    <w:rsid w:val="00DD5D58"/>
    <w:rsid w:val="00DE31AF"/>
    <w:rsid w:val="00E15979"/>
    <w:rsid w:val="00E66D37"/>
    <w:rsid w:val="00E7080D"/>
    <w:rsid w:val="00E74BE7"/>
    <w:rsid w:val="00E806EE"/>
    <w:rsid w:val="00E935CE"/>
    <w:rsid w:val="00EA0E5F"/>
    <w:rsid w:val="00EA0ED4"/>
    <w:rsid w:val="00EC2795"/>
    <w:rsid w:val="00EC448E"/>
    <w:rsid w:val="00EE2194"/>
    <w:rsid w:val="00F27164"/>
    <w:rsid w:val="00F3674D"/>
    <w:rsid w:val="00F54886"/>
    <w:rsid w:val="00F5723A"/>
    <w:rsid w:val="00F65F6A"/>
    <w:rsid w:val="00F8788E"/>
    <w:rsid w:val="00F91E6D"/>
    <w:rsid w:val="00FA05D6"/>
    <w:rsid w:val="00FC2122"/>
    <w:rsid w:val="00FC2DF4"/>
    <w:rsid w:val="00FC6B77"/>
    <w:rsid w:val="00FF6745"/>
    <w:rsid w:val="7BDE8DBD"/>
    <w:rsid w:val="7FDFEE56"/>
    <w:rsid w:val="BE7EB5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before="0" w:after="0" w:line="360" w:lineRule="auto"/>
      <w:ind w:firstLine="709"/>
      <w:jc w:val="both"/>
    </w:pPr>
    <w:rPr>
      <w:rFonts w:asciiTheme="minorHAnsi" w:hAnsiTheme="minorHAnsi" w:eastAsiaTheme="minorHAnsi" w:cstheme="minorBidi"/>
      <w:kern w:val="2"/>
      <w:sz w:val="28"/>
      <w:szCs w:val="24"/>
      <w:lang w:val="ru-RU" w:eastAsia="en-US" w:bidi="ar-SA"/>
      <w14:ligatures w14:val="standardContextual"/>
    </w:rPr>
  </w:style>
  <w:style w:type="paragraph" w:styleId="2">
    <w:name w:val="heading 1"/>
    <w:basedOn w:val="1"/>
    <w:next w:val="1"/>
    <w:link w:val="138"/>
    <w:qFormat/>
    <w:uiPriority w:val="9"/>
    <w:pPr>
      <w:keepNext/>
      <w:keepLines/>
      <w:spacing w:before="0" w:after="0"/>
      <w:outlineLvl w:val="0"/>
    </w:pPr>
    <w:rPr>
      <w:rFonts w:asciiTheme="majorHAnsi" w:hAnsiTheme="majorHAnsi" w:eastAsiaTheme="majorEastAsia" w:cstheme="majorBidi"/>
      <w:b/>
      <w:caps/>
      <w:color w:val="000000"/>
      <w:sz w:val="28"/>
      <w:szCs w:val="40"/>
    </w:rPr>
  </w:style>
  <w:style w:type="paragraph" w:styleId="3">
    <w:name w:val="heading 2"/>
    <w:basedOn w:val="1"/>
    <w:next w:val="1"/>
    <w:link w:val="139"/>
    <w:semiHidden/>
    <w:unhideWhenUsed/>
    <w:qFormat/>
    <w:uiPriority w:val="9"/>
    <w:pPr>
      <w:keepNext/>
      <w:keepLines/>
      <w:spacing w:before="0" w:after="0"/>
      <w:outlineLvl w:val="1"/>
    </w:pPr>
    <w:rPr>
      <w:rFonts w:asciiTheme="majorHAnsi" w:hAnsiTheme="majorHAnsi" w:eastAsiaTheme="majorEastAsia" w:cstheme="majorBidi"/>
      <w:b/>
      <w:color w:val="000000"/>
      <w:sz w:val="28"/>
      <w:szCs w:val="32"/>
    </w:rPr>
  </w:style>
  <w:style w:type="paragraph" w:styleId="4">
    <w:name w:val="heading 3"/>
    <w:basedOn w:val="1"/>
    <w:next w:val="1"/>
    <w:link w:val="140"/>
    <w:semiHidden/>
    <w:unhideWhenUsed/>
    <w:qFormat/>
    <w:uiPriority w:val="9"/>
    <w:pPr>
      <w:keepNext/>
      <w:keepLines/>
      <w:spacing w:before="0" w:after="0"/>
      <w:outlineLvl w:val="2"/>
    </w:pPr>
    <w:rPr>
      <w:rFonts w:eastAsiaTheme="majorEastAsia" w:cstheme="majorBidi"/>
      <w:color w:val="104862" w:themeColor="accent1" w:themeShade="BF"/>
      <w:sz w:val="28"/>
      <w:szCs w:val="28"/>
    </w:rPr>
  </w:style>
  <w:style w:type="paragraph" w:styleId="5">
    <w:name w:val="heading 4"/>
    <w:basedOn w:val="1"/>
    <w:next w:val="1"/>
    <w:link w:val="14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4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14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4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4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4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65"/>
    <w:semiHidden/>
    <w:unhideWhenUsed/>
    <w:uiPriority w:val="99"/>
    <w:pPr>
      <w:spacing w:after="120" w:line="276" w:lineRule="auto"/>
    </w:pPr>
    <w:rPr>
      <w:rFonts w:ascii="Times New Roman" w:hAnsi="Times New Roman" w:eastAsia="Times New Roman" w:cs="Times New Roman"/>
      <w:color w:val="000000"/>
      <w:kern w:val="0"/>
      <w:sz w:val="28"/>
      <w:szCs w:val="22"/>
      <w:lang w:val="en-US"/>
      <w14:ligatures w14:val="none"/>
    </w:rPr>
  </w:style>
  <w:style w:type="paragraph" w:styleId="14">
    <w:name w:val="Body Text 2"/>
    <w:basedOn w:val="1"/>
    <w:link w:val="166"/>
    <w:semiHidden/>
    <w:unhideWhenUsed/>
    <w:uiPriority w:val="99"/>
    <w:pPr>
      <w:spacing w:after="120" w:line="480" w:lineRule="auto"/>
    </w:pPr>
    <w:rPr>
      <w:rFonts w:ascii="Times New Roman" w:hAnsi="Times New Roman" w:eastAsia="Times New Roman" w:cs="Times New Roman"/>
      <w:color w:val="000000"/>
      <w:kern w:val="0"/>
      <w:sz w:val="28"/>
      <w:szCs w:val="22"/>
      <w:lang w:val="en-US"/>
      <w14:ligatures w14:val="none"/>
    </w:rPr>
  </w:style>
  <w:style w:type="paragraph" w:styleId="15">
    <w:name w:val="Body Text 3"/>
    <w:basedOn w:val="1"/>
    <w:link w:val="167"/>
    <w:semiHidden/>
    <w:unhideWhenUsed/>
    <w:uiPriority w:val="99"/>
    <w:pPr>
      <w:spacing w:after="120" w:line="276" w:lineRule="auto"/>
    </w:pPr>
    <w:rPr>
      <w:rFonts w:ascii="Times New Roman" w:hAnsi="Times New Roman" w:eastAsia="Times New Roman" w:cs="Times New Roman"/>
      <w:color w:val="000000"/>
      <w:kern w:val="0"/>
      <w:sz w:val="16"/>
      <w:szCs w:val="16"/>
      <w:lang w:val="en-US"/>
      <w14:ligatures w14:val="none"/>
    </w:rPr>
  </w:style>
  <w:style w:type="character" w:styleId="16">
    <w:name w:val="FollowedHyperlink"/>
    <w:basedOn w:val="11"/>
    <w:semiHidden/>
    <w:unhideWhenUsed/>
    <w:uiPriority w:val="99"/>
    <w:rPr>
      <w:color w:val="96607D" w:themeColor="followedHyperlink"/>
      <w:u w:val="single"/>
      <w14:textFill>
        <w14:solidFill>
          <w14:schemeClr w14:val="folHlink"/>
        </w14:solidFill>
      </w14:textFill>
    </w:rPr>
  </w:style>
  <w:style w:type="paragraph" w:styleId="17">
    <w:name w:val="footer"/>
    <w:basedOn w:val="1"/>
    <w:link w:val="160"/>
    <w:unhideWhenUsed/>
    <w:uiPriority w:val="99"/>
    <w:pPr>
      <w:tabs>
        <w:tab w:val="center" w:pos="4677"/>
        <w:tab w:val="right" w:pos="9355"/>
      </w:tabs>
      <w:spacing w:after="0" w:line="240" w:lineRule="auto"/>
    </w:pPr>
  </w:style>
  <w:style w:type="character" w:styleId="18">
    <w:name w:val="footnote reference"/>
    <w:basedOn w:val="11"/>
    <w:semiHidden/>
    <w:unhideWhenUsed/>
    <w:uiPriority w:val="99"/>
    <w:rPr>
      <w:vertAlign w:val="superscript"/>
    </w:rPr>
  </w:style>
  <w:style w:type="paragraph" w:styleId="19">
    <w:name w:val="footnote text"/>
    <w:basedOn w:val="1"/>
    <w:link w:val="157"/>
    <w:unhideWhenUsed/>
    <w:uiPriority w:val="99"/>
    <w:pPr>
      <w:spacing w:after="0" w:line="240" w:lineRule="auto"/>
    </w:pPr>
    <w:rPr>
      <w:kern w:val="0"/>
      <w:sz w:val="20"/>
      <w:szCs w:val="20"/>
      <w14:ligatures w14:val="none"/>
    </w:rPr>
  </w:style>
  <w:style w:type="paragraph" w:styleId="20">
    <w:name w:val="header"/>
    <w:basedOn w:val="1"/>
    <w:link w:val="159"/>
    <w:unhideWhenUsed/>
    <w:uiPriority w:val="99"/>
    <w:pPr>
      <w:tabs>
        <w:tab w:val="center" w:pos="4677"/>
        <w:tab w:val="right" w:pos="9355"/>
      </w:tabs>
      <w:spacing w:after="0" w:line="240" w:lineRule="auto"/>
    </w:pPr>
  </w:style>
  <w:style w:type="character" w:styleId="21">
    <w:name w:val="Hyperlink"/>
    <w:basedOn w:val="11"/>
    <w:unhideWhenUsed/>
    <w:uiPriority w:val="99"/>
    <w:rPr>
      <w:color w:val="467886" w:themeColor="hyperlink"/>
      <w:u w:val="single"/>
      <w14:textFill>
        <w14:solidFill>
          <w14:schemeClr w14:val="hlink"/>
        </w14:solidFill>
      </w14:textFill>
    </w:rPr>
  </w:style>
  <w:style w:type="paragraph" w:styleId="22">
    <w:name w:val="List"/>
    <w:basedOn w:val="1"/>
    <w:semiHidden/>
    <w:unhideWhenUsed/>
    <w:uiPriority w:val="99"/>
    <w:pPr>
      <w:spacing w:after="200" w:line="276" w:lineRule="auto"/>
      <w:ind w:left="360" w:hanging="360"/>
      <w:contextualSpacing/>
    </w:pPr>
    <w:rPr>
      <w:rFonts w:ascii="Times New Roman" w:hAnsi="Times New Roman" w:eastAsia="Times New Roman" w:cs="Times New Roman"/>
      <w:color w:val="000000"/>
      <w:kern w:val="0"/>
      <w:sz w:val="28"/>
      <w:szCs w:val="22"/>
      <w:lang w:val="en-US"/>
      <w14:ligatures w14:val="none"/>
    </w:rPr>
  </w:style>
  <w:style w:type="paragraph" w:styleId="23">
    <w:name w:val="List 2"/>
    <w:basedOn w:val="1"/>
    <w:semiHidden/>
    <w:unhideWhenUsed/>
    <w:uiPriority w:val="99"/>
    <w:pPr>
      <w:spacing w:after="200" w:line="276" w:lineRule="auto"/>
      <w:ind w:left="720" w:hanging="360"/>
      <w:contextualSpacing/>
    </w:pPr>
    <w:rPr>
      <w:rFonts w:ascii="Times New Roman" w:hAnsi="Times New Roman" w:eastAsia="Times New Roman" w:cs="Times New Roman"/>
      <w:color w:val="000000"/>
      <w:kern w:val="0"/>
      <w:sz w:val="28"/>
      <w:szCs w:val="22"/>
      <w:lang w:val="en-US"/>
      <w14:ligatures w14:val="none"/>
    </w:rPr>
  </w:style>
  <w:style w:type="paragraph" w:styleId="24">
    <w:name w:val="List 3"/>
    <w:basedOn w:val="1"/>
    <w:semiHidden/>
    <w:unhideWhenUsed/>
    <w:uiPriority w:val="99"/>
    <w:pPr>
      <w:spacing w:after="200" w:line="276" w:lineRule="auto"/>
      <w:ind w:left="1080" w:hanging="360"/>
      <w:contextualSpacing/>
    </w:pPr>
    <w:rPr>
      <w:rFonts w:ascii="Times New Roman" w:hAnsi="Times New Roman" w:eastAsia="Times New Roman" w:cs="Times New Roman"/>
      <w:color w:val="000000"/>
      <w:kern w:val="0"/>
      <w:sz w:val="28"/>
      <w:szCs w:val="22"/>
      <w:lang w:val="en-US"/>
      <w14:ligatures w14:val="none"/>
    </w:rPr>
  </w:style>
  <w:style w:type="paragraph" w:styleId="25">
    <w:name w:val="List Bullet"/>
    <w:basedOn w:val="1"/>
    <w:semiHidden/>
    <w:unhideWhenUsed/>
    <w:uiPriority w:val="99"/>
    <w:pPr>
      <w:numPr>
        <w:ilvl w:val="0"/>
        <w:numId w:val="1"/>
      </w:numPr>
      <w:spacing w:after="200" w:line="276" w:lineRule="auto"/>
      <w:contextualSpacing/>
    </w:pPr>
    <w:rPr>
      <w:rFonts w:ascii="Times New Roman" w:hAnsi="Times New Roman" w:eastAsia="Times New Roman" w:cs="Times New Roman"/>
      <w:color w:val="000000"/>
      <w:kern w:val="0"/>
      <w:sz w:val="28"/>
      <w:szCs w:val="22"/>
      <w:lang w:val="en-US"/>
      <w14:ligatures w14:val="none"/>
    </w:rPr>
  </w:style>
  <w:style w:type="paragraph" w:styleId="26">
    <w:name w:val="List Bullet 2"/>
    <w:basedOn w:val="1"/>
    <w:semiHidden/>
    <w:unhideWhenUsed/>
    <w:uiPriority w:val="99"/>
    <w:pPr>
      <w:numPr>
        <w:ilvl w:val="0"/>
        <w:numId w:val="2"/>
      </w:numPr>
      <w:spacing w:after="200" w:line="276" w:lineRule="auto"/>
      <w:contextualSpacing/>
    </w:pPr>
    <w:rPr>
      <w:rFonts w:ascii="Times New Roman" w:hAnsi="Times New Roman" w:eastAsia="Times New Roman" w:cs="Times New Roman"/>
      <w:color w:val="000000"/>
      <w:kern w:val="0"/>
      <w:sz w:val="28"/>
      <w:szCs w:val="22"/>
      <w:lang w:val="en-US"/>
      <w14:ligatures w14:val="none"/>
    </w:rPr>
  </w:style>
  <w:style w:type="paragraph" w:styleId="27">
    <w:name w:val="List Bullet 3"/>
    <w:basedOn w:val="1"/>
    <w:semiHidden/>
    <w:unhideWhenUsed/>
    <w:uiPriority w:val="99"/>
    <w:pPr>
      <w:numPr>
        <w:ilvl w:val="0"/>
        <w:numId w:val="3"/>
      </w:numPr>
      <w:spacing w:after="200" w:line="276" w:lineRule="auto"/>
      <w:contextualSpacing/>
    </w:pPr>
    <w:rPr>
      <w:rFonts w:ascii="Times New Roman" w:hAnsi="Times New Roman" w:eastAsia="Times New Roman" w:cs="Times New Roman"/>
      <w:color w:val="000000"/>
      <w:kern w:val="0"/>
      <w:sz w:val="28"/>
      <w:szCs w:val="22"/>
      <w:lang w:val="en-US"/>
      <w14:ligatures w14:val="none"/>
    </w:rPr>
  </w:style>
  <w:style w:type="paragraph" w:styleId="28">
    <w:name w:val="List Continue"/>
    <w:basedOn w:val="1"/>
    <w:semiHidden/>
    <w:unhideWhenUsed/>
    <w:uiPriority w:val="99"/>
    <w:pPr>
      <w:spacing w:after="120" w:line="276" w:lineRule="auto"/>
      <w:ind w:left="360"/>
      <w:contextualSpacing/>
    </w:pPr>
    <w:rPr>
      <w:rFonts w:ascii="Times New Roman" w:hAnsi="Times New Roman" w:eastAsia="Times New Roman" w:cs="Times New Roman"/>
      <w:color w:val="000000"/>
      <w:kern w:val="0"/>
      <w:sz w:val="28"/>
      <w:szCs w:val="22"/>
      <w:lang w:val="en-US"/>
      <w14:ligatures w14:val="none"/>
    </w:rPr>
  </w:style>
  <w:style w:type="paragraph" w:styleId="29">
    <w:name w:val="List Continue 2"/>
    <w:basedOn w:val="1"/>
    <w:semiHidden/>
    <w:unhideWhenUsed/>
    <w:uiPriority w:val="99"/>
    <w:pPr>
      <w:spacing w:after="120" w:line="276" w:lineRule="auto"/>
      <w:ind w:left="720"/>
      <w:contextualSpacing/>
    </w:pPr>
    <w:rPr>
      <w:rFonts w:ascii="Times New Roman" w:hAnsi="Times New Roman" w:eastAsia="Times New Roman" w:cs="Times New Roman"/>
      <w:color w:val="000000"/>
      <w:kern w:val="0"/>
      <w:sz w:val="28"/>
      <w:szCs w:val="22"/>
      <w:lang w:val="en-US"/>
      <w14:ligatures w14:val="none"/>
    </w:rPr>
  </w:style>
  <w:style w:type="paragraph" w:styleId="30">
    <w:name w:val="List Continue 3"/>
    <w:basedOn w:val="1"/>
    <w:semiHidden/>
    <w:unhideWhenUsed/>
    <w:uiPriority w:val="99"/>
    <w:pPr>
      <w:spacing w:after="120" w:line="276" w:lineRule="auto"/>
      <w:ind w:left="1080"/>
      <w:contextualSpacing/>
    </w:pPr>
    <w:rPr>
      <w:rFonts w:ascii="Times New Roman" w:hAnsi="Times New Roman" w:eastAsia="Times New Roman" w:cs="Times New Roman"/>
      <w:color w:val="000000"/>
      <w:kern w:val="0"/>
      <w:sz w:val="28"/>
      <w:szCs w:val="22"/>
      <w:lang w:val="en-US"/>
      <w14:ligatures w14:val="none"/>
    </w:rPr>
  </w:style>
  <w:style w:type="paragraph" w:styleId="31">
    <w:name w:val="List Number"/>
    <w:basedOn w:val="1"/>
    <w:semiHidden/>
    <w:unhideWhenUsed/>
    <w:uiPriority w:val="99"/>
    <w:pPr>
      <w:numPr>
        <w:ilvl w:val="0"/>
        <w:numId w:val="4"/>
      </w:numPr>
      <w:spacing w:after="200" w:line="276" w:lineRule="auto"/>
      <w:contextualSpacing/>
    </w:pPr>
    <w:rPr>
      <w:rFonts w:ascii="Times New Roman" w:hAnsi="Times New Roman" w:eastAsia="Times New Roman" w:cs="Times New Roman"/>
      <w:color w:val="000000"/>
      <w:kern w:val="0"/>
      <w:sz w:val="28"/>
      <w:szCs w:val="22"/>
      <w:lang w:val="en-US"/>
      <w14:ligatures w14:val="none"/>
    </w:rPr>
  </w:style>
  <w:style w:type="paragraph" w:styleId="32">
    <w:name w:val="List Number 2"/>
    <w:basedOn w:val="1"/>
    <w:semiHidden/>
    <w:unhideWhenUsed/>
    <w:uiPriority w:val="99"/>
    <w:pPr>
      <w:numPr>
        <w:ilvl w:val="0"/>
        <w:numId w:val="5"/>
      </w:numPr>
      <w:spacing w:after="200" w:line="276" w:lineRule="auto"/>
      <w:contextualSpacing/>
    </w:pPr>
    <w:rPr>
      <w:rFonts w:ascii="Times New Roman" w:hAnsi="Times New Roman" w:eastAsia="Times New Roman" w:cs="Times New Roman"/>
      <w:color w:val="000000"/>
      <w:kern w:val="0"/>
      <w:sz w:val="28"/>
      <w:szCs w:val="22"/>
      <w:lang w:val="en-US"/>
      <w14:ligatures w14:val="none"/>
    </w:rPr>
  </w:style>
  <w:style w:type="paragraph" w:styleId="33">
    <w:name w:val="List Number 3"/>
    <w:basedOn w:val="1"/>
    <w:semiHidden/>
    <w:unhideWhenUsed/>
    <w:uiPriority w:val="99"/>
    <w:pPr>
      <w:numPr>
        <w:ilvl w:val="0"/>
        <w:numId w:val="6"/>
      </w:numPr>
      <w:spacing w:after="200" w:line="276" w:lineRule="auto"/>
      <w:contextualSpacing/>
    </w:pPr>
    <w:rPr>
      <w:rFonts w:ascii="Times New Roman" w:hAnsi="Times New Roman" w:eastAsia="Times New Roman" w:cs="Times New Roman"/>
      <w:color w:val="000000"/>
      <w:kern w:val="0"/>
      <w:sz w:val="28"/>
      <w:szCs w:val="22"/>
      <w:lang w:val="en-US"/>
      <w14:ligatures w14:val="none"/>
    </w:rPr>
  </w:style>
  <w:style w:type="paragraph" w:styleId="34">
    <w:name w:val="macro"/>
    <w:link w:val="164"/>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kern w:val="0"/>
      <w:sz w:val="20"/>
      <w:szCs w:val="20"/>
      <w:lang w:val="en-US" w:eastAsia="en-US" w:bidi="ar-SA"/>
      <w14:ligatures w14:val="none"/>
    </w:rPr>
  </w:style>
  <w:style w:type="paragraph" w:styleId="35">
    <w:name w:val="Subtitle"/>
    <w:basedOn w:val="1"/>
    <w:next w:val="1"/>
    <w:link w:val="148"/>
    <w:qFormat/>
    <w:uiPriority w:val="11"/>
    <w:pPr>
      <w:spacing w:before="0" w:after="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36">
    <w:name w:val="Table Grid"/>
    <w:basedOn w:val="12"/>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7"/>
    <w:qFormat/>
    <w:uiPriority w:val="10"/>
    <w:pPr>
      <w:spacing w:before="0" w:after="0" w:line="240" w:lineRule="auto"/>
      <w:contextualSpacing/>
    </w:pPr>
    <w:rPr>
      <w:rFonts w:asciiTheme="majorHAnsi" w:hAnsiTheme="majorHAnsi" w:eastAsiaTheme="majorEastAsia" w:cstheme="majorBidi"/>
      <w:spacing w:val="-10"/>
      <w:kern w:val="28"/>
      <w:sz w:val="56"/>
      <w:szCs w:val="56"/>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2"/>
    <w:semiHidden/>
    <w:unhideWhenUsed/>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semiHidden/>
    <w:unhideWhenUsed/>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42">
    <w:name w:val="Light Shading Accent 2"/>
    <w:basedOn w:val="12"/>
    <w:semiHidden/>
    <w:unhideWhenUsed/>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43">
    <w:name w:val="Light Shading Accent 3"/>
    <w:basedOn w:val="12"/>
    <w:semiHidden/>
    <w:unhideWhenUsed/>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44">
    <w:name w:val="Light Shading Accent 4"/>
    <w:basedOn w:val="12"/>
    <w:semiHidden/>
    <w:unhideWhenUsed/>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45">
    <w:name w:val="Light Shading Accent 5"/>
    <w:basedOn w:val="12"/>
    <w:semiHidden/>
    <w:unhideWhenUsed/>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46">
    <w:name w:val="Light Shading Accent 6"/>
    <w:basedOn w:val="12"/>
    <w:semiHidden/>
    <w:unhideWhenUsed/>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7">
    <w:name w:val="Light List"/>
    <w:basedOn w:val="12"/>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semiHidden/>
    <w:unhideWhenUsed/>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9">
    <w:name w:val="Light List Accent 2"/>
    <w:basedOn w:val="12"/>
    <w:semiHidden/>
    <w:unhideWhenUsed/>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50">
    <w:name w:val="Light List Accent 3"/>
    <w:basedOn w:val="12"/>
    <w:semiHidden/>
    <w:unhideWhenUsed/>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51">
    <w:name w:val="Light List Accent 4"/>
    <w:basedOn w:val="12"/>
    <w:semiHidden/>
    <w:unhideWhenUsed/>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52">
    <w:name w:val="Light List Accent 5"/>
    <w:basedOn w:val="12"/>
    <w:semiHidden/>
    <w:unhideWhenUsed/>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53">
    <w:name w:val="Light List Accent 6"/>
    <w:basedOn w:val="12"/>
    <w:semiHidden/>
    <w:unhideWhenUsed/>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54">
    <w:name w:val="Light Grid"/>
    <w:basedOn w:val="12"/>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semiHidden/>
    <w:unhideWhenUsed/>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56">
    <w:name w:val="Light Grid Accent 2"/>
    <w:basedOn w:val="12"/>
    <w:semiHidden/>
    <w:unhideWhenUsed/>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7">
    <w:name w:val="Light Grid Accent 3"/>
    <w:basedOn w:val="12"/>
    <w:semiHidden/>
    <w:unhideWhenUsed/>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8">
    <w:name w:val="Light Grid Accent 4"/>
    <w:basedOn w:val="12"/>
    <w:semiHidden/>
    <w:unhideWhenUsed/>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9">
    <w:name w:val="Light Grid Accent 5"/>
    <w:basedOn w:val="12"/>
    <w:semiHidden/>
    <w:unhideWhenUsed/>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60">
    <w:name w:val="Light Grid Accent 6"/>
    <w:basedOn w:val="12"/>
    <w:semiHidden/>
    <w:unhideWhenUsed/>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61">
    <w:name w:val="Medium Shading 1"/>
    <w:basedOn w:val="12"/>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semiHidden/>
    <w:unhideWhenUsed/>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63">
    <w:name w:val="Medium Shading 1 Accent 2"/>
    <w:basedOn w:val="12"/>
    <w:semiHidden/>
    <w:unhideWhenUsed/>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64">
    <w:name w:val="Medium Shading 1 Accent 3"/>
    <w:basedOn w:val="12"/>
    <w:semiHidden/>
    <w:unhideWhenUsed/>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65">
    <w:name w:val="Medium Shading 1 Accent 4"/>
    <w:basedOn w:val="12"/>
    <w:semiHidden/>
    <w:unhideWhenUsed/>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66">
    <w:name w:val="Medium Shading 1 Accent 5"/>
    <w:basedOn w:val="12"/>
    <w:semiHidden/>
    <w:unhideWhenUsed/>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7">
    <w:name w:val="Medium Shading 1 Accent 6"/>
    <w:basedOn w:val="12"/>
    <w:semiHidden/>
    <w:unhideWhenUsed/>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8">
    <w:name w:val="Medium Shading 2"/>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semiHidden/>
    <w:unhideWhenUsed/>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semiHidden/>
    <w:unhideWhenUsed/>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7">
    <w:name w:val="Medium List 1 Accent 2"/>
    <w:basedOn w:val="12"/>
    <w:semiHidden/>
    <w:unhideWhenUsed/>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8">
    <w:name w:val="Medium List 1 Accent 3"/>
    <w:basedOn w:val="12"/>
    <w:semiHidden/>
    <w:unhideWhenUsed/>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9">
    <w:name w:val="Medium List 1 Accent 4"/>
    <w:basedOn w:val="12"/>
    <w:semiHidden/>
    <w:unhideWhenUsed/>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80">
    <w:name w:val="Medium List 1 Accent 5"/>
    <w:basedOn w:val="12"/>
    <w:semiHidden/>
    <w:unhideWhenUsed/>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81">
    <w:name w:val="Medium List 1 Accent 6"/>
    <w:basedOn w:val="12"/>
    <w:semiHidden/>
    <w:unhideWhenUsed/>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82">
    <w:name w:val="Medium Lis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semiHidden/>
    <w:unhideWhenUsed/>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semiHidden/>
    <w:unhideWhenUsed/>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91">
    <w:name w:val="Medium Grid 1 Accent 2"/>
    <w:basedOn w:val="12"/>
    <w:semiHidden/>
    <w:unhideWhenUsed/>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92">
    <w:name w:val="Medium Grid 1 Accent 3"/>
    <w:basedOn w:val="12"/>
    <w:semiHidden/>
    <w:unhideWhenUsed/>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93">
    <w:name w:val="Medium Grid 1 Accent 4"/>
    <w:basedOn w:val="12"/>
    <w:semiHidden/>
    <w:unhideWhenUsed/>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94">
    <w:name w:val="Medium Grid 1 Accent 5"/>
    <w:basedOn w:val="12"/>
    <w:semiHidden/>
    <w:unhideWhenUsed/>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95">
    <w:name w:val="Medium Grid 1 Accent 6"/>
    <w:basedOn w:val="12"/>
    <w:semiHidden/>
    <w:unhideWhenUsed/>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96">
    <w:name w:val="Medium Grid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8">
    <w:name w:val="Medium Grid 2 Accent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9">
    <w:name w:val="Medium Grid 2 Accent 3"/>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100">
    <w:name w:val="Medium Grid 2 Accent 4"/>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101">
    <w:name w:val="Medium Grid 2 Accent 5"/>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102">
    <w:name w:val="Medium Grid 2 Accent 6"/>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103">
    <w:name w:val="Medium Grid 3"/>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105">
    <w:name w:val="Medium Grid 3 Accent 2"/>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106">
    <w:name w:val="Medium Grid 3 Accent 3"/>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7">
    <w:name w:val="Medium Grid 3 Accent 4"/>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8">
    <w:name w:val="Medium Grid 3 Accent 5"/>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9">
    <w:name w:val="Medium Grid 3 Accent 6"/>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10">
    <w:name w:val="Dark List"/>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12">
    <w:name w:val="Dark List Accent 2"/>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13">
    <w:name w:val="Dark List Accent 3"/>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14">
    <w:name w:val="Dark List Accent 4"/>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15">
    <w:name w:val="Dark List Accent 5"/>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16">
    <w:name w:val="Dark List Accent 6"/>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7">
    <w:name w:val="Colorful Shading"/>
    <w:basedOn w:val="12"/>
    <w:semiHidden/>
    <w:unhideWhenUsed/>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semiHidden/>
    <w:unhideWhenUsed/>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semiHidden/>
    <w:unhideWhenUsed/>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semiHidden/>
    <w:unhideWhenUsed/>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21">
    <w:name w:val="Colorful Shading Accent 4"/>
    <w:basedOn w:val="12"/>
    <w:semiHidden/>
    <w:unhideWhenUsed/>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semiHidden/>
    <w:unhideWhenUsed/>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semiHidden/>
    <w:unhideWhenUsed/>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26">
    <w:name w:val="Colorful List Accent 2"/>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7">
    <w:name w:val="Colorful List Accent 3"/>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8">
    <w:name w:val="Colorful List Accent 4"/>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9">
    <w:name w:val="Colorful List Accent 5"/>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30">
    <w:name w:val="Colorful List Accent 6"/>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31">
    <w:name w:val="Colorful Grid"/>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33">
    <w:name w:val="Colorful Grid Accent 2"/>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34">
    <w:name w:val="Colorful Grid Accent 3"/>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35">
    <w:name w:val="Colorful Grid Accent 4"/>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36">
    <w:name w:val="Colorful Grid Accent 5"/>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7">
    <w:name w:val="Colorful Grid Accent 6"/>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138">
    <w:name w:val="Заголовок 1 Знак"/>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39">
    <w:name w:val="Заголовок 2 Знак"/>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40">
    <w:name w:val="Заголовок 3 Знак"/>
    <w:basedOn w:val="11"/>
    <w:link w:val="4"/>
    <w:semiHidden/>
    <w:uiPriority w:val="9"/>
    <w:rPr>
      <w:rFonts w:eastAsiaTheme="majorEastAsia" w:cstheme="majorBidi"/>
      <w:color w:val="104862" w:themeColor="accent1" w:themeShade="BF"/>
      <w:sz w:val="28"/>
      <w:szCs w:val="28"/>
    </w:rPr>
  </w:style>
  <w:style w:type="character" w:customStyle="1" w:styleId="141">
    <w:name w:val="Заголовок 4 Знак"/>
    <w:basedOn w:val="11"/>
    <w:link w:val="5"/>
    <w:semiHidden/>
    <w:uiPriority w:val="9"/>
    <w:rPr>
      <w:rFonts w:eastAsiaTheme="majorEastAsia" w:cstheme="majorBidi"/>
      <w:i/>
      <w:iCs/>
      <w:color w:val="104862" w:themeColor="accent1" w:themeShade="BF"/>
    </w:rPr>
  </w:style>
  <w:style w:type="character" w:customStyle="1" w:styleId="142">
    <w:name w:val="Заголовок 5 Знак"/>
    <w:basedOn w:val="11"/>
    <w:link w:val="6"/>
    <w:semiHidden/>
    <w:uiPriority w:val="9"/>
    <w:rPr>
      <w:rFonts w:eastAsiaTheme="majorEastAsia" w:cstheme="majorBidi"/>
      <w:color w:val="104862" w:themeColor="accent1" w:themeShade="BF"/>
    </w:rPr>
  </w:style>
  <w:style w:type="character" w:customStyle="1" w:styleId="143">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144">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5">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146">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147">
    <w:name w:val="Заголовок Знак"/>
    <w:basedOn w:val="11"/>
    <w:link w:val="37"/>
    <w:uiPriority w:val="10"/>
    <w:rPr>
      <w:rFonts w:asciiTheme="majorHAnsi" w:hAnsiTheme="majorHAnsi" w:eastAsiaTheme="majorEastAsia" w:cstheme="majorBidi"/>
      <w:spacing w:val="-10"/>
      <w:kern w:val="28"/>
      <w:sz w:val="56"/>
      <w:szCs w:val="56"/>
    </w:rPr>
  </w:style>
  <w:style w:type="character" w:customStyle="1" w:styleId="148">
    <w:name w:val="Подзаголовок Знак"/>
    <w:basedOn w:val="11"/>
    <w:link w:val="3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9">
    <w:name w:val="Quote"/>
    <w:basedOn w:val="1"/>
    <w:next w:val="1"/>
    <w:link w:val="15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50">
    <w:name w:val="Цитата 2 Знак"/>
    <w:basedOn w:val="11"/>
    <w:link w:val="149"/>
    <w:uiPriority w:val="29"/>
    <w:rPr>
      <w:i/>
      <w:iCs/>
      <w:color w:val="404040" w:themeColor="text1" w:themeTint="BF"/>
      <w14:textFill>
        <w14:solidFill>
          <w14:schemeClr w14:val="tx1">
            <w14:lumMod w14:val="75000"/>
            <w14:lumOff w14:val="25000"/>
          </w14:schemeClr>
        </w14:solidFill>
      </w14:textFill>
    </w:rPr>
  </w:style>
  <w:style w:type="paragraph" w:styleId="151">
    <w:name w:val="List Paragraph"/>
    <w:basedOn w:val="1"/>
    <w:qFormat/>
    <w:uiPriority w:val="34"/>
    <w:pPr>
      <w:ind w:left="720"/>
      <w:contextualSpacing/>
    </w:pPr>
  </w:style>
  <w:style w:type="character" w:customStyle="1" w:styleId="152">
    <w:name w:val="Intense Emphasis"/>
    <w:basedOn w:val="11"/>
    <w:qFormat/>
    <w:uiPriority w:val="21"/>
    <w:rPr>
      <w:i/>
      <w:iCs/>
      <w:color w:val="104862" w:themeColor="accent1" w:themeShade="BF"/>
    </w:rPr>
  </w:style>
  <w:style w:type="paragraph" w:styleId="153">
    <w:name w:val="Intense Quote"/>
    <w:basedOn w:val="1"/>
    <w:next w:val="1"/>
    <w:link w:val="15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54">
    <w:name w:val="Выделенная цитата Знак"/>
    <w:basedOn w:val="11"/>
    <w:link w:val="153"/>
    <w:uiPriority w:val="30"/>
    <w:rPr>
      <w:i/>
      <w:iCs/>
      <w:color w:val="104862" w:themeColor="accent1" w:themeShade="BF"/>
    </w:rPr>
  </w:style>
  <w:style w:type="character" w:customStyle="1" w:styleId="155">
    <w:name w:val="Intense Reference"/>
    <w:basedOn w:val="11"/>
    <w:qFormat/>
    <w:uiPriority w:val="32"/>
    <w:rPr>
      <w:b/>
      <w:bCs/>
      <w:smallCaps/>
      <w:color w:val="104862" w:themeColor="accent1" w:themeShade="BF"/>
      <w:spacing w:val="5"/>
    </w:rPr>
  </w:style>
  <w:style w:type="paragraph" w:customStyle="1" w:styleId="156">
    <w:name w:val="Defaul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ru-RU" w:eastAsia="en-US" w:bidi="ar-SA"/>
      <w14:ligatures w14:val="standardContextual"/>
    </w:rPr>
  </w:style>
  <w:style w:type="character" w:customStyle="1" w:styleId="157">
    <w:name w:val="Текст сноски Знак"/>
    <w:basedOn w:val="11"/>
    <w:link w:val="19"/>
    <w:uiPriority w:val="99"/>
    <w:rPr>
      <w:kern w:val="0"/>
      <w:sz w:val="20"/>
      <w:szCs w:val="20"/>
      <w14:ligatures w14:val="none"/>
    </w:rPr>
  </w:style>
  <w:style w:type="character" w:customStyle="1" w:styleId="158">
    <w:name w:val="Гиперссылка1"/>
    <w:basedOn w:val="11"/>
    <w:unhideWhenUsed/>
    <w:uiPriority w:val="99"/>
    <w:rPr>
      <w:color w:val="0563C1"/>
      <w:u w:val="single"/>
    </w:rPr>
  </w:style>
  <w:style w:type="character" w:customStyle="1" w:styleId="159">
    <w:name w:val="Верхний колонтитул Знак"/>
    <w:basedOn w:val="11"/>
    <w:link w:val="20"/>
    <w:uiPriority w:val="99"/>
  </w:style>
  <w:style w:type="character" w:customStyle="1" w:styleId="160">
    <w:name w:val="Нижний колонтитул Знак"/>
    <w:basedOn w:val="11"/>
    <w:link w:val="17"/>
    <w:uiPriority w:val="99"/>
  </w:style>
  <w:style w:type="character" w:customStyle="1" w:styleId="161">
    <w:name w:val="Unresolved Mention"/>
    <w:basedOn w:val="11"/>
    <w:semiHidden/>
    <w:unhideWhenUsed/>
    <w:uiPriority w:val="99"/>
    <w:rPr>
      <w:color w:val="605E5C"/>
      <w:shd w:val="clear" w:color="auto" w:fill="E1DFDD"/>
    </w:rPr>
  </w:style>
  <w:style w:type="paragraph" w:customStyle="1" w:styleId="162">
    <w:name w:val="msonormal"/>
    <w:basedOn w:val="1"/>
    <w:uiPriority w:val="0"/>
    <w:pPr>
      <w:spacing w:before="100" w:beforeAutospacing="1" w:after="100" w:afterAutospacing="1" w:line="240" w:lineRule="auto"/>
    </w:pPr>
    <w:rPr>
      <w:rFonts w:ascii="Times New Roman" w:hAnsi="Times New Roman" w:eastAsia="Times New Roman" w:cs="Times New Roman"/>
      <w:kern w:val="0"/>
      <w:lang w:eastAsia="ru-RU"/>
      <w14:ligatures w14:val="none"/>
    </w:rPr>
  </w:style>
  <w:style w:type="paragraph" w:customStyle="1" w:styleId="163">
    <w:name w:val="Название объекта1"/>
    <w:basedOn w:val="1"/>
    <w:next w:val="1"/>
    <w:semiHidden/>
    <w:unhideWhenUsed/>
    <w:qFormat/>
    <w:uiPriority w:val="35"/>
    <w:pPr>
      <w:spacing w:after="200" w:line="240" w:lineRule="auto"/>
    </w:pPr>
    <w:rPr>
      <w:rFonts w:ascii="Times New Roman" w:hAnsi="Times New Roman" w:eastAsia="Times New Roman" w:cs="Times New Roman"/>
      <w:b/>
      <w:bCs/>
      <w:color w:val="4F81BD"/>
      <w:kern w:val="0"/>
      <w:sz w:val="18"/>
      <w:szCs w:val="18"/>
      <w:lang w:val="en-US"/>
      <w14:ligatures w14:val="none"/>
    </w:rPr>
  </w:style>
  <w:style w:type="character" w:customStyle="1" w:styleId="164">
    <w:name w:val="Текст макроса Знак"/>
    <w:basedOn w:val="11"/>
    <w:link w:val="34"/>
    <w:semiHidden/>
    <w:uiPriority w:val="99"/>
    <w:rPr>
      <w:rFonts w:ascii="Courier" w:hAnsi="Courier" w:eastAsia="MS Mincho" w:cs="Times New Roman"/>
      <w:kern w:val="0"/>
      <w:sz w:val="20"/>
      <w:szCs w:val="20"/>
      <w:lang w:val="en-US"/>
      <w14:ligatures w14:val="none"/>
    </w:rPr>
  </w:style>
  <w:style w:type="character" w:customStyle="1" w:styleId="165">
    <w:name w:val="Основной текст Знак"/>
    <w:basedOn w:val="11"/>
    <w:link w:val="13"/>
    <w:semiHidden/>
    <w:uiPriority w:val="99"/>
    <w:rPr>
      <w:rFonts w:ascii="Times New Roman" w:hAnsi="Times New Roman" w:eastAsia="Times New Roman" w:cs="Times New Roman"/>
      <w:color w:val="000000"/>
      <w:kern w:val="0"/>
      <w:sz w:val="28"/>
      <w:szCs w:val="22"/>
      <w:lang w:val="en-US"/>
      <w14:ligatures w14:val="none"/>
    </w:rPr>
  </w:style>
  <w:style w:type="character" w:customStyle="1" w:styleId="166">
    <w:name w:val="Основной текст 2 Знак"/>
    <w:basedOn w:val="11"/>
    <w:link w:val="14"/>
    <w:semiHidden/>
    <w:uiPriority w:val="99"/>
    <w:rPr>
      <w:rFonts w:ascii="Times New Roman" w:hAnsi="Times New Roman" w:eastAsia="Times New Roman" w:cs="Times New Roman"/>
      <w:color w:val="000000"/>
      <w:kern w:val="0"/>
      <w:sz w:val="28"/>
      <w:szCs w:val="22"/>
      <w:lang w:val="en-US"/>
      <w14:ligatures w14:val="none"/>
    </w:rPr>
  </w:style>
  <w:style w:type="character" w:customStyle="1" w:styleId="167">
    <w:name w:val="Основной текст 3 Знак"/>
    <w:basedOn w:val="11"/>
    <w:link w:val="15"/>
    <w:semiHidden/>
    <w:uiPriority w:val="99"/>
    <w:rPr>
      <w:rFonts w:ascii="Times New Roman" w:hAnsi="Times New Roman" w:eastAsia="Times New Roman" w:cs="Times New Roman"/>
      <w:color w:val="000000"/>
      <w:kern w:val="0"/>
      <w:sz w:val="16"/>
      <w:szCs w:val="16"/>
      <w:lang w:val="en-US"/>
      <w14:ligatures w14:val="none"/>
    </w:rPr>
  </w:style>
  <w:style w:type="paragraph" w:styleId="168">
    <w:name w:val="No Spacing"/>
    <w:qFormat/>
    <w:uiPriority w:val="1"/>
    <w:pPr>
      <w:spacing w:after="0" w:line="240" w:lineRule="auto"/>
    </w:pPr>
    <w:rPr>
      <w:rFonts w:ascii="Cambria" w:hAnsi="Cambria" w:eastAsia="MS Mincho" w:cs="Times New Roman"/>
      <w:kern w:val="0"/>
      <w:sz w:val="22"/>
      <w:szCs w:val="22"/>
      <w:lang w:val="en-US" w:eastAsia="en-US" w:bidi="ar-SA"/>
      <w14:ligatures w14:val="none"/>
    </w:rPr>
  </w:style>
  <w:style w:type="paragraph" w:customStyle="1" w:styleId="169">
    <w:name w:val="Заголовок оглавления1"/>
    <w:basedOn w:val="2"/>
    <w:next w:val="1"/>
    <w:semiHidden/>
    <w:qFormat/>
    <w:uiPriority w:val="39"/>
    <w:pPr>
      <w:spacing w:before="480" w:after="0" w:line="276" w:lineRule="auto"/>
      <w:outlineLvl w:val="9"/>
    </w:pPr>
    <w:rPr>
      <w:rFonts w:ascii="Calibri" w:hAnsi="Calibri" w:eastAsia="MS Gothic" w:cs="Times New Roman"/>
      <w:bCs/>
      <w:kern w:val="0"/>
      <w:sz w:val="28"/>
      <w:szCs w:val="28"/>
      <w:lang w:val="en-US"/>
      <w14:ligatures w14:val="none"/>
    </w:rPr>
  </w:style>
  <w:style w:type="character" w:customStyle="1" w:styleId="170">
    <w:name w:val="Слабое выделение1"/>
    <w:basedOn w:val="11"/>
    <w:qFormat/>
    <w:uiPriority w:val="19"/>
    <w:rPr>
      <w:i/>
      <w:iCs/>
      <w:color w:val="000000"/>
    </w:rPr>
  </w:style>
  <w:style w:type="character" w:customStyle="1" w:styleId="171">
    <w:name w:val="Сильное выделение1"/>
    <w:basedOn w:val="11"/>
    <w:qFormat/>
    <w:uiPriority w:val="21"/>
    <w:rPr>
      <w:b/>
      <w:bCs/>
      <w:i/>
      <w:iCs/>
      <w:color w:val="000000"/>
    </w:rPr>
  </w:style>
  <w:style w:type="character" w:customStyle="1" w:styleId="172">
    <w:name w:val="Слабая ссылка1"/>
    <w:basedOn w:val="11"/>
    <w:qFormat/>
    <w:uiPriority w:val="31"/>
    <w:rPr>
      <w:smallCaps/>
      <w:color w:val="000000"/>
      <w:u w:val="single"/>
    </w:rPr>
  </w:style>
  <w:style w:type="character" w:customStyle="1" w:styleId="173">
    <w:name w:val="Сильная ссылка1"/>
    <w:basedOn w:val="11"/>
    <w:qFormat/>
    <w:uiPriority w:val="32"/>
    <w:rPr>
      <w:b/>
      <w:bCs/>
      <w:smallCaps/>
      <w:color w:val="000000"/>
      <w:spacing w:val="5"/>
      <w:u w:val="single"/>
    </w:rPr>
  </w:style>
  <w:style w:type="character" w:customStyle="1" w:styleId="174">
    <w:name w:val="Название книги1"/>
    <w:basedOn w:val="11"/>
    <w:qFormat/>
    <w:uiPriority w:val="33"/>
    <w:rPr>
      <w:b/>
      <w:bCs/>
      <w:smallCaps/>
      <w:spacing w:val="5"/>
    </w:rPr>
  </w:style>
  <w:style w:type="table" w:customStyle="1" w:styleId="175">
    <w:name w:val="Сетка таблицы1"/>
    <w:basedOn w:val="12"/>
    <w:uiPriority w:val="59"/>
    <w:pPr>
      <w:spacing w:after="0" w:line="240" w:lineRule="auto"/>
    </w:pPr>
    <w:rPr>
      <w:rFonts w:ascii="Cambria" w:hAnsi="Cambria" w:eastAsia="MS Mincho" w:cs="Times New Roman"/>
      <w:kern w:val="0"/>
      <w:sz w:val="20"/>
      <w:szCs w:val="20"/>
      <w:lang w:eastAsia="ru-RU"/>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
    <w:name w:val="Светлая заливка1"/>
    <w:basedOn w:val="12"/>
    <w:semiHidden/>
    <w:unhideWhenUsed/>
    <w:uiPriority w:val="60"/>
    <w:pPr>
      <w:spacing w:after="0" w:line="240" w:lineRule="auto"/>
    </w:pPr>
    <w:rPr>
      <w:rFonts w:ascii="Cambria" w:hAnsi="Cambria" w:eastAsia="MS Mincho" w:cs="Times New Roman"/>
      <w:color w:val="000000"/>
      <w:kern w:val="0"/>
      <w:sz w:val="20"/>
      <w:szCs w:val="20"/>
      <w:lang w:eastAsia="ru-RU"/>
      <w14:ligatures w14:val="none"/>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77">
    <w:name w:val="Светлый список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78">
    <w:name w:val="Светлая сетка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79">
    <w:name w:val="Средняя заливка 1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80">
    <w:name w:val="Средняя заливка 2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81">
    <w:name w:val="Средний список 1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000000" w:sz="8" w:space="0"/>
        <w:bottom w:val="single" w:color="000000" w:sz="8" w:space="0"/>
      </w:tblBorders>
    </w:tblPr>
    <w:tblStylePr w:type="firstRow">
      <w:rPr>
        <w:rFonts w:hint="default"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182">
    <w:name w:val="Средний список 2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183">
    <w:name w:val="Средняя сетка 1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184">
    <w:name w:val="Средняя сетка 2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185">
    <w:name w:val="Средняя сетка 3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186">
    <w:name w:val="Темный список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187">
    <w:name w:val="Цветная заливка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188">
    <w:name w:val="Цветной список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189">
    <w:name w:val="Цветная сетка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190">
    <w:name w:val="Светлая заливка - Акцент 11"/>
    <w:basedOn w:val="12"/>
    <w:semiHidden/>
    <w:unhideWhenUsed/>
    <w:uiPriority w:val="60"/>
    <w:pPr>
      <w:spacing w:after="0" w:line="240" w:lineRule="auto"/>
    </w:pPr>
    <w:rPr>
      <w:rFonts w:ascii="Cambria" w:hAnsi="Cambria" w:eastAsia="MS Mincho" w:cs="Times New Roman"/>
      <w:color w:val="365F91"/>
      <w:kern w:val="0"/>
      <w:sz w:val="20"/>
      <w:szCs w:val="20"/>
      <w:lang w:eastAsia="ru-RU"/>
      <w14:ligatures w14:val="none"/>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91">
    <w:name w:val="Светлый список - Акцент 1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92">
    <w:name w:val="Светлая сетка - Акцент 1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193">
    <w:name w:val="Средняя заливка 1 - Акцент 1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beforeLines="0" w:beforeAutospacing="0" w:after="0" w:afterLines="0" w:afterAutospacing="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beforeLines="0" w:beforeAutospacing="0" w:after="0" w:afterLines="0" w:afterAutospacing="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94">
    <w:name w:val="Средняя заливка 2 - Акцент 1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95">
    <w:name w:val="Средний список 1 - Акцент 1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4F81BD" w:sz="8" w:space="0"/>
        <w:bottom w:val="single" w:color="4F81BD" w:sz="8" w:space="0"/>
      </w:tblBorders>
    </w:tbl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196">
    <w:name w:val="Средний список 2 - Акцент 1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197">
    <w:name w:val="Средняя сетка 1 - Акцент 1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198">
    <w:name w:val="Средняя сетка 2 - Акцент 1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199">
    <w:name w:val="Средняя сетка 3 - Акцент 1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00">
    <w:name w:val="Темный список - Акцент 1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01">
    <w:name w:val="Цветная заливка - Акцент 1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02">
    <w:name w:val="Цветной список - Акцент 1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03">
    <w:name w:val="Цветная сетка - Акцент 1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04">
    <w:name w:val="Светлая заливка - Акцент 21"/>
    <w:basedOn w:val="12"/>
    <w:semiHidden/>
    <w:unhideWhenUsed/>
    <w:uiPriority w:val="60"/>
    <w:pPr>
      <w:spacing w:after="0" w:line="240" w:lineRule="auto"/>
    </w:pPr>
    <w:rPr>
      <w:rFonts w:ascii="Cambria" w:hAnsi="Cambria" w:eastAsia="MS Mincho" w:cs="Times New Roman"/>
      <w:color w:val="943634"/>
      <w:kern w:val="0"/>
      <w:sz w:val="20"/>
      <w:szCs w:val="20"/>
      <w:lang w:eastAsia="ru-RU"/>
      <w14:ligatures w14:val="none"/>
    </w:rPr>
    <w:tblPr>
      <w:tblBorders>
        <w:top w:val="single" w:color="C0504D" w:sz="8" w:space="0"/>
        <w:bottom w:val="single" w:color="C0504D" w:sz="8" w:space="0"/>
      </w:tblBorders>
    </w:tblPr>
    <w:tblStylePr w:type="fir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5">
    <w:name w:val="Светлый список - Акцент 2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C0504D" w:sz="8" w:space="0"/>
        <w:left w:val="single" w:color="C0504D" w:sz="8" w:space="0"/>
        <w:bottom w:val="single" w:color="C0504D" w:sz="8" w:space="0"/>
        <w:right w:val="single" w:color="C0504D" w:sz="8" w:space="0"/>
      </w:tblBorders>
    </w:tblPr>
    <w:tblStylePr w:type="firstRow">
      <w:pPr>
        <w:spacing w:before="0" w:beforeLines="0" w:beforeAutospacing="0" w:after="0" w:afterLines="0" w:afterAutospacing="0" w:line="240" w:lineRule="auto"/>
      </w:pPr>
      <w:rPr>
        <w:b/>
        <w:bCs/>
        <w:color w:val="FFFFFF"/>
      </w:rPr>
      <w:tcPr>
        <w:shd w:val="clear" w:color="auto" w:fill="C0504D"/>
      </w:tcPr>
    </w:tblStylePr>
    <w:tblStylePr w:type="lastRow">
      <w:pPr>
        <w:spacing w:before="0" w:beforeLines="0" w:beforeAutospacing="0" w:after="0" w:afterLines="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06">
    <w:name w:val="Светлая сетка - Акцент 2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07">
    <w:name w:val="Средняя заливка 1 - Акцент 2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beforeLines="0" w:beforeAutospacing="0" w:after="0" w:afterLines="0" w:afterAutospacing="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beforeLines="0" w:beforeAutospacing="0" w:after="0" w:afterLines="0" w:afterAutospacing="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08">
    <w:name w:val="Средняя заливка 2 - Акцент 2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09">
    <w:name w:val="Средний список 1 - Акцент 2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C0504D" w:sz="8" w:space="0"/>
        <w:bottom w:val="single" w:color="C0504D" w:sz="8" w:space="0"/>
      </w:tblBorders>
    </w:tbl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10">
    <w:name w:val="Средний список 2 - Акцент 2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11">
    <w:name w:val="Средняя сетка 1 - Акцент 2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12">
    <w:name w:val="Средняя сетка 2 - Акцент 2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13">
    <w:name w:val="Средняя сетка 3 - Акцент 2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14">
    <w:name w:val="Темный список - Акцент 2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15">
    <w:name w:val="Цветная заливка - Акцент 2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16">
    <w:name w:val="Цветной список - Акцент 2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17">
    <w:name w:val="Цветная сетка - Акцент 2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18">
    <w:name w:val="Светлая заливка - Акцент 31"/>
    <w:basedOn w:val="12"/>
    <w:semiHidden/>
    <w:unhideWhenUsed/>
    <w:uiPriority w:val="60"/>
    <w:pPr>
      <w:spacing w:after="0" w:line="240" w:lineRule="auto"/>
    </w:pPr>
    <w:rPr>
      <w:rFonts w:ascii="Cambria" w:hAnsi="Cambria" w:eastAsia="MS Mincho" w:cs="Times New Roman"/>
      <w:color w:val="76923C"/>
      <w:kern w:val="0"/>
      <w:sz w:val="20"/>
      <w:szCs w:val="20"/>
      <w:lang w:eastAsia="ru-RU"/>
      <w14:ligatures w14:val="none"/>
    </w:rPr>
    <w:tblPr>
      <w:tblBorders>
        <w:top w:val="single" w:color="9BBB59" w:sz="8" w:space="0"/>
        <w:bottom w:val="single" w:color="9BBB59" w:sz="8" w:space="0"/>
      </w:tblBorders>
    </w:tblPr>
    <w:tblStylePr w:type="fir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219">
    <w:name w:val="Светлый список - Акцент 3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9BBB59" w:sz="8" w:space="0"/>
        <w:left w:val="single" w:color="9BBB59" w:sz="8" w:space="0"/>
        <w:bottom w:val="single" w:color="9BBB59" w:sz="8" w:space="0"/>
        <w:right w:val="single" w:color="9BBB59" w:sz="8" w:space="0"/>
      </w:tblBorders>
    </w:tblPr>
    <w:tblStylePr w:type="firstRow">
      <w:pPr>
        <w:spacing w:before="0" w:beforeLines="0" w:beforeAutospacing="0" w:after="0" w:afterLines="0" w:afterAutospacing="0" w:line="240" w:lineRule="auto"/>
      </w:pPr>
      <w:rPr>
        <w:b/>
        <w:bCs/>
        <w:color w:val="FFFFFF"/>
      </w:rPr>
      <w:tcPr>
        <w:shd w:val="clear" w:color="auto" w:fill="9BBB59"/>
      </w:tcPr>
    </w:tblStylePr>
    <w:tblStylePr w:type="lastRow">
      <w:pPr>
        <w:spacing w:before="0" w:beforeLines="0" w:beforeAutospacing="0" w:after="0" w:afterLines="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20">
    <w:name w:val="Светлая сетка - Акцент 3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21">
    <w:name w:val="Средняя заливка 1 - Акцент 3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beforeLines="0" w:beforeAutospacing="0" w:after="0" w:afterLines="0" w:afterAutospacing="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beforeLines="0" w:beforeAutospacing="0" w:after="0" w:afterLines="0" w:afterAutospacing="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22">
    <w:name w:val="Средняя заливка 2 - Акцент 3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3">
    <w:name w:val="Средний список 1 - Акцент 3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9BBB59" w:sz="8" w:space="0"/>
        <w:bottom w:val="single" w:color="9BBB59" w:sz="8" w:space="0"/>
      </w:tblBorders>
    </w:tbl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24">
    <w:name w:val="Средний список 2 - Акцент 3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25">
    <w:name w:val="Средняя сетка 1 - Акцент 3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26">
    <w:name w:val="Средняя сетка 2 - Акцент 3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27">
    <w:name w:val="Средняя сетка 3 - Акцент 3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28">
    <w:name w:val="Темный список - Акцент 3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29">
    <w:name w:val="Цветная заливка - Акцент 3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30">
    <w:name w:val="Цветной список - Акцент 3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31">
    <w:name w:val="Цветная сетка - Акцент 3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32">
    <w:name w:val="Светлая заливка - Акцент 41"/>
    <w:basedOn w:val="12"/>
    <w:semiHidden/>
    <w:unhideWhenUsed/>
    <w:uiPriority w:val="60"/>
    <w:pPr>
      <w:spacing w:after="0" w:line="240" w:lineRule="auto"/>
    </w:pPr>
    <w:rPr>
      <w:rFonts w:ascii="Cambria" w:hAnsi="Cambria" w:eastAsia="MS Mincho" w:cs="Times New Roman"/>
      <w:color w:val="5F497A"/>
      <w:kern w:val="0"/>
      <w:sz w:val="20"/>
      <w:szCs w:val="20"/>
      <w:lang w:eastAsia="ru-RU"/>
      <w14:ligatures w14:val="none"/>
    </w:rPr>
    <w:tblPr>
      <w:tblBorders>
        <w:top w:val="single" w:color="8064A2" w:sz="8" w:space="0"/>
        <w:bottom w:val="single" w:color="8064A2" w:sz="8" w:space="0"/>
      </w:tblBorders>
    </w:tblPr>
    <w:tblStylePr w:type="fir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233">
    <w:name w:val="Светлый список - Акцент 4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8064A2" w:sz="8" w:space="0"/>
        <w:left w:val="single" w:color="8064A2" w:sz="8" w:space="0"/>
        <w:bottom w:val="single" w:color="8064A2" w:sz="8" w:space="0"/>
        <w:right w:val="single" w:color="8064A2" w:sz="8" w:space="0"/>
      </w:tblBorders>
    </w:tblPr>
    <w:tblStylePr w:type="firstRow">
      <w:pPr>
        <w:spacing w:before="0" w:beforeLines="0" w:beforeAutospacing="0" w:after="0" w:afterLines="0" w:afterAutospacing="0" w:line="240" w:lineRule="auto"/>
      </w:pPr>
      <w:rPr>
        <w:b/>
        <w:bCs/>
        <w:color w:val="FFFFFF"/>
      </w:rPr>
      <w:tcPr>
        <w:shd w:val="clear" w:color="auto" w:fill="8064A2"/>
      </w:tcPr>
    </w:tblStylePr>
    <w:tblStylePr w:type="lastRow">
      <w:pPr>
        <w:spacing w:before="0" w:beforeLines="0" w:beforeAutospacing="0" w:after="0" w:afterLines="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34">
    <w:name w:val="Светлая сетка - Акцент 4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35">
    <w:name w:val="Средняя заливка 1 - Акцент 4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beforeLines="0" w:beforeAutospacing="0" w:after="0" w:afterLines="0" w:afterAutospacing="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beforeLines="0" w:beforeAutospacing="0" w:after="0" w:afterLines="0" w:afterAutospacing="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36">
    <w:name w:val="Средняя заливка 2 - Акцент 4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37">
    <w:name w:val="Средний список 1 - Акцент 4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8064A2" w:sz="8" w:space="0"/>
        <w:bottom w:val="single" w:color="8064A2" w:sz="8" w:space="0"/>
      </w:tblBorders>
    </w:tbl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38">
    <w:name w:val="Средний список 2 - Акцент 4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39">
    <w:name w:val="Средняя сетка 1 - Акцент 4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40">
    <w:name w:val="Средняя сетка 2 - Акцент 4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41">
    <w:name w:val="Средняя сетка 3 - Акцент 4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42">
    <w:name w:val="Темный список - Акцент 4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43">
    <w:name w:val="Цветная заливка - Акцент 4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44">
    <w:name w:val="Цветной список - Акцент 4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45">
    <w:name w:val="Цветная сетка - Акцент 4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46">
    <w:name w:val="Светлая заливка - Акцент 51"/>
    <w:basedOn w:val="12"/>
    <w:semiHidden/>
    <w:unhideWhenUsed/>
    <w:uiPriority w:val="60"/>
    <w:pPr>
      <w:spacing w:after="0" w:line="240" w:lineRule="auto"/>
    </w:pPr>
    <w:rPr>
      <w:rFonts w:ascii="Cambria" w:hAnsi="Cambria" w:eastAsia="MS Mincho" w:cs="Times New Roman"/>
      <w:color w:val="31849B"/>
      <w:kern w:val="0"/>
      <w:sz w:val="20"/>
      <w:szCs w:val="20"/>
      <w:lang w:eastAsia="ru-RU"/>
      <w14:ligatures w14:val="none"/>
    </w:rPr>
    <w:tblPr>
      <w:tblBorders>
        <w:top w:val="single" w:color="4BACC6" w:sz="8" w:space="0"/>
        <w:bottom w:val="single" w:color="4BACC6" w:sz="8" w:space="0"/>
      </w:tblBorders>
    </w:tblPr>
    <w:tblStylePr w:type="fir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247">
    <w:name w:val="Светлый список - Акцент 5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4BACC6" w:sz="8" w:space="0"/>
        <w:left w:val="single" w:color="4BACC6" w:sz="8" w:space="0"/>
        <w:bottom w:val="single" w:color="4BACC6" w:sz="8" w:space="0"/>
        <w:right w:val="single" w:color="4BACC6" w:sz="8" w:space="0"/>
      </w:tblBorders>
    </w:tblPr>
    <w:tblStylePr w:type="firstRow">
      <w:pPr>
        <w:spacing w:before="0" w:beforeLines="0" w:beforeAutospacing="0" w:after="0" w:afterLines="0" w:afterAutospacing="0" w:line="240" w:lineRule="auto"/>
      </w:pPr>
      <w:rPr>
        <w:b/>
        <w:bCs/>
        <w:color w:val="FFFFFF"/>
      </w:rPr>
      <w:tcPr>
        <w:shd w:val="clear" w:color="auto" w:fill="4BACC6"/>
      </w:tcPr>
    </w:tblStylePr>
    <w:tblStylePr w:type="lastRow">
      <w:pPr>
        <w:spacing w:before="0" w:beforeLines="0" w:beforeAutospacing="0" w:after="0" w:afterLines="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48">
    <w:name w:val="Светлая сетка - Акцент 5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49">
    <w:name w:val="Средняя заливка 1 - Акцент 5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beforeLines="0" w:beforeAutospacing="0" w:after="0" w:afterLines="0" w:afterAutospacing="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beforeLines="0" w:beforeAutospacing="0" w:after="0" w:afterLines="0" w:afterAutospacing="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50">
    <w:name w:val="Средняя заливка 2 - Акцент 5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51">
    <w:name w:val="Средний список 1 - Акцент 5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4BACC6" w:sz="8" w:space="0"/>
        <w:bottom w:val="single" w:color="4BACC6" w:sz="8" w:space="0"/>
      </w:tblBorders>
    </w:tbl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52">
    <w:name w:val="Средний список 2 - Акцент 5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53">
    <w:name w:val="Средняя сетка 1 - Акцент 5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54">
    <w:name w:val="Средняя сетка 2 - Акцент 5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55">
    <w:name w:val="Средняя сетка 3 - Акцент 5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56">
    <w:name w:val="Темный список - Акцент 5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57">
    <w:name w:val="Цветная заливка - Акцент 5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58">
    <w:name w:val="Цветной список - Акцент 5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59">
    <w:name w:val="Цветная сетка - Акцент 5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60">
    <w:name w:val="Светлая заливка - Акцент 61"/>
    <w:basedOn w:val="12"/>
    <w:semiHidden/>
    <w:unhideWhenUsed/>
    <w:uiPriority w:val="60"/>
    <w:pPr>
      <w:spacing w:after="0" w:line="240" w:lineRule="auto"/>
    </w:pPr>
    <w:rPr>
      <w:rFonts w:ascii="Cambria" w:hAnsi="Cambria" w:eastAsia="MS Mincho" w:cs="Times New Roman"/>
      <w:color w:val="E36C0A"/>
      <w:kern w:val="0"/>
      <w:sz w:val="20"/>
      <w:szCs w:val="20"/>
      <w:lang w:eastAsia="ru-RU"/>
      <w14:ligatures w14:val="none"/>
    </w:rPr>
    <w:tblPr>
      <w:tblBorders>
        <w:top w:val="single" w:color="F79646" w:sz="8" w:space="0"/>
        <w:bottom w:val="single" w:color="F79646" w:sz="8" w:space="0"/>
      </w:tblBorders>
    </w:tblPr>
    <w:tblStylePr w:type="fir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261">
    <w:name w:val="Светлый список - Акцент 61"/>
    <w:basedOn w:val="12"/>
    <w:semiHidden/>
    <w:unhideWhenUsed/>
    <w:uiPriority w:val="61"/>
    <w:pPr>
      <w:spacing w:after="0" w:line="240" w:lineRule="auto"/>
    </w:pPr>
    <w:rPr>
      <w:rFonts w:ascii="Cambria" w:hAnsi="Cambria" w:eastAsia="MS Mincho" w:cs="Times New Roman"/>
      <w:kern w:val="0"/>
      <w:sz w:val="20"/>
      <w:szCs w:val="20"/>
      <w:lang w:eastAsia="ru-RU"/>
      <w14:ligatures w14:val="none"/>
    </w:rPr>
    <w:tblPr>
      <w:tblBorders>
        <w:top w:val="single" w:color="F79646" w:sz="8" w:space="0"/>
        <w:left w:val="single" w:color="F79646" w:sz="8" w:space="0"/>
        <w:bottom w:val="single" w:color="F79646" w:sz="8" w:space="0"/>
        <w:right w:val="single" w:color="F79646" w:sz="8" w:space="0"/>
      </w:tblBorders>
    </w:tblPr>
    <w:tblStylePr w:type="firstRow">
      <w:pPr>
        <w:spacing w:before="0" w:beforeLines="0" w:beforeAutospacing="0" w:after="0" w:afterLines="0" w:afterAutospacing="0" w:line="240" w:lineRule="auto"/>
      </w:pPr>
      <w:rPr>
        <w:b/>
        <w:bCs/>
        <w:color w:val="FFFFFF"/>
      </w:rPr>
      <w:tcPr>
        <w:shd w:val="clear" w:color="auto" w:fill="F79646"/>
      </w:tcPr>
    </w:tblStylePr>
    <w:tblStylePr w:type="lastRow">
      <w:pPr>
        <w:spacing w:before="0" w:beforeLines="0" w:beforeAutospacing="0" w:after="0" w:afterLines="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62">
    <w:name w:val="Светлая сетка - Акцент 61"/>
    <w:basedOn w:val="12"/>
    <w:semiHidden/>
    <w:unhideWhenUsed/>
    <w:uiPriority w:val="62"/>
    <w:pPr>
      <w:spacing w:after="0" w:line="240" w:lineRule="auto"/>
    </w:pPr>
    <w:rPr>
      <w:rFonts w:ascii="Cambria" w:hAnsi="Cambria" w:eastAsia="MS Mincho" w:cs="Times New Roman"/>
      <w:kern w:val="0"/>
      <w:sz w:val="20"/>
      <w:szCs w:val="20"/>
      <w:lang w:eastAsia="ru-RU"/>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63">
    <w:name w:val="Средняя заливка 1 - Акцент 61"/>
    <w:basedOn w:val="12"/>
    <w:semiHidden/>
    <w:unhideWhenUsed/>
    <w:uiPriority w:val="63"/>
    <w:pPr>
      <w:spacing w:after="0" w:line="240" w:lineRule="auto"/>
    </w:pPr>
    <w:rPr>
      <w:rFonts w:ascii="Cambria" w:hAnsi="Cambria" w:eastAsia="MS Mincho" w:cs="Times New Roman"/>
      <w:kern w:val="0"/>
      <w:sz w:val="20"/>
      <w:szCs w:val="20"/>
      <w:lang w:eastAsia="ru-RU"/>
      <w14:ligatures w14:val="none"/>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beforeLines="0" w:beforeAutospacing="0" w:after="0" w:afterLines="0" w:afterAutospacing="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beforeLines="0" w:beforeAutospacing="0" w:after="0" w:afterLines="0" w:afterAutospacing="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64">
    <w:name w:val="Средняя заливка 2 - Акцент 61"/>
    <w:basedOn w:val="12"/>
    <w:semiHidden/>
    <w:unhideWhenUsed/>
    <w:uiPriority w:val="64"/>
    <w:pPr>
      <w:spacing w:after="0" w:line="240" w:lineRule="auto"/>
    </w:pPr>
    <w:rPr>
      <w:rFonts w:ascii="Cambria" w:hAnsi="Cambria" w:eastAsia="MS Mincho" w:cs="Times New Roman"/>
      <w:kern w:val="0"/>
      <w:sz w:val="20"/>
      <w:szCs w:val="20"/>
      <w:lang w:eastAsia="ru-RU"/>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65">
    <w:name w:val="Средний список 1 - Акцент 61"/>
    <w:basedOn w:val="12"/>
    <w:semiHidden/>
    <w:unhideWhenUsed/>
    <w:uiPriority w:val="65"/>
    <w:pPr>
      <w:spacing w:after="0" w:line="240" w:lineRule="auto"/>
    </w:pPr>
    <w:rPr>
      <w:rFonts w:ascii="Cambria" w:hAnsi="Cambria" w:eastAsia="MS Mincho" w:cs="Times New Roman"/>
      <w:color w:val="000000"/>
      <w:kern w:val="0"/>
      <w:sz w:val="20"/>
      <w:szCs w:val="20"/>
      <w:lang w:eastAsia="ru-RU"/>
      <w14:ligatures w14:val="none"/>
    </w:rPr>
    <w:tblPr>
      <w:tblBorders>
        <w:top w:val="single" w:color="F79646" w:sz="8" w:space="0"/>
        <w:bottom w:val="single" w:color="F79646" w:sz="8" w:space="0"/>
      </w:tblBorders>
    </w:tbl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66">
    <w:name w:val="Средний список 2 - Акцент 61"/>
    <w:basedOn w:val="12"/>
    <w:semiHidden/>
    <w:unhideWhenUsed/>
    <w:uiPriority w:val="66"/>
    <w:pPr>
      <w:spacing w:after="0" w:line="240" w:lineRule="auto"/>
    </w:pPr>
    <w:rPr>
      <w:rFonts w:ascii="Calibri" w:hAnsi="Calibri" w:eastAsia="MS Gothic" w:cs="Times New Roman"/>
      <w:color w:val="000000"/>
      <w:kern w:val="0"/>
      <w:sz w:val="20"/>
      <w:szCs w:val="20"/>
      <w:lang w:eastAsia="ru-RU"/>
      <w14:ligatures w14:val="none"/>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67">
    <w:name w:val="Средняя сетка 1 - Акцент 61"/>
    <w:basedOn w:val="12"/>
    <w:semiHidden/>
    <w:unhideWhenUsed/>
    <w:uiPriority w:val="67"/>
    <w:pPr>
      <w:spacing w:after="0" w:line="240" w:lineRule="auto"/>
    </w:pPr>
    <w:rPr>
      <w:rFonts w:ascii="Cambria" w:hAnsi="Cambria" w:eastAsia="MS Mincho" w:cs="Times New Roman"/>
      <w:kern w:val="0"/>
      <w:sz w:val="20"/>
      <w:szCs w:val="20"/>
      <w:lang w:eastAsia="ru-RU"/>
      <w14:ligatures w14:val="none"/>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68">
    <w:name w:val="Средняя сетка 2 - Акцент 61"/>
    <w:basedOn w:val="12"/>
    <w:semiHidden/>
    <w:unhideWhenUsed/>
    <w:uiPriority w:val="68"/>
    <w:pPr>
      <w:spacing w:after="0" w:line="240" w:lineRule="auto"/>
    </w:pPr>
    <w:rPr>
      <w:rFonts w:ascii="Calibri" w:hAnsi="Calibri" w:eastAsia="MS Gothic" w:cs="Times New Roman"/>
      <w:color w:val="000000"/>
      <w:kern w:val="0"/>
      <w:sz w:val="20"/>
      <w:szCs w:val="20"/>
      <w:lang w:eastAsia="ru-RU"/>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69">
    <w:name w:val="Средняя сетка 3 - Акцент 61"/>
    <w:basedOn w:val="12"/>
    <w:semiHidden/>
    <w:unhideWhenUsed/>
    <w:uiPriority w:val="69"/>
    <w:pPr>
      <w:spacing w:after="0" w:line="240" w:lineRule="auto"/>
    </w:pPr>
    <w:rPr>
      <w:rFonts w:ascii="Cambria" w:hAnsi="Cambria" w:eastAsia="MS Mincho" w:cs="Times New Roman"/>
      <w:kern w:val="0"/>
      <w:sz w:val="20"/>
      <w:szCs w:val="20"/>
      <w:lang w:eastAsia="ru-RU"/>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70">
    <w:name w:val="Темный список - Акцент 61"/>
    <w:basedOn w:val="12"/>
    <w:semiHidden/>
    <w:unhideWhenUsed/>
    <w:uiPriority w:val="70"/>
    <w:pPr>
      <w:spacing w:after="0" w:line="240" w:lineRule="auto"/>
    </w:pPr>
    <w:rPr>
      <w:rFonts w:ascii="Cambria" w:hAnsi="Cambria" w:eastAsia="MS Mincho" w:cs="Times New Roman"/>
      <w:color w:val="FFFFFF"/>
      <w:kern w:val="0"/>
      <w:sz w:val="20"/>
      <w:szCs w:val="20"/>
      <w:lang w:eastAsia="ru-RU"/>
      <w14:ligatures w14:val="none"/>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71">
    <w:name w:val="Цветная заливка - Акцент 61"/>
    <w:basedOn w:val="12"/>
    <w:semiHidden/>
    <w:unhideWhenUsed/>
    <w:uiPriority w:val="71"/>
    <w:pPr>
      <w:spacing w:after="0" w:line="240" w:lineRule="auto"/>
    </w:pPr>
    <w:rPr>
      <w:rFonts w:ascii="Cambria" w:hAnsi="Cambria" w:eastAsia="MS Mincho" w:cs="Times New Roman"/>
      <w:color w:val="000000"/>
      <w:kern w:val="0"/>
      <w:sz w:val="20"/>
      <w:szCs w:val="20"/>
      <w:lang w:eastAsia="ru-RU"/>
      <w14:ligatures w14:val="none"/>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72">
    <w:name w:val="Цветной список - Акцент 61"/>
    <w:basedOn w:val="12"/>
    <w:semiHidden/>
    <w:unhideWhenUsed/>
    <w:uiPriority w:val="72"/>
    <w:pPr>
      <w:spacing w:after="0" w:line="240" w:lineRule="auto"/>
    </w:pPr>
    <w:rPr>
      <w:rFonts w:ascii="Cambria" w:hAnsi="Cambria" w:eastAsia="MS Mincho" w:cs="Times New Roman"/>
      <w:color w:val="000000"/>
      <w:kern w:val="0"/>
      <w:sz w:val="20"/>
      <w:szCs w:val="20"/>
      <w:lang w:eastAsia="ru-RU"/>
      <w14:ligatures w14:val="none"/>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73">
    <w:name w:val="Цветная сетка - Акцент 61"/>
    <w:basedOn w:val="12"/>
    <w:semiHidden/>
    <w:unhideWhenUsed/>
    <w:uiPriority w:val="73"/>
    <w:pPr>
      <w:spacing w:after="0" w:line="240" w:lineRule="auto"/>
    </w:pPr>
    <w:rPr>
      <w:rFonts w:ascii="Cambria" w:hAnsi="Cambria" w:eastAsia="MS Mincho" w:cs="Times New Roman"/>
      <w:color w:val="000000"/>
      <w:kern w:val="0"/>
      <w:sz w:val="20"/>
      <w:szCs w:val="20"/>
      <w:lang w:eastAsia="ru-RU"/>
      <w14:ligatures w14:val="none"/>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CDFA8322-8891-4CF9-9315-342477CE4095}">
  <ds:schemaRefs/>
</ds:datastoreItem>
</file>

<file path=docProps/app.xml><?xml version="1.0" encoding="utf-8"?>
<Properties xmlns="http://schemas.openxmlformats.org/officeDocument/2006/extended-properties" xmlns:vt="http://schemas.openxmlformats.org/officeDocument/2006/docPropsVTypes">
  <Template>Normal</Template>
  <Pages>161</Pages>
  <Words>22407</Words>
  <Characters>127724</Characters>
  <Lines>1064</Lines>
  <Paragraphs>299</Paragraphs>
  <TotalTime>822</TotalTime>
  <ScaleCrop>false</ScaleCrop>
  <LinksUpToDate>false</LinksUpToDate>
  <CharactersWithSpaces>149832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2026-02-11T00:19:00Z</dcterms:created>
  <dc:creator>Тимур Фуфаев</dc:creator>
  <cp:lastModifiedBy>Антон Иванов</cp:lastModifiedBy>
  <dcterms:modified xsi:type="dcterms:W3CDTF">2026-05-20T07:58:12Z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2EF3C1FEFFB4BC492CBF0C6A51281292_42</vt:lpwstr>
  </property>
</Properties>
</file>