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РАЗРАБОТКА МЕТОДОВ ПОВЫШЕНИЯ ЭНЕРГОЭФФЕКТИВНОСТИ</w:t>
        <w:br/>
        <w:t>СИСТЕМ ВЕНТИЛЯЦИИ КИНОЗАЛА</w:t>
        <w:br/>
        <w:t>С КОНТРОЛЕМ КОНЦЕНТРАЦИИ CO₂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Моделирование в OpenStudio/EnergyPlus</w:t>
      </w:r>
    </w:p>
    <w:p>
      <w:r>
        <w:rPr>
          <w:rFonts w:ascii="Times New Roman" w:hAnsi="Times New Roman"/>
          <w:b/>
          <w:sz w:val="26"/>
        </w:rPr>
        <w:t>1. Цель и объект моделирования</w:t>
      </w:r>
    </w:p>
    <w:p>
      <w:r>
        <w:rPr>
          <w:rFonts w:ascii="Times New Roman" w:hAnsi="Times New Roman"/>
          <w:b w:val="0"/>
          <w:sz w:val="24"/>
        </w:rPr>
        <w:t>Цель работы — оценка влияния алгоритма DCV на электропотребление системы вентиляции при сохранении контролируемого уровня CO₂ в зале. Объект — большой кинозал вместимостью 135 мест.</w:t>
      </w:r>
    </w:p>
    <w:p>
      <w:r>
        <w:rPr>
          <w:rFonts w:ascii="Times New Roman" w:hAnsi="Times New Roman"/>
          <w:b/>
          <w:sz w:val="26"/>
        </w:rPr>
        <w:t>2. Характеристики объекта и системы</w:t>
      </w:r>
    </w:p>
    <w:p>
      <w:r>
        <w:rPr>
          <w:rFonts w:ascii="Times New Roman" w:hAnsi="Times New Roman"/>
          <w:b w:val="0"/>
          <w:sz w:val="24"/>
        </w:rPr>
        <w:t>Исходные параметры объекта и принятой вентиляционной системы сведены в таблицу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Тип установки</w:t>
            </w:r>
          </w:p>
        </w:tc>
        <w:tc>
          <w:tcPr>
            <w:tcW w:type="dxa" w:w="2880"/>
          </w:tcPr>
          <w:p>
            <w:r>
              <w:t>AIRNED-M6L</w:t>
            </w:r>
          </w:p>
        </w:tc>
        <w:tc>
          <w:tcPr>
            <w:tcW w:type="dxa" w:w="2880"/>
          </w:tcPr>
          <w:p>
            <w:r>
              <w:t>Приточно-вытяжная вентиляция</w:t>
            </w:r>
          </w:p>
        </w:tc>
      </w:tr>
      <w:tr>
        <w:tc>
          <w:tcPr>
            <w:tcW w:type="dxa" w:w="2880"/>
          </w:tcPr>
          <w:p>
            <w:r>
              <w:t>Обозначение</w:t>
            </w:r>
          </w:p>
        </w:tc>
        <w:tc>
          <w:tcPr>
            <w:tcW w:type="dxa" w:w="2880"/>
          </w:tcPr>
          <w:p>
            <w:r>
              <w:t>П1В1</w:t>
            </w:r>
          </w:p>
        </w:tc>
        <w:tc>
          <w:tcPr>
            <w:tcW w:type="dxa" w:w="2880"/>
          </w:tcPr>
          <w:p>
            <w:r>
              <w:t>Базовая система объекта</w:t>
            </w:r>
          </w:p>
        </w:tc>
      </w:tr>
      <w:tr>
        <w:tc>
          <w:tcPr>
            <w:tcW w:type="dxa" w:w="2880"/>
          </w:tcPr>
          <w:p>
            <w:r>
              <w:t>Приток</w:t>
            </w:r>
          </w:p>
        </w:tc>
        <w:tc>
          <w:tcPr>
            <w:tcW w:type="dxa" w:w="2880"/>
          </w:tcPr>
          <w:p>
            <w:r>
              <w:t>4 050 м³/ч (1,125 м³/с)</w:t>
            </w:r>
          </w:p>
        </w:tc>
        <w:tc>
          <w:tcPr>
            <w:tcW w:type="dxa" w:w="2880"/>
          </w:tcPr>
          <w:p>
            <w:r>
              <w:t>Номинальный режим</w:t>
            </w:r>
          </w:p>
        </w:tc>
      </w:tr>
      <w:tr>
        <w:tc>
          <w:tcPr>
            <w:tcW w:type="dxa" w:w="2880"/>
          </w:tcPr>
          <w:p>
            <w:r>
              <w:t>Вытяжка</w:t>
            </w:r>
          </w:p>
        </w:tc>
        <w:tc>
          <w:tcPr>
            <w:tcW w:type="dxa" w:w="2880"/>
          </w:tcPr>
          <w:p>
            <w:r>
              <w:t>4 050 м³/ч</w:t>
            </w:r>
          </w:p>
        </w:tc>
        <w:tc>
          <w:tcPr>
            <w:tcW w:type="dxa" w:w="2880"/>
          </w:tcPr>
          <w:p>
            <w:r>
              <w:t>Номинальный режим</w:t>
            </w:r>
          </w:p>
        </w:tc>
      </w:tr>
      <w:tr>
        <w:tc>
          <w:tcPr>
            <w:tcW w:type="dxa" w:w="2880"/>
          </w:tcPr>
          <w:p>
            <w:r>
              <w:t>Кратность воздухообмена</w:t>
            </w:r>
          </w:p>
        </w:tc>
        <w:tc>
          <w:tcPr>
            <w:tcW w:type="dxa" w:w="2880"/>
          </w:tcPr>
          <w:p>
            <w:r>
              <w:t>6,28 ч⁻¹</w:t>
            </w:r>
          </w:p>
        </w:tc>
        <w:tc>
          <w:tcPr>
            <w:tcW w:type="dxa" w:w="2880"/>
          </w:tcPr>
          <w:p>
            <w:r>
              <w:t>Для объёма 645 м³</w:t>
            </w:r>
          </w:p>
        </w:tc>
      </w:tr>
      <w:tr>
        <w:tc>
          <w:tcPr>
            <w:tcW w:type="dxa" w:w="2880"/>
          </w:tcPr>
          <w:p>
            <w:r>
              <w:t>Вентилятор</w:t>
            </w:r>
          </w:p>
        </w:tc>
        <w:tc>
          <w:tcPr>
            <w:tcW w:type="dxa" w:w="2880"/>
          </w:tcPr>
          <w:p>
            <w:r>
              <w:t>5 425 м³/ч, 500 Па, 1,97 кВт</w:t>
            </w:r>
          </w:p>
        </w:tc>
        <w:tc>
          <w:tcPr>
            <w:tcW w:type="dxa" w:w="2880"/>
          </w:tcPr>
          <w:p>
            <w:r>
              <w:t>Проектные характеристики</w:t>
            </w:r>
          </w:p>
        </w:tc>
      </w:tr>
      <w:tr>
        <w:tc>
          <w:tcPr>
            <w:tcW w:type="dxa" w:w="2880"/>
          </w:tcPr>
          <w:p>
            <w:r>
              <w:t>Сценарии</w:t>
            </w:r>
          </w:p>
        </w:tc>
        <w:tc>
          <w:tcPr>
            <w:tcW w:type="dxa" w:w="2880"/>
          </w:tcPr>
          <w:p>
            <w:r>
              <w:t>Base, DCV, Base+HP, DCV+HP, Base+Rec, DCV+Rec</w:t>
            </w:r>
          </w:p>
        </w:tc>
        <w:tc>
          <w:tcPr>
            <w:tcW w:type="dxa" w:w="2880"/>
          </w:tcPr>
          <w:p>
            <w:r>
              <w:t>Расчёт выполнен для 6 моделей</w:t>
            </w:r>
          </w:p>
        </w:tc>
      </w:tr>
    </w:tbl>
    <w:p>
      <w:r>
        <w:rPr>
          <w:rFonts w:ascii="Times New Roman" w:hAnsi="Times New Roman"/>
          <w:b/>
          <w:sz w:val="26"/>
        </w:rPr>
        <w:t>3. Построение модели и расчётный контур</w:t>
      </w:r>
    </w:p>
    <w:p>
      <w:r>
        <w:rPr>
          <w:rFonts w:ascii="Times New Roman" w:hAnsi="Times New Roman"/>
          <w:b w:val="0"/>
          <w:sz w:val="24"/>
        </w:rPr>
        <w:t>Расчёт выполнен в OpenStudio 3.10 / EnergyPlus. Для каждого сценария автоматически сформирован workflow и выполнен годовой прогон на едином климатическом файле Saint-Petersburg.epw.</w:t>
      </w:r>
    </w:p>
    <w:p>
      <w:r>
        <w:rPr>
          <w:rFonts w:ascii="Times New Roman" w:hAnsi="Times New Roman"/>
          <w:b/>
          <w:sz w:val="26"/>
        </w:rPr>
        <w:t>4. Сценарии расчёта</w:t>
      </w:r>
    </w:p>
    <w:p>
      <w:r>
        <w:rPr>
          <w:rFonts w:ascii="Times New Roman" w:hAnsi="Times New Roman"/>
          <w:b w:val="0"/>
          <w:sz w:val="24"/>
        </w:rPr>
        <w:t>Рассмотрены шесть сценариев: Base, DCV, Base+HP, DCV+HP, Base+Rec и DCV+Rec.</w:t>
      </w:r>
    </w:p>
    <w:p>
      <w:r>
        <w:rPr>
          <w:rFonts w:ascii="Times New Roman" w:hAnsi="Times New Roman"/>
          <w:b w:val="0"/>
          <w:sz w:val="24"/>
        </w:rPr>
        <w:t>Все DCV-сценарии используют уставку CO₂ = 700 ppm и минимальную долю приточного расхода 55 % от номинала (2 228 м³/ч), что обеспечивает категорию качества воздуха «Отличное» (CO₂ &lt; 800 ppm, ГОСТ 30494-2011) при одновременном снижении электропотребления. Пара Base+Rec / DCV+Rec моделирует замену стандартного рекуператора (η=80 %) на высокоэффективный электрический роторный рекуператор (η=90 %).</w:t>
      </w:r>
    </w:p>
    <w:p>
      <w:r>
        <w:rPr>
          <w:rFonts w:ascii="Times New Roman" w:hAnsi="Times New Roman"/>
          <w:b/>
          <w:sz w:val="26"/>
        </w:rPr>
        <w:t>5. Сводные результаты по шести моделям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Показатель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DCV</w:t>
            </w:r>
          </w:p>
        </w:tc>
        <w:tc>
          <w:tcPr>
            <w:tcW w:type="dxa" w:w="1234"/>
          </w:tcPr>
          <w:p>
            <w:r>
              <w:t>Base+HP</w:t>
            </w:r>
          </w:p>
        </w:tc>
        <w:tc>
          <w:tcPr>
            <w:tcW w:type="dxa" w:w="1234"/>
          </w:tcPr>
          <w:p>
            <w:r>
              <w:t>DCV+HP</w:t>
            </w:r>
          </w:p>
        </w:tc>
        <w:tc>
          <w:tcPr>
            <w:tcW w:type="dxa" w:w="1234"/>
          </w:tcPr>
          <w:p>
            <w:r>
              <w:t>Base+Rec</w:t>
            </w:r>
          </w:p>
        </w:tc>
        <w:tc>
          <w:tcPr>
            <w:tcW w:type="dxa" w:w="1234"/>
          </w:tcPr>
          <w:p>
            <w:r>
              <w:t>DCV+Rec</w:t>
            </w:r>
          </w:p>
        </w:tc>
      </w:tr>
      <w:tr>
        <w:tc>
          <w:tcPr>
            <w:tcW w:type="dxa" w:w="1234"/>
          </w:tcPr>
          <w:p>
            <w:r>
              <w:t>Электроэнергия (всего), кВт·ч/год</w:t>
            </w:r>
          </w:p>
        </w:tc>
        <w:tc>
          <w:tcPr>
            <w:tcW w:type="dxa" w:w="1234"/>
          </w:tcPr>
          <w:p>
            <w:r>
              <w:t>46 863</w:t>
            </w:r>
          </w:p>
        </w:tc>
        <w:tc>
          <w:tcPr>
            <w:tcW w:type="dxa" w:w="1234"/>
          </w:tcPr>
          <w:p>
            <w:r>
              <w:t>43 830</w:t>
            </w:r>
          </w:p>
        </w:tc>
        <w:tc>
          <w:tcPr>
            <w:tcW w:type="dxa" w:w="1234"/>
          </w:tcPr>
          <w:p>
            <w:r>
              <w:t>46 874</w:t>
            </w:r>
          </w:p>
        </w:tc>
        <w:tc>
          <w:tcPr>
            <w:tcW w:type="dxa" w:w="1234"/>
          </w:tcPr>
          <w:p>
            <w:r>
              <w:t>43 836</w:t>
            </w:r>
          </w:p>
        </w:tc>
        <w:tc>
          <w:tcPr>
            <w:tcW w:type="dxa" w:w="1234"/>
          </w:tcPr>
          <w:p>
            <w:r>
              <w:t>46 857</w:t>
            </w:r>
          </w:p>
        </w:tc>
        <w:tc>
          <w:tcPr>
            <w:tcW w:type="dxa" w:w="1234"/>
          </w:tcPr>
          <w:p>
            <w:r>
              <w:t>43 828</w:t>
            </w:r>
          </w:p>
        </w:tc>
      </w:tr>
      <w:tr>
        <w:tc>
          <w:tcPr>
            <w:tcW w:type="dxa" w:w="1234"/>
          </w:tcPr>
          <w:p>
            <w:r>
              <w:t>Вентиляторы (электроэнергия), кВт·ч/год</w:t>
            </w:r>
          </w:p>
        </w:tc>
        <w:tc>
          <w:tcPr>
            <w:tcW w:type="dxa" w:w="1234"/>
          </w:tcPr>
          <w:p>
            <w:r>
              <w:t>5 082</w:t>
            </w:r>
          </w:p>
        </w:tc>
        <w:tc>
          <w:tcPr>
            <w:tcW w:type="dxa" w:w="1234"/>
          </w:tcPr>
          <w:p>
            <w:r>
              <w:t>2 056</w:t>
            </w:r>
          </w:p>
        </w:tc>
        <w:tc>
          <w:tcPr>
            <w:tcW w:type="dxa" w:w="1234"/>
          </w:tcPr>
          <w:p>
            <w:r>
              <w:t>5 082</w:t>
            </w:r>
          </w:p>
        </w:tc>
        <w:tc>
          <w:tcPr>
            <w:tcW w:type="dxa" w:w="1234"/>
          </w:tcPr>
          <w:p>
            <w:r>
              <w:t>2 056</w:t>
            </w:r>
          </w:p>
        </w:tc>
        <w:tc>
          <w:tcPr>
            <w:tcW w:type="dxa" w:w="1234"/>
          </w:tcPr>
          <w:p>
            <w:r>
              <w:t>5 082</w:t>
            </w:r>
          </w:p>
        </w:tc>
        <w:tc>
          <w:tcPr>
            <w:tcW w:type="dxa" w:w="1234"/>
          </w:tcPr>
          <w:p>
            <w:r>
              <w:t>2 057</w:t>
            </w:r>
          </w:p>
        </w:tc>
      </w:tr>
      <w:tr>
        <w:tc>
          <w:tcPr>
            <w:tcW w:type="dxa" w:w="1234"/>
          </w:tcPr>
          <w:p>
            <w:r>
              <w:t>Калорифер (тепловая энергия), кВт·ч/год</w:t>
            </w:r>
          </w:p>
        </w:tc>
        <w:tc>
          <w:tcPr>
            <w:tcW w:type="dxa" w:w="1234"/>
          </w:tcPr>
          <w:p>
            <w:r>
              <w:t>2 771</w:t>
            </w:r>
          </w:p>
        </w:tc>
        <w:tc>
          <w:tcPr>
            <w:tcW w:type="dxa" w:w="1234"/>
          </w:tcPr>
          <w:p>
            <w:r>
              <w:t>713</w:t>
            </w:r>
          </w:p>
        </w:tc>
        <w:tc>
          <w:tcPr>
            <w:tcW w:type="dxa" w:w="1234"/>
          </w:tcPr>
          <w:p>
            <w:r>
              <w:t>2 630</w:t>
            </w:r>
          </w:p>
        </w:tc>
        <w:tc>
          <w:tcPr>
            <w:tcW w:type="dxa" w:w="1234"/>
          </w:tcPr>
          <w:p>
            <w:r>
              <w:t>708</w:t>
            </w:r>
          </w:p>
        </w:tc>
        <w:tc>
          <w:tcPr>
            <w:tcW w:type="dxa" w:w="1234"/>
          </w:tcPr>
          <w:p>
            <w:r>
              <w:t>1 154</w:t>
            </w:r>
          </w:p>
        </w:tc>
        <w:tc>
          <w:tcPr>
            <w:tcW w:type="dxa" w:w="1234"/>
          </w:tcPr>
          <w:p>
            <w:r>
              <w:t>335</w:t>
            </w:r>
          </w:p>
        </w:tc>
      </w:tr>
      <w:tr>
        <w:tc>
          <w:tcPr>
            <w:tcW w:type="dxa" w:w="1234"/>
          </w:tcPr>
          <w:p>
            <w:r>
              <w:t>Средний расход вентиляции, м³/ч</w:t>
            </w:r>
          </w:p>
        </w:tc>
        <w:tc>
          <w:tcPr>
            <w:tcW w:type="dxa" w:w="1234"/>
          </w:tcPr>
          <w:p>
            <w:r>
              <w:t>4 131</w:t>
            </w:r>
          </w:p>
        </w:tc>
        <w:tc>
          <w:tcPr>
            <w:tcW w:type="dxa" w:w="1234"/>
          </w:tcPr>
          <w:p>
            <w:r>
              <w:t>2 619</w:t>
            </w:r>
          </w:p>
        </w:tc>
        <w:tc>
          <w:tcPr>
            <w:tcW w:type="dxa" w:w="1234"/>
          </w:tcPr>
          <w:p>
            <w:r>
              <w:t>4 131</w:t>
            </w:r>
          </w:p>
        </w:tc>
        <w:tc>
          <w:tcPr>
            <w:tcW w:type="dxa" w:w="1234"/>
          </w:tcPr>
          <w:p>
            <w:r>
              <w:t>2 619</w:t>
            </w:r>
          </w:p>
        </w:tc>
        <w:tc>
          <w:tcPr>
            <w:tcW w:type="dxa" w:w="1234"/>
          </w:tcPr>
          <w:p>
            <w:r>
              <w:t>4 137</w:t>
            </w:r>
          </w:p>
        </w:tc>
        <w:tc>
          <w:tcPr>
            <w:tcW w:type="dxa" w:w="1234"/>
          </w:tcPr>
          <w:p>
            <w:r>
              <w:t>2 621</w:t>
            </w:r>
          </w:p>
        </w:tc>
      </w:tr>
      <w:tr>
        <w:tc>
          <w:tcPr>
            <w:tcW w:type="dxa" w:w="1234"/>
          </w:tcPr>
          <w:p>
            <w:r>
              <w:t>Средняя концентрация CO₂, ppm</w:t>
            </w:r>
          </w:p>
        </w:tc>
        <w:tc>
          <w:tcPr>
            <w:tcW w:type="dxa" w:w="1234"/>
          </w:tcPr>
          <w:p>
            <w:r>
              <w:t>645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  <w:tc>
          <w:tcPr>
            <w:tcW w:type="dxa" w:w="1234"/>
          </w:tcPr>
          <w:p>
            <w:r>
              <w:t>645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  <w:tc>
          <w:tcPr>
            <w:tcW w:type="dxa" w:w="1234"/>
          </w:tcPr>
          <w:p>
            <w:r>
              <w:t>644</w:t>
            </w:r>
          </w:p>
        </w:tc>
        <w:tc>
          <w:tcPr>
            <w:tcW w:type="dxa" w:w="1234"/>
          </w:tcPr>
          <w:p>
            <w:r>
              <w:t>773</w:t>
            </w:r>
          </w:p>
        </w:tc>
      </w:tr>
      <w:tr>
        <w:tc>
          <w:tcPr>
            <w:tcW w:type="dxa" w:w="1234"/>
          </w:tcPr>
          <w:p>
            <w:r>
              <w:t>Оценка качества воздуха (ГОСТ 30494)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  <w:tc>
          <w:tcPr>
            <w:tcW w:type="dxa" w:w="1234"/>
          </w:tcPr>
          <w:p>
            <w:r>
              <w:t>Отличное</w:t>
            </w:r>
          </w:p>
        </w:tc>
      </w:tr>
      <w:tr>
        <w:tc>
          <w:tcPr>
            <w:tcW w:type="dxa" w:w="1234"/>
          </w:tcPr>
          <w:p>
            <w:r>
              <w:t>Часы присутствия (&gt;10 чел), ч/год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  <w:tc>
          <w:tcPr>
            <w:tcW w:type="dxa" w:w="1234"/>
          </w:tcPr>
          <w:p>
            <w:r>
              <w:t>5 767</w:t>
            </w:r>
          </w:p>
        </w:tc>
      </w:tr>
    </w:tbl>
    <w:p>
      <w:r>
        <w:rPr>
          <w:rFonts w:ascii="Times New Roman" w:hAnsi="Times New Roman"/>
          <w:b/>
          <w:sz w:val="26"/>
        </w:rPr>
        <w:t>6. Сравнение и визуализация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Пара</w:t>
            </w:r>
          </w:p>
        </w:tc>
        <w:tc>
          <w:tcPr>
            <w:tcW w:type="dxa" w:w="1728"/>
          </w:tcPr>
          <w:p>
            <w:r>
              <w:t>ΔЭлектро, кВт·ч/год</w:t>
            </w:r>
          </w:p>
        </w:tc>
        <w:tc>
          <w:tcPr>
            <w:tcW w:type="dxa" w:w="1728"/>
          </w:tcPr>
          <w:p>
            <w:r>
              <w:t>ΔЭлектро, %</w:t>
            </w:r>
          </w:p>
        </w:tc>
        <w:tc>
          <w:tcPr>
            <w:tcW w:type="dxa" w:w="1728"/>
          </w:tcPr>
          <w:p>
            <w:r>
              <w:t>ΔВентиляторы, кВт·ч/год</w:t>
            </w:r>
          </w:p>
        </w:tc>
        <w:tc>
          <w:tcPr>
            <w:tcW w:type="dxa" w:w="1728"/>
          </w:tcPr>
          <w:p>
            <w:r>
              <w:t>ΔВентиляторы, %</w:t>
            </w:r>
          </w:p>
        </w:tc>
      </w:tr>
      <w:tr>
        <w:tc>
          <w:tcPr>
            <w:tcW w:type="dxa" w:w="1728"/>
          </w:tcPr>
          <w:p>
            <w:r>
              <w:t>DCV vs Base</w:t>
            </w:r>
          </w:p>
        </w:tc>
        <w:tc>
          <w:tcPr>
            <w:tcW w:type="dxa" w:w="1728"/>
          </w:tcPr>
          <w:p>
            <w:r>
              <w:t>3 033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3 026</w:t>
            </w:r>
          </w:p>
        </w:tc>
        <w:tc>
          <w:tcPr>
            <w:tcW w:type="dxa" w:w="1728"/>
          </w:tcPr>
          <w:p>
            <w:r>
              <w:t>59.5</w:t>
            </w:r>
          </w:p>
        </w:tc>
      </w:tr>
      <w:tr>
        <w:tc>
          <w:tcPr>
            <w:tcW w:type="dxa" w:w="1728"/>
          </w:tcPr>
          <w:p>
            <w:r>
              <w:t>DCV+HP vs Base+HP</w:t>
            </w:r>
          </w:p>
        </w:tc>
        <w:tc>
          <w:tcPr>
            <w:tcW w:type="dxa" w:w="1728"/>
          </w:tcPr>
          <w:p>
            <w:r>
              <w:t>3 038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3 026</w:t>
            </w:r>
          </w:p>
        </w:tc>
        <w:tc>
          <w:tcPr>
            <w:tcW w:type="dxa" w:w="1728"/>
          </w:tcPr>
          <w:p>
            <w:r>
              <w:t>59.5</w:t>
            </w:r>
          </w:p>
        </w:tc>
      </w:tr>
      <w:tr>
        <w:tc>
          <w:tcPr>
            <w:tcW w:type="dxa" w:w="1728"/>
          </w:tcPr>
          <w:p>
            <w:r>
              <w:t>DCV+Rec vs Base+Rec</w:t>
            </w:r>
          </w:p>
        </w:tc>
        <w:tc>
          <w:tcPr>
            <w:tcW w:type="dxa" w:w="1728"/>
          </w:tcPr>
          <w:p>
            <w:r>
              <w:t>3 029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3 025</w:t>
            </w:r>
          </w:p>
        </w:tc>
        <w:tc>
          <w:tcPr>
            <w:tcW w:type="dxa" w:w="1728"/>
          </w:tcPr>
          <w:p>
            <w:r>
              <w:t>59.5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42000" cy="280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tal_electricity_6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 — Суммарное электропотребление по шести сценариям</w:t>
      </w:r>
    </w:p>
    <w:p>
      <w:r>
        <w:drawing>
          <wp:inline xmlns:a="http://schemas.openxmlformats.org/drawingml/2006/main" xmlns:pic="http://schemas.openxmlformats.org/drawingml/2006/picture">
            <wp:extent cx="584200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an_electricity_6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2 — Электропотребление вентиляторов по сценариям</w:t>
      </w:r>
    </w:p>
    <w:p>
      <w:r>
        <w:drawing>
          <wp:inline xmlns:a="http://schemas.openxmlformats.org/drawingml/2006/main" xmlns:pic="http://schemas.openxmlformats.org/drawingml/2006/picture">
            <wp:extent cx="5842000" cy="2812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nthly_fans_6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81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3 — Помесячное электропотребление вентиляторов</w:t>
      </w:r>
    </w:p>
    <w:p>
      <w:r>
        <w:drawing>
          <wp:inline xmlns:a="http://schemas.openxmlformats.org/drawingml/2006/main" xmlns:pic="http://schemas.openxmlformats.org/drawingml/2006/picture">
            <wp:extent cx="5842000" cy="2804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2_average_6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4 — Средняя концентрация CO₂ (ГОСТ 30494-2011: &lt; 800 ppm = «Отличное»)</w:t>
      </w:r>
    </w:p>
    <w:p>
      <w:r>
        <w:rPr>
          <w:rFonts w:ascii="Times New Roman" w:hAnsi="Times New Roman"/>
          <w:b/>
          <w:sz w:val="26"/>
        </w:rPr>
        <w:t>7. Выводы</w:t>
      </w:r>
    </w:p>
    <w:p>
      <w:r>
        <w:rPr>
          <w:rFonts w:ascii="Times New Roman" w:hAnsi="Times New Roman"/>
          <w:b w:val="0"/>
          <w:sz w:val="24"/>
        </w:rPr>
        <w:t>1. Для основной пары Base/DCV получено снижение общего электропотребления на 3 033 кВт·ч/год (6.5 %). Средняя концентрация CO₂ в DCV-сценарии составляет 774 ppm — категория «Отличное» по ГОСТ 30494-2011.</w:t>
      </w:r>
    </w:p>
    <w:p>
      <w:r>
        <w:rPr>
          <w:rFonts w:ascii="Times New Roman" w:hAnsi="Times New Roman"/>
          <w:b w:val="0"/>
          <w:sz w:val="24"/>
        </w:rPr>
        <w:t>2. Основной вклад в эффект DCV формируется снижением потребления вентиляторов: 3 026 кВт·ч/год (59.5 %).</w:t>
      </w:r>
    </w:p>
    <w:p>
      <w:r>
        <w:rPr>
          <w:rFonts w:ascii="Times New Roman" w:hAnsi="Times New Roman"/>
          <w:b w:val="0"/>
          <w:sz w:val="24"/>
        </w:rPr>
        <w:t>3. Для пары Base+HP/DCV+HP получен сопоставимый результат по электрической части: 3 038 кВт·ч/год (6.5 %).</w:t>
      </w:r>
    </w:p>
    <w:p>
      <w:r>
        <w:rPr>
          <w:rFonts w:ascii="Times New Roman" w:hAnsi="Times New Roman"/>
          <w:b w:val="0"/>
          <w:sz w:val="24"/>
        </w:rPr>
        <w:t>4. Высокоэффективный рекуператор (η=90 %) снижает тепловую нагрузку калорифера в базовом режиме на 1 617 кВт·ч/год (58.4 %) по сравнению со стандартным рекуператором. Эффект DCV дополнительно снижает общее электропотребление в паре DCV+Rec: 3 029 кВт·ч/год (6.5 %).</w:t>
      </w:r>
    </w:p>
    <w:p>
      <w:r>
        <w:rPr>
          <w:rFonts w:ascii="Times New Roman" w:hAnsi="Times New Roman"/>
          <w:b w:val="0"/>
          <w:sz w:val="24"/>
        </w:rPr>
        <w:t>5. Все шесть моделей успешно завершены в EnergyPlus. Применение уставки CO₂ = 700 ppm и минимальной доли приточного расхода 55 % обеспечивает категорию «Отличное» во всех DCV-сценариях, что делает сравнение корректным.</w:t>
      </w:r>
    </w:p>
    <w:p>
      <w:r>
        <w:rPr>
          <w:rFonts w:ascii="Times New Roman" w:hAnsi="Times New Roman"/>
          <w:b w:val="0"/>
          <w:sz w:val="20"/>
        </w:rPr>
        <w:t>Составлено: 05.03.2026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