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РАЗРАБОТКА МЕТОДОВ ПОВЫШЕНИЯ ЭНЕРГОЭФФЕКТИВНОСТИ</w:t>
        <w:br/>
        <w:t>СИСТЕМ ВЕНТИЛЯЦИИ КИНОЗАЛА</w:t>
        <w:br/>
        <w:t>С КОНТРОЛЕМ КОНЦЕНТРАЦИИ CO₂</w:t>
      </w:r>
    </w:p>
    <w:p>
      <w:pPr>
        <w:spacing w:before="240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Моделирование в OpenStudio / EnergyPlus</w:t>
      </w:r>
    </w:p>
    <w:p>
      <w:pPr>
        <w:ind w:firstLine="0"/>
      </w:pPr>
      <w:r>
        <w:br w:type="page"/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СОДЕРЖАНИЕ</w:t>
      </w:r>
    </w:p>
    <w:p>
      <w:pPr>
        <w:ind w:firstLine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cs="Times New Roman" w:eastAsia="Times New Roman"/>
          <w:color w:val="000000"/>
          <w:sz w:val="28"/>
        </w:rPr>
        <w:t>Обновите оглавление: ПКМ → Обновить поле → Обновить целиком</w:t>
      </w:r>
      <w:r>
        <w:fldChar w:fldCharType="end"/>
      </w:r>
    </w:p>
    <w:p>
      <w:pPr>
        <w:ind w:firstLine="0"/>
      </w:pP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 ЦЕЛЬ И ОБЪЕКТ МОДЕЛИРОВАНИЯ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Цель работы — оценка влияния алгоритма DCV (Demand Controlled Ventilation) на электропотребление системы вентиляции при сохранении контролируемого уровня CO₂ в зале. Объект — большой кинозал вместимостью 135 мест кинотеатра «Петербург-кино», расположенного в Санкт-Петербурге.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ХАРАКТЕРИСТИКИ ОБЪЕКТА И СИСТЕМЫ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Исходные параметры объекта и принятой вентиляционной системы сведены в таблицу 1.</w:t>
      </w:r>
    </w:p>
    <w:p>
      <w:pPr>
        <w:spacing w:line="420" w:lineRule="exact" w:before="120" w:after="60"/>
        <w:ind w:firstLine="0"/>
        <w:jc w:val="left"/>
      </w:pPr>
      <w:r>
        <w:rPr>
          <w:rFonts w:ascii="Times New Roman" w:hAnsi="Times New Roman" w:cs="Times New Roman" w:eastAsia="Times New Roman"/>
          <w:color w:val="000000"/>
          <w:sz w:val="28"/>
        </w:rPr>
        <w:t>Таблица 1 — Исходные параметры объекта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Параметр</w:t>
            </w:r>
          </w:p>
        </w:tc>
        <w:tc>
          <w:tcPr>
            <w:tcW w:type="dxa" w:w="3230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Значение</w:t>
            </w:r>
          </w:p>
        </w:tc>
        <w:tc>
          <w:tcPr>
            <w:tcW w:type="dxa" w:w="3230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Примечание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Тип установки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AIRNED-M6L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Приточно-вытяжная вентиляция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Обозначение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П1В1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Базовая система объекта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Приток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4 050 м³/ч (1,125 м³/с)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Номинальный режим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Вытяжка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4 050 м³/ч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Номинальный режим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Кратность воздухообмена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6,28 ч⁻¹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Для объёма 645 м³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Вентилятор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5 425 м³/ч, 500 Па, 1,97 кВт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Проектные характеристики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КПД вентилятора / двигателя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0,65 / 0,9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Из модели OSM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Сценарии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Base, DCV, Base+HP, DCV+HP, Base+Rec, DCV+Rec</w:t>
            </w:r>
          </w:p>
        </w:tc>
        <w:tc>
          <w:tcPr>
            <w:tcW w:type="dxa" w:w="3230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Расчёт выполнен для 6 моделей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 ПОСТРОЕНИЕ МОДЕЛИ И РАСЧЁТНЫЙ КОНТУР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Расчёт выполнен в OpenStudio 3.10 / EnergyPlus. Для каждого сценария автоматически сформирован workflow и выполнен годовой прогон на едином климатическом файле Saint-Petersburg.epw. Все шесть симуляций завершены без критических ошибок (0 Severe Errors).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 АНАЛИТИЧЕСКИЙ РАСЧЁТ ЭЛЕКТРОПОТРЕБЛЕНИЯ ВЕНТИЛЯТОРА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 Исходные данные вентилятора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Параметры приточного вентилятора извлечены из модели OpenStudio (файл kinozal_Base.osm):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— КПД вентилятора η_fan = 0.65;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— перепад давления ΔP = 500 Па;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— номинальный объёмный расход V = 1.125 м³/с;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— КПД двигателя η_motor = 0.9.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 Расчёт мощности и годового потребления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Электрическая мощность приточного вентилятора при номинальном расходе: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800"/>
        <w:gridCol w:w="1600"/>
      </w:tblGrid>
      <w:tr>
        <w:tc>
          <w:tcPr>
            <w:tcW w:type="dxa" w:w="4844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P = V · ΔP / η_fan</w:t>
            </w:r>
          </w:p>
        </w:tc>
        <w:tc>
          <w:tcPr>
            <w:tcW w:type="dxa" w:w="4844"/>
          </w:tcPr>
          <w:p>
            <w:pPr>
              <w:spacing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(4.1)</w:t>
            </w:r>
          </w:p>
        </w:tc>
      </w:tr>
    </w:tbl>
    <w:p>
      <w:pPr/>
      <w:r>
        <w:rPr>
          <w:rFonts w:ascii="Times New Roman" w:hAnsi="Times New Roman" w:cs="Times New Roman" w:eastAsia="Times New Roman"/>
          <w:color w:val="000000"/>
          <w:sz w:val="28"/>
        </w:rPr>
        <w:t>где V — объёмный расход воздуха, м³/с; ΔP — перепад давления вентилятора, Па; η_fan — КПД вентилятора.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P = 1.125 · 500 / 0.65 = 865.4 Вт = 0.865 кВт.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Годовое число часов работы вентиляционной системы: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800"/>
        <w:gridCol w:w="1600"/>
      </w:tblGrid>
      <w:tr>
        <w:tc>
          <w:tcPr>
            <w:tcW w:type="dxa" w:w="4844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t = t_сут · 365</w:t>
            </w:r>
          </w:p>
        </w:tc>
        <w:tc>
          <w:tcPr>
            <w:tcW w:type="dxa" w:w="4844"/>
          </w:tcPr>
          <w:p>
            <w:pPr>
              <w:spacing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(4.2)</w:t>
            </w:r>
          </w:p>
        </w:tc>
      </w:tr>
    </w:tbl>
    <w:p>
      <w:pPr/>
      <w:r>
        <w:rPr>
          <w:rFonts w:ascii="Times New Roman" w:hAnsi="Times New Roman" w:cs="Times New Roman" w:eastAsia="Times New Roman"/>
          <w:color w:val="000000"/>
          <w:sz w:val="28"/>
        </w:rPr>
        <w:t>где t_сут — суточная продолжительность работы вентиляции, ч.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t = 16 · 365 = 5840 ч/год.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Годовое электропотребление вентилятора: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800"/>
        <w:gridCol w:w="1600"/>
      </w:tblGrid>
      <w:tr>
        <w:tc>
          <w:tcPr>
            <w:tcW w:type="dxa" w:w="4844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E = P · t</w:t>
            </w:r>
          </w:p>
        </w:tc>
        <w:tc>
          <w:tcPr>
            <w:tcW w:type="dxa" w:w="4844"/>
          </w:tcPr>
          <w:p>
            <w:pPr>
              <w:spacing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(4.3)</w:t>
            </w:r>
          </w:p>
        </w:tc>
      </w:tr>
    </w:tbl>
    <w:p>
      <w:pPr/>
      <w:r>
        <w:rPr>
          <w:rFonts w:ascii="Times New Roman" w:hAnsi="Times New Roman" w:cs="Times New Roman" w:eastAsia="Times New Roman"/>
          <w:color w:val="000000"/>
          <w:sz w:val="28"/>
        </w:rPr>
        <w:t>где P — электрическая мощность вентилятора, кВт; t — годовое число часов работы, ч.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E = 0.865 · 5840 = 5053.8 кВт·ч/год.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 СЦЕНАРИИ РАСЧЁТА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Рассмотрены шесть сценариев: Base, DCV, Base+HP, DCV+HP, Base+Rec и DCV+Rec.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Все DCV-сценарии используют уставку CO₂ = 700 ppm и минимальную долю приточного расхода 55 % от номинала (2 228 м³/ч), что обеспечивает снижение электропотребления при контролируемом качестве воздуха. Пара Base+Rec / DCV+Rec моделирует замену стандартного рекуператора (η = 80 %) на высокоэффективный электрический роторный рекуператор (η = 90 %).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 СВОДНЫЕ РЕЗУЛЬТАТЫ</w:t>
      </w:r>
    </w:p>
    <w:p>
      <w:pPr>
        <w:spacing w:line="420" w:lineRule="exact" w:before="120" w:after="60"/>
        <w:ind w:firstLine="0"/>
        <w:jc w:val="left"/>
      </w:pPr>
      <w:r>
        <w:rPr>
          <w:rFonts w:ascii="Times New Roman" w:hAnsi="Times New Roman" w:cs="Times New Roman" w:eastAsia="Times New Roman"/>
          <w:color w:val="000000"/>
          <w:sz w:val="28"/>
        </w:rPr>
        <w:t>Таблица 2 — Результаты моделирования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Показатель</w:t>
            </w:r>
          </w:p>
        </w:tc>
        <w:tc>
          <w:tcPr>
            <w:tcW w:type="dxa" w:w="1384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Base</w:t>
            </w:r>
          </w:p>
        </w:tc>
        <w:tc>
          <w:tcPr>
            <w:tcW w:type="dxa" w:w="1384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DCV</w:t>
            </w:r>
          </w:p>
        </w:tc>
        <w:tc>
          <w:tcPr>
            <w:tcW w:type="dxa" w:w="1384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Base+HP</w:t>
            </w:r>
          </w:p>
        </w:tc>
        <w:tc>
          <w:tcPr>
            <w:tcW w:type="dxa" w:w="1384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DCV+HP</w:t>
            </w:r>
          </w:p>
        </w:tc>
        <w:tc>
          <w:tcPr>
            <w:tcW w:type="dxa" w:w="1384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Base+Rec</w:t>
            </w:r>
          </w:p>
        </w:tc>
        <w:tc>
          <w:tcPr>
            <w:tcW w:type="dxa" w:w="1384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DCV+Rec</w:t>
            </w:r>
          </w:p>
        </w:tc>
      </w:tr>
      <w:tr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Электроэнергия (всего), кВт·ч/год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46 608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43 592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46 619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43 597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46 603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43 589</w:t>
            </w:r>
          </w:p>
        </w:tc>
      </w:tr>
      <w:tr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Вентиляторы, кВт·ч/год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5 053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2 042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5 053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2 042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5 053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2 044</w:t>
            </w:r>
          </w:p>
        </w:tc>
      </w:tr>
      <w:tr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Калорифер (тепло), кВт·ч/год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2 771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713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2 630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708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1 154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335</w:t>
            </w:r>
          </w:p>
        </w:tc>
      </w:tr>
      <w:tr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Средний расход вентиляции, м³/ч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4 132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2 625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4 132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2 625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4 138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2 628</w:t>
            </w:r>
          </w:p>
        </w:tc>
      </w:tr>
      <w:tr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Средняя концентрация CO₂, ppm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696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850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696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850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695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848</w:t>
            </w:r>
          </w:p>
        </w:tc>
      </w:tr>
      <w:tr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Оценка качества воздуха (ГОСТ 30494)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Отличное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Допустимое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Отличное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Допустимое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Отличное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Допустимое</w:t>
            </w:r>
          </w:p>
        </w:tc>
      </w:tr>
      <w:tr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Часы присутствия (&gt;10 чел), ч/год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5 767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5 767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5 767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5 767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5 767</w:t>
            </w:r>
          </w:p>
        </w:tc>
        <w:tc>
          <w:tcPr>
            <w:tcW w:type="dxa" w:w="1384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5 767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7 ВАЛИДАЦИЯ БАЗОВОЙ МОДЕЛИ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Для проверки корректности базовой модели выполнено сопоставление аналитического расчёта электропотребления вентилятора (раздел 4) со значением, полученным EnergyPlus.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Относительное отклонение определяется по формуле: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800"/>
        <w:gridCol w:w="1600"/>
      </w:tblGrid>
      <w:tr>
        <w:tc>
          <w:tcPr>
            <w:tcW w:type="dxa" w:w="4844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Δ = |E_аналит − E_модель| / E_аналит · 100 %</w:t>
            </w:r>
          </w:p>
        </w:tc>
        <w:tc>
          <w:tcPr>
            <w:tcW w:type="dxa" w:w="4844"/>
          </w:tcPr>
          <w:p>
            <w:pPr>
              <w:spacing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(7.1)</w:t>
            </w:r>
          </w:p>
        </w:tc>
      </w:tr>
    </w:tbl>
    <w:p>
      <w:pPr/>
      <w:r>
        <w:rPr>
          <w:rFonts w:ascii="Times New Roman" w:hAnsi="Times New Roman" w:cs="Times New Roman" w:eastAsia="Times New Roman"/>
          <w:color w:val="000000"/>
          <w:sz w:val="28"/>
        </w:rPr>
        <w:t>где E_аналит — аналитический расчёт электропотребления вентилятора, кВт·ч/год; E_модель — значение из результатов моделирования EnergyPlus, кВт·ч/год.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E_аналит = 5053.8 кВт·ч/год (формула 4.3).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E_модель = 5053 кВт·ч/год (results.json, сценарий Base).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Δ = |5053.8 − 5053| / 5053.8 · 100 % = 0.02 %.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Вывод: Δ = 0.02 % &lt; 3 % — модель валидна как базовая (Base model). Расхождение обусловлено округлением и дискретизацией временных шагов в EnergyPlus.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8 СРАВНЕНИЕ И ВИЗУАЛИЗАЦИЯ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otal_electricity_6mod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20" w:lineRule="exact" w:before="60" w:after="120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1 — Суммарное электропотребление по шести сценариям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an_electricity_6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20" w:lineRule="exact" w:before="60" w:after="120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2 — Электропотребление вентиляторов по сценариям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onthly_fans_6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20" w:lineRule="exact" w:before="60" w:after="120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3 — Помесячное электропотребление вентиляторов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2_average_6mod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20" w:lineRule="exact" w:before="60" w:after="120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4 — Средняя концентрация CO₂ (ГОСТ 30494-2011)</w:t>
      </w:r>
    </w:p>
    <w:p>
      <w:pPr>
        <w:spacing w:line="420" w:lineRule="exact" w:before="120" w:after="60"/>
        <w:ind w:firstLine="0"/>
        <w:jc w:val="left"/>
      </w:pPr>
      <w:r>
        <w:rPr>
          <w:rFonts w:ascii="Times New Roman" w:hAnsi="Times New Roman" w:cs="Times New Roman" w:eastAsia="Times New Roman"/>
          <w:color w:val="000000"/>
          <w:sz w:val="28"/>
        </w:rPr>
        <w:t>Таблица 3 — Сопоставление DCV и базовых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Пара</w:t>
            </w:r>
          </w:p>
        </w:tc>
        <w:tc>
          <w:tcPr>
            <w:tcW w:type="dxa" w:w="1938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ΔЭлектро, кВт·ч/год</w:t>
            </w:r>
          </w:p>
        </w:tc>
        <w:tc>
          <w:tcPr>
            <w:tcW w:type="dxa" w:w="1938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ΔЭлектро, %</w:t>
            </w:r>
          </w:p>
        </w:tc>
        <w:tc>
          <w:tcPr>
            <w:tcW w:type="dxa" w:w="1938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ΔВентиляторы, кВт·ч/год</w:t>
            </w:r>
          </w:p>
        </w:tc>
        <w:tc>
          <w:tcPr>
            <w:tcW w:type="dxa" w:w="1938"/>
            <w:shd w:fill="D9E2F3" w:val="clear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ΔВентиляторы, %</w:t>
            </w:r>
          </w:p>
        </w:tc>
      </w:tr>
      <w:tr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DCV vs Base</w:t>
            </w:r>
          </w:p>
        </w:tc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3 017</w:t>
            </w:r>
          </w:p>
        </w:tc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6,5</w:t>
            </w:r>
          </w:p>
        </w:tc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3 011</w:t>
            </w:r>
          </w:p>
        </w:tc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59,6</w:t>
            </w:r>
          </w:p>
        </w:tc>
      </w:tr>
      <w:tr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DCV+HP vs Base+HP</w:t>
            </w:r>
          </w:p>
        </w:tc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3 022</w:t>
            </w:r>
          </w:p>
        </w:tc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6,5</w:t>
            </w:r>
          </w:p>
        </w:tc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3 011</w:t>
            </w:r>
          </w:p>
        </w:tc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59,6</w:t>
            </w:r>
          </w:p>
        </w:tc>
      </w:tr>
      <w:tr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DCV+Rec vs Base+Rec</w:t>
            </w:r>
          </w:p>
        </w:tc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3 014</w:t>
            </w:r>
          </w:p>
        </w:tc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6,5</w:t>
            </w:r>
          </w:p>
        </w:tc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3 008</w:t>
            </w:r>
          </w:p>
        </w:tc>
        <w:tc>
          <w:tcPr>
            <w:tcW w:type="dxa" w:w="1938"/>
          </w:tcPr>
          <w:p>
            <w:pPr>
              <w:spacing w:before="20" w:after="20"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59,5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9 ВЫВОДЫ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1. Для основной пары Base / DCV получено снижение общего электропотребления на 3 017 кВт·ч/год (6.5 %). Средняя концентрация CO₂ в DCV-сценарии составляет 850 ppm — категория «Допустимое» по ГОСТ 30494-2011.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2. Основной вклад в эффект DCV формируется снижением потребления вентиляторов: 3 011 кВт·ч/год (59.6 %).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3. Для пары Base+HP / DCV+HP получен сопоставимый результат по электрической части: 3 022 кВт·ч/год (6.5 %).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4. Высокоэффективный рекуператор (η = 90 %) снижает тепловую нагрузку калорифера в базовом режиме на 1 617 кВт·ч/год (58.4 %) по сравнению со стандартным рекуператором. Эффект DCV дополнительно снижает общее электропотребление в паре DCV+Rec: 3 014 кВт·ч/год (6.5 %).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5. Все шесть моделей успешно завершены в EnergyPlus (0 Severe Errors). Применение уставки CO₂ = 700 ppm и минимальной доли приточного расхода 55 % обеспечивает контролируемое качество воздуха во всех DCV-сценариях.</w:t>
      </w:r>
    </w:p>
    <w:p>
      <w:pPr/>
      <w:r>
        <w:rPr>
          <w:rFonts w:ascii="Times New Roman" w:hAnsi="Times New Roman" w:cs="Times New Roman" w:eastAsia="Times New Roman"/>
          <w:color w:val="000000"/>
          <w:sz w:val="28"/>
        </w:rPr>
        <w:t>6. Валидация базовой модели подтверждена: аналитический расчёт электропотребления вентилятора (5054 кВт·ч/год) совпадает с результатом EnergyPlus (5053 кВт·ч/год) с отклонением Δ = 0.02 % &lt; 3 %.</w:t>
      </w:r>
    </w:p>
    <w:sectPr w:rsidR="00FC693F" w:rsidRPr="0006063C" w:rsidSect="00034616">
      <w:footerReference w:type="default" r:id="rId13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exact" w:before="0" w:after="0"/>
      <w:ind w:firstLine="709"/>
      <w:jc w:val="both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0" w:line="420" w:lineRule="exact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0" w:line="420" w:lineRule="exact"/>
      <w:ind w:firstLine="709"/>
      <w:jc w:val="both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