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67A2DD">
      <w:pPr>
        <w:spacing w:line="360" w:lineRule="auto"/>
        <w:jc w:val="center"/>
      </w:pPr>
      <w:r>
        <w:rPr>
          <w:sz w:val="22"/>
          <w:szCs w:val="22"/>
        </w:rPr>
        <w:t>Министерство науки и высшего образования Российской Федерации</w:t>
      </w:r>
    </w:p>
    <w:p w14:paraId="14CE063A">
      <w:pPr>
        <w:spacing w:line="360" w:lineRule="auto"/>
        <w:jc w:val="center"/>
      </w:pPr>
      <w:r>
        <w:rPr>
          <w:b/>
          <w:bCs/>
          <w:sz w:val="22"/>
          <w:szCs w:val="22"/>
        </w:rPr>
        <w:t>ФЕДЕРАЛЬНОЕ ГОСУДАРСТВЕННОЕ АВТОНОМНОЕ ОБРАЗОВАТЕЛЬНОЕ</w:t>
      </w:r>
    </w:p>
    <w:p w14:paraId="7CFC1EC6">
      <w:pPr>
        <w:spacing w:line="360" w:lineRule="auto"/>
        <w:jc w:val="center"/>
      </w:pPr>
      <w:r>
        <w:rPr>
          <w:b/>
          <w:bCs/>
          <w:sz w:val="22"/>
          <w:szCs w:val="22"/>
        </w:rPr>
        <w:t>УЧРЕЖДЕНИЕ ВЫСШЕГО ОБРАЗОВАНИЯ</w:t>
      </w:r>
    </w:p>
    <w:p w14:paraId="33EB5CD0">
      <w:pPr>
        <w:spacing w:line="360" w:lineRule="auto"/>
        <w:jc w:val="center"/>
      </w:pPr>
      <w:r>
        <w:rPr>
          <w:b/>
          <w:bCs/>
          <w:sz w:val="26"/>
          <w:szCs w:val="26"/>
        </w:rPr>
        <w:t>НАЦИОНАЛЬНЫЙ ИССЛЕДОВАТЕЛЬСКИЙ УНИВЕРСИТЕТ ИТМО</w:t>
      </w:r>
    </w:p>
    <w:p w14:paraId="6E74F3DF">
      <w:pPr>
        <w:spacing w:line="360" w:lineRule="auto"/>
        <w:jc w:val="center"/>
      </w:pPr>
      <w:r>
        <w:rPr>
          <w:b/>
          <w:bCs/>
          <w:sz w:val="24"/>
          <w:szCs w:val="24"/>
        </w:rPr>
        <w:t>ITMO University</w:t>
      </w:r>
    </w:p>
    <w:p w14:paraId="6EE21C9A">
      <w:pPr>
        <w:spacing w:line="360" w:lineRule="auto"/>
      </w:pPr>
    </w:p>
    <w:p w14:paraId="4F3A95B0">
      <w:pPr>
        <w:spacing w:line="360" w:lineRule="auto"/>
      </w:pPr>
    </w:p>
    <w:p w14:paraId="2C06BD96">
      <w:pPr>
        <w:spacing w:line="360" w:lineRule="auto"/>
        <w:jc w:val="center"/>
      </w:pPr>
      <w:r>
        <w:rPr>
          <w:b/>
          <w:bCs/>
        </w:rPr>
        <w:t>ВЫПУСКНАЯ КВАЛИФИКАЦИОННАЯ РАБОТА</w:t>
      </w:r>
    </w:p>
    <w:p w14:paraId="459642D4">
      <w:pPr>
        <w:spacing w:line="360" w:lineRule="auto"/>
        <w:jc w:val="center"/>
      </w:pPr>
      <w:r>
        <w:rPr>
          <w:b/>
          <w:bCs/>
          <w:sz w:val="24"/>
          <w:szCs w:val="24"/>
        </w:rPr>
        <w:t>GRADUATION THESIS</w:t>
      </w:r>
    </w:p>
    <w:p w14:paraId="415E25B6">
      <w:pPr>
        <w:spacing w:line="360" w:lineRule="auto"/>
      </w:pPr>
    </w:p>
    <w:p w14:paraId="578358A6">
      <w:pPr>
        <w:spacing w:line="360" w:lineRule="auto"/>
        <w:jc w:val="center"/>
      </w:pPr>
      <w:r>
        <w:rPr>
          <w:b/>
          <w:bCs/>
          <w:sz w:val="26"/>
          <w:szCs w:val="26"/>
        </w:rPr>
        <w:t>Разработка бизнес-модели и стратегии коммерциализации программного обеспечения для оптимизированного создания видеомэппинга (на примере стартапа «Эксперимент 619»)</w:t>
      </w:r>
    </w:p>
    <w:p w14:paraId="615ADBD7">
      <w:pPr>
        <w:spacing w:line="360" w:lineRule="auto"/>
      </w:pPr>
    </w:p>
    <w:p w14:paraId="433ABABD">
      <w:pPr>
        <w:spacing w:line="360" w:lineRule="auto"/>
        <w:ind w:firstLine="709"/>
        <w:jc w:val="both"/>
      </w:pPr>
      <w:r>
        <w:rPr>
          <w:b/>
          <w:bCs/>
        </w:rPr>
        <w:t xml:space="preserve">Обучающийся / Student </w:t>
      </w:r>
      <w:r>
        <w:t>Шакиров Рамиль Зуфарович</w:t>
      </w:r>
    </w:p>
    <w:p w14:paraId="743E4E62">
      <w:pPr>
        <w:spacing w:line="360" w:lineRule="auto"/>
        <w:ind w:firstLine="709"/>
        <w:jc w:val="both"/>
      </w:pPr>
      <w:r>
        <w:rPr>
          <w:b/>
          <w:bCs/>
        </w:rPr>
        <w:t xml:space="preserve">Факультет / Faculty </w:t>
      </w:r>
      <w:r>
        <w:t>Факультет технологического менеджмента и инноваций</w:t>
      </w:r>
    </w:p>
    <w:p w14:paraId="76677F0B">
      <w:pPr>
        <w:spacing w:line="360" w:lineRule="auto"/>
        <w:ind w:firstLine="709"/>
        <w:jc w:val="both"/>
      </w:pPr>
      <w:r>
        <w:rPr>
          <w:b/>
          <w:bCs/>
        </w:rPr>
        <w:t xml:space="preserve">Группа / Group </w:t>
      </w:r>
      <w:r>
        <w:t>U4225</w:t>
      </w:r>
    </w:p>
    <w:p w14:paraId="3F1CFDD9">
      <w:pPr>
        <w:spacing w:line="360" w:lineRule="auto"/>
        <w:ind w:firstLine="709"/>
        <w:jc w:val="both"/>
      </w:pPr>
      <w:r>
        <w:rPr>
          <w:b/>
          <w:bCs/>
        </w:rPr>
        <w:t xml:space="preserve">Направление подготовки / Subject area </w:t>
      </w:r>
      <w:r>
        <w:t>27.04.05 Инноватика</w:t>
      </w:r>
    </w:p>
    <w:p w14:paraId="651C72CD">
      <w:pPr>
        <w:spacing w:line="360" w:lineRule="auto"/>
        <w:ind w:firstLine="709"/>
        <w:jc w:val="both"/>
      </w:pPr>
      <w:r>
        <w:rPr>
          <w:b/>
          <w:bCs/>
        </w:rPr>
        <w:t xml:space="preserve">Образовательная программа / Educational program </w:t>
      </w:r>
      <w:r>
        <w:t>Технологии бизнес-трансформации 2023</w:t>
      </w:r>
    </w:p>
    <w:p w14:paraId="23B9125C">
      <w:pPr>
        <w:spacing w:line="360" w:lineRule="auto"/>
        <w:ind w:firstLine="709"/>
        <w:jc w:val="both"/>
      </w:pPr>
      <w:r>
        <w:rPr>
          <w:b/>
          <w:bCs/>
        </w:rPr>
        <w:t xml:space="preserve">Язык реализации ОП / Language </w:t>
      </w:r>
      <w:r>
        <w:t>Русский</w:t>
      </w:r>
    </w:p>
    <w:p w14:paraId="0168879C">
      <w:pPr>
        <w:spacing w:line="360" w:lineRule="auto"/>
        <w:ind w:firstLine="709"/>
        <w:jc w:val="both"/>
      </w:pPr>
      <w:r>
        <w:rPr>
          <w:b/>
          <w:bCs/>
        </w:rPr>
        <w:t xml:space="preserve">Квалификация / Degree level </w:t>
      </w:r>
      <w:r>
        <w:t>Магистр</w:t>
      </w:r>
    </w:p>
    <w:p w14:paraId="4293F133">
      <w:pPr>
        <w:spacing w:line="360" w:lineRule="auto"/>
        <w:ind w:firstLine="709"/>
        <w:jc w:val="both"/>
      </w:pPr>
      <w:r>
        <w:rPr>
          <w:b/>
          <w:bCs/>
        </w:rPr>
        <w:t xml:space="preserve">Руководитель ВКР / Thesis supervisor </w:t>
      </w:r>
      <w:r>
        <w:t>Покидько Михаил Анатольевич, Университет ИТМО, факультет технологического менеджмента и инноваций, преподаватель (квалификационная категория «преподаватель практики»)</w:t>
      </w:r>
    </w:p>
    <w:p w14:paraId="46C445C7">
      <w:pPr>
        <w:spacing w:line="360" w:lineRule="auto"/>
      </w:pPr>
    </w:p>
    <w:p w14:paraId="1473F943">
      <w:pPr>
        <w:spacing w:line="360" w:lineRule="auto"/>
      </w:pPr>
    </w:p>
    <w:p w14:paraId="1015C986">
      <w:pPr>
        <w:spacing w:line="360" w:lineRule="auto"/>
        <w:jc w:val="center"/>
      </w:pPr>
      <w:r>
        <w:t>Санкт-Петербург, 2025</w:t>
      </w:r>
    </w:p>
    <w:p w14:paraId="5F10D295">
      <w:pPr>
        <w:spacing w:line="360" w:lineRule="auto"/>
      </w:pPr>
    </w:p>
    <w:p w14:paraId="4DD7A061">
      <w:pPr>
        <w:spacing w:line="360" w:lineRule="auto"/>
      </w:pPr>
    </w:p>
    <w:p w14:paraId="359CE255">
      <w:pPr>
        <w:pageBreakBefore/>
        <w:spacing w:before="0" w:after="0" w:line="360" w:lineRule="auto"/>
        <w:ind w:firstLine="708"/>
        <w:jc w:val="both"/>
        <w:rPr>
          <w:rFonts w:hint="default" w:ascii="Times New Roman Bold" w:hAnsi="Times New Roman Bold" w:cs="Times New Roman Bold"/>
          <w:b/>
          <w:bCs w:val="0"/>
          <w:sz w:val="26"/>
          <w:szCs w:val="26"/>
        </w:rPr>
      </w:pPr>
      <w:r>
        <w:rPr>
          <w:rFonts w:hint="default" w:ascii="Times New Roman Bold" w:hAnsi="Times New Roman Bold" w:eastAsia="Times New Roman" w:cs="Times New Roman Bold"/>
          <w:b/>
          <w:bCs w:val="0"/>
          <w:color w:val="000000"/>
          <w:sz w:val="26"/>
          <w:szCs w:val="26"/>
        </w:rPr>
        <w:t>ЗАДАНИЕ НА ВЫПУСКНУЮ КВАЛИФИКАЦИОННУЮ РАБОТУ</w:t>
      </w:r>
    </w:p>
    <w:p w14:paraId="46720F07">
      <w:pPr>
        <w:spacing w:before="0" w:after="0" w:line="360" w:lineRule="auto"/>
        <w:ind w:firstLine="708"/>
        <w:jc w:val="both"/>
      </w:pPr>
      <w:r>
        <w:rPr>
          <w:rFonts w:ascii="Times New Roman" w:hAnsi="Times New Roman" w:eastAsia="Times New Roman" w:cs="Times New Roman"/>
          <w:bCs/>
          <w:color w:val="000000"/>
          <w:sz w:val="28"/>
          <w:szCs w:val="28"/>
        </w:rPr>
        <w:t xml:space="preserve">Тема ВКР: </w:t>
      </w:r>
      <w:r>
        <w:rPr>
          <w:rFonts w:ascii="Times New Roman" w:hAnsi="Times New Roman" w:eastAsia="Times New Roman" w:cs="Times New Roman"/>
          <w:color w:val="000000"/>
          <w:sz w:val="28"/>
          <w:szCs w:val="28"/>
        </w:rPr>
        <w:t>Разработка бизнес-модели и стратегии коммерциализации программного обеспечения для оптимизированного создания видеомэппинга (на примере стартапа «Эксперимент 619»)</w:t>
      </w:r>
    </w:p>
    <w:p w14:paraId="20B759C2">
      <w:pPr>
        <w:spacing w:before="0" w:after="0" w:line="360" w:lineRule="auto"/>
        <w:ind w:firstLine="708"/>
        <w:jc w:val="both"/>
      </w:pPr>
      <w:r>
        <w:rPr>
          <w:rFonts w:ascii="Times New Roman" w:hAnsi="Times New Roman" w:eastAsia="Times New Roman" w:cs="Times New Roman"/>
          <w:bCs/>
          <w:color w:val="000000"/>
          <w:sz w:val="28"/>
          <w:szCs w:val="28"/>
        </w:rPr>
        <w:t>Основные вопросы, подлежащие разработке:</w:t>
      </w:r>
    </w:p>
    <w:p w14:paraId="34FB35A1">
      <w:pPr>
        <w:spacing w:before="0" w:after="0" w:line="360" w:lineRule="auto"/>
        <w:ind w:firstLine="708"/>
        <w:jc w:val="both"/>
      </w:pPr>
      <w:r>
        <w:rPr>
          <w:rFonts w:ascii="Times New Roman" w:hAnsi="Times New Roman" w:eastAsia="Times New Roman" w:cs="Times New Roman"/>
          <w:color w:val="000000"/>
          <w:sz w:val="28"/>
          <w:szCs w:val="28"/>
        </w:rPr>
        <w:t>1. Провести анализ продукта и пользовательских сценариев применения системы видеомэппинга «Experiment 619», определить ценностное предложение и ключевые преимущества.</w:t>
      </w:r>
    </w:p>
    <w:p w14:paraId="24452646">
      <w:pPr>
        <w:spacing w:before="0" w:after="0" w:line="360" w:lineRule="auto"/>
        <w:ind w:firstLine="708"/>
        <w:jc w:val="both"/>
      </w:pPr>
      <w:r>
        <w:rPr>
          <w:rFonts w:ascii="Times New Roman" w:hAnsi="Times New Roman" w:eastAsia="Times New Roman" w:cs="Times New Roman"/>
          <w:color w:val="000000"/>
          <w:sz w:val="28"/>
          <w:szCs w:val="28"/>
        </w:rPr>
        <w:t>2. Исследовать рынок видеомэппинга и event-tech, оценить объём, структуру, динамику, целевые сегменты потребителей.</w:t>
      </w:r>
    </w:p>
    <w:p w14:paraId="0BDA1B88">
      <w:pPr>
        <w:spacing w:before="0" w:after="0" w:line="360" w:lineRule="auto"/>
        <w:ind w:firstLine="708"/>
        <w:jc w:val="both"/>
      </w:pPr>
      <w:r>
        <w:rPr>
          <w:rFonts w:ascii="Times New Roman" w:hAnsi="Times New Roman" w:eastAsia="Times New Roman" w:cs="Times New Roman"/>
          <w:color w:val="000000"/>
          <w:sz w:val="28"/>
          <w:szCs w:val="28"/>
        </w:rPr>
        <w:t>3. Провести анализ конкурентной среды и обосновать выбор бизнес-модели и ценовой стратегии.</w:t>
      </w:r>
    </w:p>
    <w:p w14:paraId="495EEA8D">
      <w:pPr>
        <w:spacing w:before="0" w:after="0" w:line="360" w:lineRule="auto"/>
        <w:ind w:firstLine="708"/>
        <w:jc w:val="both"/>
      </w:pPr>
      <w:r>
        <w:rPr>
          <w:rFonts w:ascii="Times New Roman" w:hAnsi="Times New Roman" w:eastAsia="Times New Roman" w:cs="Times New Roman"/>
          <w:color w:val="000000"/>
          <w:sz w:val="28"/>
          <w:szCs w:val="28"/>
        </w:rPr>
        <w:t>4. Рассчитать экономику производства и unit-экономику продукта, включая себестоимость генерации 3D-контента.</w:t>
      </w:r>
    </w:p>
    <w:p w14:paraId="5958FB43">
      <w:pPr>
        <w:spacing w:before="0" w:after="0" w:line="360" w:lineRule="auto"/>
        <w:ind w:firstLine="708"/>
        <w:jc w:val="both"/>
      </w:pPr>
      <w:r>
        <w:rPr>
          <w:rFonts w:ascii="Times New Roman" w:hAnsi="Times New Roman" w:eastAsia="Times New Roman" w:cs="Times New Roman"/>
          <w:color w:val="000000"/>
          <w:sz w:val="28"/>
          <w:szCs w:val="28"/>
        </w:rPr>
        <w:t>5. Разработать финансовую модель проекта и определить потребность в инвестициях.</w:t>
      </w:r>
    </w:p>
    <w:p w14:paraId="77DE210F">
      <w:pPr>
        <w:spacing w:before="0" w:after="0" w:line="360" w:lineRule="auto"/>
        <w:ind w:firstLine="708"/>
        <w:jc w:val="both"/>
      </w:pPr>
      <w:r>
        <w:rPr>
          <w:rFonts w:ascii="Times New Roman" w:hAnsi="Times New Roman" w:eastAsia="Times New Roman" w:cs="Times New Roman"/>
          <w:color w:val="000000"/>
          <w:sz w:val="28"/>
          <w:szCs w:val="28"/>
        </w:rPr>
        <w:t>6. Оценить экономическую эффективность и риски проекта, включая расчёт NPV, IRR, срока окупаемости.</w:t>
      </w:r>
    </w:p>
    <w:p w14:paraId="1FA7280C">
      <w:pPr>
        <w:spacing w:before="0" w:after="0" w:line="360" w:lineRule="auto"/>
        <w:ind w:firstLine="708"/>
        <w:jc w:val="both"/>
      </w:pPr>
      <w:r>
        <w:rPr>
          <w:rFonts w:ascii="Times New Roman" w:hAnsi="Times New Roman" w:eastAsia="Times New Roman" w:cs="Times New Roman"/>
          <w:bCs/>
          <w:color w:val="000000"/>
          <w:sz w:val="28"/>
          <w:szCs w:val="28"/>
        </w:rPr>
        <w:t xml:space="preserve">Форма представления материалов ВКР: </w:t>
      </w:r>
      <w:r>
        <w:rPr>
          <w:rFonts w:ascii="Times New Roman" w:hAnsi="Times New Roman" w:eastAsia="Times New Roman" w:cs="Times New Roman"/>
          <w:color w:val="000000"/>
          <w:sz w:val="28"/>
          <w:szCs w:val="28"/>
        </w:rPr>
        <w:t>Текст ВКР, Инвестиционная презентация</w:t>
      </w:r>
    </w:p>
    <w:p w14:paraId="6AB827E7">
      <w:pPr>
        <w:spacing w:before="0" w:after="0" w:line="360" w:lineRule="auto"/>
        <w:ind w:firstLine="708"/>
        <w:jc w:val="both"/>
      </w:pPr>
      <w:r>
        <w:rPr>
          <w:rFonts w:ascii="Times New Roman" w:hAnsi="Times New Roman" w:eastAsia="Times New Roman" w:cs="Times New Roman"/>
          <w:bCs/>
          <w:color w:val="000000"/>
          <w:sz w:val="28"/>
          <w:szCs w:val="28"/>
        </w:rPr>
        <w:t xml:space="preserve">Дата выдачи задания: </w:t>
      </w:r>
      <w:r>
        <w:rPr>
          <w:rFonts w:ascii="Times New Roman" w:hAnsi="Times New Roman" w:eastAsia="Times New Roman" w:cs="Times New Roman"/>
          <w:color w:val="000000"/>
          <w:sz w:val="28"/>
          <w:szCs w:val="28"/>
        </w:rPr>
        <w:t>15.03.2025</w:t>
      </w:r>
    </w:p>
    <w:p w14:paraId="35DFB710">
      <w:pPr>
        <w:spacing w:before="0" w:after="0" w:line="360" w:lineRule="auto"/>
        <w:ind w:firstLine="708"/>
        <w:jc w:val="both"/>
      </w:pPr>
      <w:r>
        <w:rPr>
          <w:rFonts w:ascii="Times New Roman" w:hAnsi="Times New Roman" w:eastAsia="Times New Roman" w:cs="Times New Roman"/>
          <w:bCs/>
          <w:color w:val="000000"/>
          <w:sz w:val="28"/>
          <w:szCs w:val="28"/>
        </w:rPr>
        <w:t xml:space="preserve">Срок представления готовой ВКР: </w:t>
      </w:r>
      <w:r>
        <w:rPr>
          <w:rFonts w:ascii="Times New Roman" w:hAnsi="Times New Roman" w:eastAsia="Times New Roman" w:cs="Times New Roman"/>
          <w:color w:val="000000"/>
          <w:sz w:val="28"/>
          <w:szCs w:val="28"/>
        </w:rPr>
        <w:t>15.05.2025</w:t>
      </w:r>
    </w:p>
    <w:p w14:paraId="627EBB19">
      <w:pPr>
        <w:pageBreakBefore/>
        <w:spacing w:before="240" w:after="240" w:line="360" w:lineRule="auto"/>
        <w:jc w:val="center"/>
      </w:pPr>
      <w:r>
        <w:rPr>
          <w:rFonts w:ascii="Times New Roman" w:hAnsi="Times New Roman" w:eastAsia="Times New Roman" w:cs="Times New Roman"/>
          <w:b/>
          <w:bCs/>
          <w:color w:val="000000"/>
          <w:sz w:val="28"/>
          <w:szCs w:val="28"/>
        </w:rPr>
        <w:t>АННОТАЦИЯ ВЫПУСКНОЙ КВАЛИФИКАЦИОННОЙ РАБОТЫ</w:t>
      </w:r>
    </w:p>
    <w:p w14:paraId="32DCA991">
      <w:pPr>
        <w:spacing w:before="0" w:after="0" w:line="360" w:lineRule="auto"/>
        <w:ind w:firstLine="708"/>
        <w:jc w:val="both"/>
      </w:pPr>
      <w:r>
        <w:rPr>
          <w:rFonts w:ascii="Times New Roman" w:hAnsi="Times New Roman" w:eastAsia="Times New Roman" w:cs="Times New Roman"/>
          <w:bCs/>
          <w:color w:val="000000"/>
          <w:sz w:val="28"/>
          <w:szCs w:val="28"/>
        </w:rPr>
        <w:t xml:space="preserve">Цель исследования: </w:t>
      </w:r>
      <w:r>
        <w:rPr>
          <w:rFonts w:ascii="Times New Roman" w:hAnsi="Times New Roman" w:eastAsia="Times New Roman" w:cs="Times New Roman"/>
          <w:color w:val="000000"/>
          <w:sz w:val="28"/>
          <w:szCs w:val="28"/>
        </w:rPr>
        <w:t>Разработка бизнес-модели и стратегии коммерциализации программного обеспечения для оптимизированного создания видеомэппинга на примере стартапа «Эксперимент 619».</w:t>
      </w:r>
    </w:p>
    <w:p w14:paraId="5661E056">
      <w:pPr>
        <w:spacing w:before="0" w:after="0" w:line="360" w:lineRule="auto"/>
        <w:ind w:firstLine="708"/>
        <w:jc w:val="both"/>
      </w:pPr>
      <w:r>
        <w:rPr>
          <w:rFonts w:ascii="Times New Roman" w:hAnsi="Times New Roman" w:eastAsia="Times New Roman" w:cs="Times New Roman"/>
          <w:bCs/>
          <w:color w:val="000000"/>
          <w:sz w:val="28"/>
          <w:szCs w:val="28"/>
        </w:rPr>
        <w:t xml:space="preserve">Задачи: </w:t>
      </w:r>
      <w:r>
        <w:rPr>
          <w:rFonts w:ascii="Times New Roman" w:hAnsi="Times New Roman" w:eastAsia="Times New Roman" w:cs="Times New Roman"/>
          <w:color w:val="000000"/>
          <w:sz w:val="28"/>
          <w:szCs w:val="28"/>
        </w:rPr>
        <w:t>1. Анализ продукта и рынка видеомэппинга. 2. Анализ конкурентной среды. 3. Расчёт unit-экономики. 4. Разработка финансовой модели. 5. Оценка эффективности и рисков. 6. Разработка стратегии коммерциализации.</w:t>
      </w:r>
    </w:p>
    <w:p w14:paraId="03E83A15">
      <w:pPr>
        <w:spacing w:before="0" w:after="0" w:line="360" w:lineRule="auto"/>
        <w:ind w:firstLine="708"/>
        <w:jc w:val="both"/>
      </w:pPr>
      <w:r>
        <w:rPr>
          <w:rFonts w:ascii="Times New Roman" w:hAnsi="Times New Roman" w:eastAsia="Times New Roman" w:cs="Times New Roman"/>
          <w:bCs/>
          <w:color w:val="000000"/>
          <w:sz w:val="28"/>
          <w:szCs w:val="28"/>
        </w:rPr>
        <w:t xml:space="preserve">Краткая характеристика полученных результатов: </w:t>
      </w:r>
      <w:r>
        <w:rPr>
          <w:rFonts w:ascii="Times New Roman" w:hAnsi="Times New Roman" w:eastAsia="Times New Roman" w:cs="Times New Roman"/>
          <w:color w:val="000000"/>
          <w:sz w:val="28"/>
          <w:szCs w:val="28"/>
        </w:rPr>
        <w:t>Проведён комплексный анализ глобального и российского рынка видеомэппинга. Разработана BPMN-модель реинжиниринга процесса создания видеомэппинга. Рассчитана unit-экономика продукта с LTV/CAC = 14,4. Разработана финансовая модель с NPV = 18,7 млн руб. и IRR = 87%. Предложена стратегия выхода на рынок с точкой безубыточности при 210 платных подписках.</w:t>
      </w:r>
    </w:p>
    <w:p w14:paraId="10E16915">
      <w:pPr>
        <w:pageBreakBefore/>
        <w:spacing w:before="240" w:after="240" w:line="360" w:lineRule="auto"/>
        <w:jc w:val="center"/>
      </w:pPr>
      <w:r>
        <w:rPr>
          <w:rFonts w:ascii="Times New Roman" w:hAnsi="Times New Roman"/>
          <w:b/>
          <w:sz w:val="28"/>
        </w:rPr>
        <w:t>СОДЕРЖАНИЕ</w:t>
      </w:r>
    </w:p>
    <w:p w14:paraId="18EF17C3">
      <w:pPr>
        <w:pStyle w:val="16"/>
        <w:keepNext w:val="0"/>
        <w:keepLines w:val="0"/>
        <w:pageBreakBefore w:val="0"/>
        <w:widowControl/>
        <w:tabs>
          <w:tab w:val="right" w:leader="dot" w:pos="9355"/>
        </w:tabs>
        <w:kinsoku/>
        <w:wordWrap/>
        <w:overflowPunct/>
        <w:topLinePunct w:val="0"/>
        <w:autoSpaceDE/>
        <w:autoSpaceDN/>
        <w:bidi w:val="0"/>
        <w:adjustRightInd/>
        <w:snapToGrid/>
        <w:spacing w:line="360" w:lineRule="auto"/>
        <w:textAlignment w:val="auto"/>
      </w:pPr>
      <w:r>
        <w:fldChar w:fldCharType="begin"/>
      </w:r>
      <w:r>
        <w:instrText xml:space="preserve"> TOC \o "1-3" \h \z \u </w:instrText>
      </w:r>
      <w:r>
        <w:fldChar w:fldCharType="separate"/>
      </w:r>
      <w:r>
        <w:fldChar w:fldCharType="begin"/>
      </w:r>
      <w:r>
        <w:instrText xml:space="preserve"> HYPERLINK \l _Toc1870092319 </w:instrText>
      </w:r>
      <w:r>
        <w:fldChar w:fldCharType="separate"/>
      </w:r>
      <w:r>
        <w:rPr>
          <w:rFonts w:ascii="Times New Roman" w:hAnsi="Times New Roman" w:eastAsia="Times New Roman" w:cs="Times New Roman"/>
          <w:szCs w:val="28"/>
        </w:rPr>
        <w:t>ВВЕ</w:t>
      </w:r>
      <w:bookmarkStart w:id="24" w:name="_GoBack"/>
      <w:bookmarkEnd w:id="24"/>
      <w:r>
        <w:rPr>
          <w:rFonts w:ascii="Times New Roman" w:hAnsi="Times New Roman" w:eastAsia="Times New Roman" w:cs="Times New Roman"/>
          <w:szCs w:val="28"/>
        </w:rPr>
        <w:t>ДЕНИЕ</w:t>
      </w:r>
      <w:r>
        <w:tab/>
      </w:r>
      <w:r>
        <w:fldChar w:fldCharType="begin"/>
      </w:r>
      <w:r>
        <w:instrText xml:space="preserve"> PAGEREF _Toc1870092319 \h </w:instrText>
      </w:r>
      <w:r>
        <w:fldChar w:fldCharType="separate"/>
      </w:r>
      <w:r>
        <w:t>6</w:t>
      </w:r>
      <w:r>
        <w:fldChar w:fldCharType="end"/>
      </w:r>
      <w:r>
        <w:fldChar w:fldCharType="end"/>
      </w:r>
    </w:p>
    <w:p w14:paraId="0123E2A0">
      <w:pPr>
        <w:pStyle w:val="16"/>
        <w:tabs>
          <w:tab w:val="right" w:leader="dot" w:pos="9355"/>
        </w:tabs>
      </w:pPr>
      <w:r>
        <w:fldChar w:fldCharType="begin"/>
      </w:r>
      <w:r>
        <w:instrText xml:space="preserve"> HYPERLINK \l _Toc70947941 </w:instrText>
      </w:r>
      <w:r>
        <w:fldChar w:fldCharType="separate"/>
      </w:r>
      <w:r>
        <w:rPr>
          <w:rFonts w:ascii="Times New Roman" w:hAnsi="Times New Roman" w:eastAsia="Times New Roman" w:cs="Times New Roman"/>
          <w:szCs w:val="28"/>
        </w:rPr>
        <w:t>1 АНАЛИЗ РЫНКА, ПРОБЛЕМАТИКИ И БИЗНЕС-МОДЕЛИ</w:t>
      </w:r>
      <w:r>
        <w:tab/>
      </w:r>
      <w:r>
        <w:fldChar w:fldCharType="begin"/>
      </w:r>
      <w:r>
        <w:instrText xml:space="preserve"> PAGEREF _Toc70947941 \h </w:instrText>
      </w:r>
      <w:r>
        <w:fldChar w:fldCharType="separate"/>
      </w:r>
      <w:r>
        <w:t>12</w:t>
      </w:r>
      <w:r>
        <w:fldChar w:fldCharType="end"/>
      </w:r>
      <w:r>
        <w:fldChar w:fldCharType="end"/>
      </w:r>
    </w:p>
    <w:p w14:paraId="43397705">
      <w:pPr>
        <w:pStyle w:val="17"/>
        <w:tabs>
          <w:tab w:val="right" w:leader="dot" w:pos="9355"/>
        </w:tabs>
      </w:pPr>
      <w:r>
        <w:fldChar w:fldCharType="begin"/>
      </w:r>
      <w:r>
        <w:instrText xml:space="preserve"> HYPERLINK \l _Toc568620302 </w:instrText>
      </w:r>
      <w:r>
        <w:fldChar w:fldCharType="separate"/>
      </w:r>
      <w:r>
        <w:rPr>
          <w:rFonts w:ascii="Times New Roman" w:hAnsi="Times New Roman" w:eastAsia="Times New Roman" w:cs="Times New Roman"/>
          <w:szCs w:val="28"/>
        </w:rPr>
        <w:t>1.1 Анализ рынка видеомэппинга и креативных технологий в РФ</w:t>
      </w:r>
      <w:r>
        <w:tab/>
      </w:r>
      <w:r>
        <w:fldChar w:fldCharType="begin"/>
      </w:r>
      <w:r>
        <w:instrText xml:space="preserve"> PAGEREF _Toc568620302 \h </w:instrText>
      </w:r>
      <w:r>
        <w:fldChar w:fldCharType="separate"/>
      </w:r>
      <w:r>
        <w:t>12</w:t>
      </w:r>
      <w:r>
        <w:fldChar w:fldCharType="end"/>
      </w:r>
      <w:r>
        <w:fldChar w:fldCharType="end"/>
      </w:r>
    </w:p>
    <w:p w14:paraId="2E942623">
      <w:pPr>
        <w:pStyle w:val="17"/>
        <w:tabs>
          <w:tab w:val="right" w:leader="dot" w:pos="9355"/>
        </w:tabs>
      </w:pPr>
      <w:r>
        <w:fldChar w:fldCharType="begin"/>
      </w:r>
      <w:r>
        <w:instrText xml:space="preserve"> HYPERLINK \l _Toc499186564 </w:instrText>
      </w:r>
      <w:r>
        <w:fldChar w:fldCharType="separate"/>
      </w:r>
      <w:r>
        <w:rPr>
          <w:rFonts w:ascii="Times New Roman" w:hAnsi="Times New Roman" w:eastAsia="Times New Roman" w:cs="Times New Roman"/>
          <w:szCs w:val="28"/>
        </w:rPr>
        <w:t>1.2 Обзор существующих программных решений и их ограничений</w:t>
      </w:r>
      <w:r>
        <w:tab/>
      </w:r>
      <w:r>
        <w:fldChar w:fldCharType="begin"/>
      </w:r>
      <w:r>
        <w:instrText xml:space="preserve"> PAGEREF _Toc499186564 \h </w:instrText>
      </w:r>
      <w:r>
        <w:fldChar w:fldCharType="separate"/>
      </w:r>
      <w:r>
        <w:t>13</w:t>
      </w:r>
      <w:r>
        <w:fldChar w:fldCharType="end"/>
      </w:r>
      <w:r>
        <w:fldChar w:fldCharType="end"/>
      </w:r>
    </w:p>
    <w:p w14:paraId="0687367E">
      <w:pPr>
        <w:pStyle w:val="17"/>
        <w:tabs>
          <w:tab w:val="right" w:leader="dot" w:pos="9355"/>
        </w:tabs>
      </w:pPr>
      <w:r>
        <w:fldChar w:fldCharType="begin"/>
      </w:r>
      <w:r>
        <w:instrText xml:space="preserve"> HYPERLINK \l _Toc1757455966 </w:instrText>
      </w:r>
      <w:r>
        <w:fldChar w:fldCharType="separate"/>
      </w:r>
      <w:r>
        <w:rPr>
          <w:rFonts w:ascii="Times New Roman" w:hAnsi="Times New Roman" w:eastAsia="Times New Roman" w:cs="Times New Roman"/>
          <w:szCs w:val="28"/>
        </w:rPr>
        <w:t>1.3 Проблематика процесса создания видеомэппинга</w:t>
      </w:r>
      <w:r>
        <w:tab/>
      </w:r>
      <w:r>
        <w:fldChar w:fldCharType="begin"/>
      </w:r>
      <w:r>
        <w:instrText xml:space="preserve"> PAGEREF _Toc1757455966 \h </w:instrText>
      </w:r>
      <w:r>
        <w:fldChar w:fldCharType="separate"/>
      </w:r>
      <w:r>
        <w:t>15</w:t>
      </w:r>
      <w:r>
        <w:fldChar w:fldCharType="end"/>
      </w:r>
      <w:r>
        <w:fldChar w:fldCharType="end"/>
      </w:r>
    </w:p>
    <w:p w14:paraId="06F7F6BF">
      <w:pPr>
        <w:pStyle w:val="17"/>
        <w:tabs>
          <w:tab w:val="right" w:leader="dot" w:pos="9355"/>
        </w:tabs>
      </w:pPr>
      <w:r>
        <w:fldChar w:fldCharType="begin"/>
      </w:r>
      <w:r>
        <w:instrText xml:space="preserve"> HYPERLINK \l _Toc1072339724 </w:instrText>
      </w:r>
      <w:r>
        <w:fldChar w:fldCharType="separate"/>
      </w:r>
      <w:r>
        <w:rPr>
          <w:rFonts w:ascii="Times New Roman" w:hAnsi="Times New Roman" w:eastAsia="Times New Roman" w:cs="Times New Roman"/>
          <w:szCs w:val="28"/>
        </w:rPr>
        <w:t>1.4 Исследование целевой аудитории и продуктовых гипотез</w:t>
      </w:r>
      <w:r>
        <w:tab/>
      </w:r>
      <w:r>
        <w:fldChar w:fldCharType="begin"/>
      </w:r>
      <w:r>
        <w:instrText xml:space="preserve"> PAGEREF _Toc1072339724 \h </w:instrText>
      </w:r>
      <w:r>
        <w:fldChar w:fldCharType="separate"/>
      </w:r>
      <w:r>
        <w:t>19</w:t>
      </w:r>
      <w:r>
        <w:fldChar w:fldCharType="end"/>
      </w:r>
      <w:r>
        <w:fldChar w:fldCharType="end"/>
      </w:r>
    </w:p>
    <w:p w14:paraId="33C4E67B">
      <w:pPr>
        <w:pStyle w:val="17"/>
        <w:tabs>
          <w:tab w:val="right" w:leader="dot" w:pos="9355"/>
        </w:tabs>
      </w:pPr>
      <w:r>
        <w:fldChar w:fldCharType="begin"/>
      </w:r>
      <w:r>
        <w:instrText xml:space="preserve"> HYPERLINK \l _Toc1130975644 </w:instrText>
      </w:r>
      <w:r>
        <w:fldChar w:fldCharType="separate"/>
      </w:r>
      <w:r>
        <w:rPr>
          <w:rFonts w:ascii="Times New Roman" w:hAnsi="Times New Roman" w:eastAsia="Times New Roman" w:cs="Times New Roman"/>
          <w:szCs w:val="28"/>
        </w:rPr>
        <w:t>1.5 Бизнес-модель и требования к коммерциализации</w:t>
      </w:r>
      <w:r>
        <w:tab/>
      </w:r>
      <w:r>
        <w:fldChar w:fldCharType="begin"/>
      </w:r>
      <w:r>
        <w:instrText xml:space="preserve"> PAGEREF _Toc1130975644 \h </w:instrText>
      </w:r>
      <w:r>
        <w:fldChar w:fldCharType="separate"/>
      </w:r>
      <w:r>
        <w:t>20</w:t>
      </w:r>
      <w:r>
        <w:fldChar w:fldCharType="end"/>
      </w:r>
      <w:r>
        <w:fldChar w:fldCharType="end"/>
      </w:r>
    </w:p>
    <w:p w14:paraId="0ACACE36">
      <w:pPr>
        <w:pStyle w:val="17"/>
        <w:tabs>
          <w:tab w:val="right" w:leader="dot" w:pos="9355"/>
        </w:tabs>
      </w:pPr>
      <w:r>
        <w:fldChar w:fldCharType="begin"/>
      </w:r>
      <w:r>
        <w:instrText xml:space="preserve"> HYPERLINK \l _Toc929889111 </w:instrText>
      </w:r>
      <w:r>
        <w:fldChar w:fldCharType="separate"/>
      </w:r>
      <w:r>
        <w:rPr>
          <w:rFonts w:ascii="Times New Roman" w:hAnsi="Times New Roman" w:eastAsia="Times New Roman" w:cs="Times New Roman"/>
          <w:szCs w:val="28"/>
        </w:rPr>
        <w:t>1.6 Выводы по главе 1</w:t>
      </w:r>
      <w:r>
        <w:tab/>
      </w:r>
      <w:r>
        <w:fldChar w:fldCharType="begin"/>
      </w:r>
      <w:r>
        <w:instrText xml:space="preserve"> PAGEREF _Toc929889111 \h </w:instrText>
      </w:r>
      <w:r>
        <w:fldChar w:fldCharType="separate"/>
      </w:r>
      <w:r>
        <w:t>24</w:t>
      </w:r>
      <w:r>
        <w:fldChar w:fldCharType="end"/>
      </w:r>
      <w:r>
        <w:fldChar w:fldCharType="end"/>
      </w:r>
    </w:p>
    <w:p w14:paraId="7BED6774">
      <w:pPr>
        <w:pStyle w:val="16"/>
        <w:tabs>
          <w:tab w:val="right" w:leader="dot" w:pos="9355"/>
        </w:tabs>
      </w:pPr>
      <w:r>
        <w:fldChar w:fldCharType="begin"/>
      </w:r>
      <w:r>
        <w:instrText xml:space="preserve"> HYPERLINK \l _Toc1407789358 </w:instrText>
      </w:r>
      <w:r>
        <w:fldChar w:fldCharType="separate"/>
      </w:r>
      <w:r>
        <w:rPr>
          <w:rFonts w:ascii="Times New Roman" w:hAnsi="Times New Roman" w:eastAsia="Times New Roman" w:cs="Times New Roman"/>
          <w:szCs w:val="28"/>
        </w:rPr>
        <w:t>2 ЭКОНОМИКА ПРОИЗВОДСТВА И ФИНАНСОВАЯ МОДЕЛЬ</w:t>
      </w:r>
      <w:r>
        <w:tab/>
      </w:r>
      <w:r>
        <w:fldChar w:fldCharType="begin"/>
      </w:r>
      <w:r>
        <w:instrText xml:space="preserve"> PAGEREF _Toc1407789358 \h </w:instrText>
      </w:r>
      <w:r>
        <w:fldChar w:fldCharType="separate"/>
      </w:r>
      <w:r>
        <w:t>26</w:t>
      </w:r>
      <w:r>
        <w:fldChar w:fldCharType="end"/>
      </w:r>
      <w:r>
        <w:fldChar w:fldCharType="end"/>
      </w:r>
    </w:p>
    <w:p w14:paraId="4D94DBC0">
      <w:pPr>
        <w:pStyle w:val="17"/>
        <w:tabs>
          <w:tab w:val="right" w:leader="dot" w:pos="9355"/>
        </w:tabs>
      </w:pPr>
      <w:r>
        <w:fldChar w:fldCharType="begin"/>
      </w:r>
      <w:r>
        <w:instrText xml:space="preserve"> HYPERLINK \l _Toc1888400907 </w:instrText>
      </w:r>
      <w:r>
        <w:fldChar w:fldCharType="separate"/>
      </w:r>
      <w:r>
        <w:rPr>
          <w:rFonts w:ascii="Times New Roman" w:hAnsi="Times New Roman" w:eastAsia="Times New Roman" w:cs="Times New Roman"/>
          <w:szCs w:val="28"/>
        </w:rPr>
        <w:t>2.1 Экономика производства и unit-экономика продукта</w:t>
      </w:r>
      <w:r>
        <w:tab/>
      </w:r>
      <w:r>
        <w:fldChar w:fldCharType="begin"/>
      </w:r>
      <w:r>
        <w:instrText xml:space="preserve"> PAGEREF _Toc1888400907 \h </w:instrText>
      </w:r>
      <w:r>
        <w:fldChar w:fldCharType="separate"/>
      </w:r>
      <w:r>
        <w:t>26</w:t>
      </w:r>
      <w:r>
        <w:fldChar w:fldCharType="end"/>
      </w:r>
      <w:r>
        <w:fldChar w:fldCharType="end"/>
      </w:r>
    </w:p>
    <w:p w14:paraId="45927017">
      <w:pPr>
        <w:pStyle w:val="17"/>
        <w:tabs>
          <w:tab w:val="right" w:leader="dot" w:pos="9355"/>
        </w:tabs>
      </w:pPr>
      <w:r>
        <w:fldChar w:fldCharType="begin"/>
      </w:r>
      <w:r>
        <w:instrText xml:space="preserve"> HYPERLINK \l _Toc693224936 </w:instrText>
      </w:r>
      <w:r>
        <w:fldChar w:fldCharType="separate"/>
      </w:r>
      <w:r>
        <w:rPr>
          <w:rFonts w:ascii="Times New Roman" w:hAnsi="Times New Roman" w:eastAsia="Times New Roman" w:cs="Times New Roman"/>
          <w:szCs w:val="28"/>
        </w:rPr>
        <w:t>2.2 Производственная модель и масштабирование</w:t>
      </w:r>
      <w:r>
        <w:tab/>
      </w:r>
      <w:r>
        <w:fldChar w:fldCharType="begin"/>
      </w:r>
      <w:r>
        <w:instrText xml:space="preserve"> PAGEREF _Toc693224936 \h </w:instrText>
      </w:r>
      <w:r>
        <w:fldChar w:fldCharType="separate"/>
      </w:r>
      <w:r>
        <w:t>29</w:t>
      </w:r>
      <w:r>
        <w:fldChar w:fldCharType="end"/>
      </w:r>
      <w:r>
        <w:fldChar w:fldCharType="end"/>
      </w:r>
    </w:p>
    <w:p w14:paraId="17B38E8D">
      <w:pPr>
        <w:pStyle w:val="17"/>
        <w:tabs>
          <w:tab w:val="right" w:leader="dot" w:pos="9355"/>
        </w:tabs>
      </w:pPr>
      <w:r>
        <w:fldChar w:fldCharType="begin"/>
      </w:r>
      <w:r>
        <w:instrText xml:space="preserve"> HYPERLINK \l _Toc932714377 </w:instrText>
      </w:r>
      <w:r>
        <w:fldChar w:fldCharType="separate"/>
      </w:r>
      <w:r>
        <w:rPr>
          <w:rFonts w:ascii="Times New Roman" w:hAnsi="Times New Roman" w:eastAsia="Times New Roman" w:cs="Times New Roman"/>
          <w:szCs w:val="28"/>
        </w:rPr>
        <w:t>2.3 Финансовая модель и стратегия финансирования</w:t>
      </w:r>
      <w:r>
        <w:tab/>
      </w:r>
      <w:r>
        <w:fldChar w:fldCharType="begin"/>
      </w:r>
      <w:r>
        <w:instrText xml:space="preserve"> PAGEREF _Toc932714377 \h </w:instrText>
      </w:r>
      <w:r>
        <w:fldChar w:fldCharType="separate"/>
      </w:r>
      <w:r>
        <w:t>32</w:t>
      </w:r>
      <w:r>
        <w:fldChar w:fldCharType="end"/>
      </w:r>
      <w:r>
        <w:fldChar w:fldCharType="end"/>
      </w:r>
    </w:p>
    <w:p w14:paraId="4543E10C">
      <w:pPr>
        <w:pStyle w:val="17"/>
        <w:tabs>
          <w:tab w:val="right" w:leader="dot" w:pos="9355"/>
        </w:tabs>
      </w:pPr>
      <w:r>
        <w:fldChar w:fldCharType="begin"/>
      </w:r>
      <w:r>
        <w:instrText xml:space="preserve"> HYPERLINK \l _Toc1647394786 </w:instrText>
      </w:r>
      <w:r>
        <w:fldChar w:fldCharType="separate"/>
      </w:r>
      <w:r>
        <w:rPr>
          <w:rFonts w:ascii="Times New Roman" w:hAnsi="Times New Roman" w:eastAsia="Times New Roman" w:cs="Times New Roman"/>
          <w:szCs w:val="28"/>
        </w:rPr>
        <w:t>Выводы по главе 2</w:t>
      </w:r>
      <w:r>
        <w:tab/>
      </w:r>
      <w:r>
        <w:fldChar w:fldCharType="begin"/>
      </w:r>
      <w:r>
        <w:instrText xml:space="preserve"> PAGEREF _Toc1647394786 \h </w:instrText>
      </w:r>
      <w:r>
        <w:fldChar w:fldCharType="separate"/>
      </w:r>
      <w:r>
        <w:t>38</w:t>
      </w:r>
      <w:r>
        <w:fldChar w:fldCharType="end"/>
      </w:r>
      <w:r>
        <w:fldChar w:fldCharType="end"/>
      </w:r>
    </w:p>
    <w:p w14:paraId="727A3209">
      <w:pPr>
        <w:pStyle w:val="16"/>
        <w:tabs>
          <w:tab w:val="right" w:leader="dot" w:pos="9355"/>
        </w:tabs>
      </w:pPr>
      <w:r>
        <w:fldChar w:fldCharType="begin"/>
      </w:r>
      <w:r>
        <w:instrText xml:space="preserve"> HYPERLINK \l _Toc257507531 </w:instrText>
      </w:r>
      <w:r>
        <w:fldChar w:fldCharType="separate"/>
      </w:r>
      <w:r>
        <w:rPr>
          <w:rFonts w:ascii="Times New Roman" w:hAnsi="Times New Roman" w:eastAsia="Times New Roman" w:cs="Times New Roman"/>
          <w:szCs w:val="28"/>
        </w:rPr>
        <w:t>3 ОЦЕНКА ЭФФЕКТИВНОСТИ И СТРАТЕГИЯ КОММЕРЦИАЛИЗАЦИИ</w:t>
      </w:r>
      <w:r>
        <w:tab/>
      </w:r>
      <w:r>
        <w:fldChar w:fldCharType="begin"/>
      </w:r>
      <w:r>
        <w:instrText xml:space="preserve"> PAGEREF _Toc257507531 \h </w:instrText>
      </w:r>
      <w:r>
        <w:fldChar w:fldCharType="separate"/>
      </w:r>
      <w:r>
        <w:t>39</w:t>
      </w:r>
      <w:r>
        <w:fldChar w:fldCharType="end"/>
      </w:r>
      <w:r>
        <w:fldChar w:fldCharType="end"/>
      </w:r>
    </w:p>
    <w:p w14:paraId="62E49846">
      <w:pPr>
        <w:pStyle w:val="17"/>
        <w:tabs>
          <w:tab w:val="right" w:leader="dot" w:pos="9355"/>
        </w:tabs>
      </w:pPr>
      <w:r>
        <w:fldChar w:fldCharType="begin"/>
      </w:r>
      <w:r>
        <w:instrText xml:space="preserve"> HYPERLINK \l _Toc749524812 </w:instrText>
      </w:r>
      <w:r>
        <w:fldChar w:fldCharType="separate"/>
      </w:r>
      <w:r>
        <w:rPr>
          <w:rFonts w:ascii="Times New Roman" w:hAnsi="Times New Roman" w:eastAsia="Times New Roman" w:cs="Times New Roman"/>
          <w:szCs w:val="28"/>
        </w:rPr>
        <w:t>3.1 Оценка экономической эффективности проекта</w:t>
      </w:r>
      <w:r>
        <w:tab/>
      </w:r>
      <w:r>
        <w:fldChar w:fldCharType="begin"/>
      </w:r>
      <w:r>
        <w:instrText xml:space="preserve"> PAGEREF _Toc749524812 \h </w:instrText>
      </w:r>
      <w:r>
        <w:fldChar w:fldCharType="separate"/>
      </w:r>
      <w:r>
        <w:t>39</w:t>
      </w:r>
      <w:r>
        <w:fldChar w:fldCharType="end"/>
      </w:r>
      <w:r>
        <w:fldChar w:fldCharType="end"/>
      </w:r>
    </w:p>
    <w:p w14:paraId="1A63B000">
      <w:pPr>
        <w:pStyle w:val="17"/>
        <w:tabs>
          <w:tab w:val="right" w:leader="dot" w:pos="9355"/>
        </w:tabs>
      </w:pPr>
      <w:r>
        <w:fldChar w:fldCharType="begin"/>
      </w:r>
      <w:r>
        <w:instrText xml:space="preserve"> HYPERLINK \l _Toc124441982 </w:instrText>
      </w:r>
      <w:r>
        <w:fldChar w:fldCharType="separate"/>
      </w:r>
      <w:r>
        <w:rPr>
          <w:rFonts w:ascii="Times New Roman" w:hAnsi="Times New Roman" w:eastAsia="Times New Roman" w:cs="Times New Roman"/>
          <w:szCs w:val="28"/>
        </w:rPr>
        <w:t>3.2 Стратегия выхода на рынок и масштабирования</w:t>
      </w:r>
      <w:r>
        <w:tab/>
      </w:r>
      <w:r>
        <w:fldChar w:fldCharType="begin"/>
      </w:r>
      <w:r>
        <w:instrText xml:space="preserve"> PAGEREF _Toc124441982 \h </w:instrText>
      </w:r>
      <w:r>
        <w:fldChar w:fldCharType="separate"/>
      </w:r>
      <w:r>
        <w:t>41</w:t>
      </w:r>
      <w:r>
        <w:fldChar w:fldCharType="end"/>
      </w:r>
      <w:r>
        <w:fldChar w:fldCharType="end"/>
      </w:r>
    </w:p>
    <w:p w14:paraId="77376432">
      <w:pPr>
        <w:pStyle w:val="17"/>
        <w:tabs>
          <w:tab w:val="right" w:leader="dot" w:pos="9355"/>
        </w:tabs>
      </w:pPr>
      <w:r>
        <w:fldChar w:fldCharType="begin"/>
      </w:r>
      <w:r>
        <w:instrText xml:space="preserve"> HYPERLINK \l _Toc1994802943 </w:instrText>
      </w:r>
      <w:r>
        <w:fldChar w:fldCharType="separate"/>
      </w:r>
      <w:r>
        <w:rPr>
          <w:rFonts w:ascii="Times New Roman" w:hAnsi="Times New Roman" w:eastAsia="Times New Roman" w:cs="Times New Roman"/>
          <w:szCs w:val="28"/>
        </w:rPr>
        <w:t>3.3 Анализ рисков и рекомендации по их снижению</w:t>
      </w:r>
      <w:r>
        <w:tab/>
      </w:r>
      <w:r>
        <w:fldChar w:fldCharType="begin"/>
      </w:r>
      <w:r>
        <w:instrText xml:space="preserve"> PAGEREF _Toc1994802943 \h </w:instrText>
      </w:r>
      <w:r>
        <w:fldChar w:fldCharType="separate"/>
      </w:r>
      <w:r>
        <w:t>47</w:t>
      </w:r>
      <w:r>
        <w:fldChar w:fldCharType="end"/>
      </w:r>
      <w:r>
        <w:fldChar w:fldCharType="end"/>
      </w:r>
    </w:p>
    <w:p w14:paraId="3E67E1F0">
      <w:pPr>
        <w:pStyle w:val="17"/>
        <w:tabs>
          <w:tab w:val="right" w:leader="dot" w:pos="9355"/>
        </w:tabs>
      </w:pPr>
      <w:r>
        <w:fldChar w:fldCharType="begin"/>
      </w:r>
      <w:r>
        <w:instrText xml:space="preserve"> HYPERLINK \l _Toc138366037 </w:instrText>
      </w:r>
      <w:r>
        <w:fldChar w:fldCharType="separate"/>
      </w:r>
      <w:r>
        <w:rPr>
          <w:rFonts w:ascii="Times New Roman" w:hAnsi="Times New Roman" w:eastAsia="Times New Roman" w:cs="Times New Roman"/>
          <w:szCs w:val="28"/>
        </w:rPr>
        <w:t>Выводы по главе 3</w:t>
      </w:r>
      <w:r>
        <w:tab/>
      </w:r>
      <w:r>
        <w:fldChar w:fldCharType="begin"/>
      </w:r>
      <w:r>
        <w:instrText xml:space="preserve"> PAGEREF _Toc138366037 \h </w:instrText>
      </w:r>
      <w:r>
        <w:fldChar w:fldCharType="separate"/>
      </w:r>
      <w:r>
        <w:t>52</w:t>
      </w:r>
      <w:r>
        <w:fldChar w:fldCharType="end"/>
      </w:r>
      <w:r>
        <w:fldChar w:fldCharType="end"/>
      </w:r>
    </w:p>
    <w:p w14:paraId="2D7D6353">
      <w:pPr>
        <w:pStyle w:val="16"/>
        <w:tabs>
          <w:tab w:val="right" w:leader="dot" w:pos="9355"/>
        </w:tabs>
      </w:pPr>
      <w:r>
        <w:fldChar w:fldCharType="begin"/>
      </w:r>
      <w:r>
        <w:instrText xml:space="preserve"> HYPERLINK \l _Toc1940677805 </w:instrText>
      </w:r>
      <w:r>
        <w:fldChar w:fldCharType="separate"/>
      </w:r>
      <w:r>
        <w:rPr>
          <w:rFonts w:ascii="Times New Roman" w:hAnsi="Times New Roman" w:eastAsia="Times New Roman" w:cs="Times New Roman"/>
          <w:szCs w:val="28"/>
        </w:rPr>
        <w:t>ЗАКЛЮЧЕНИЕ</w:t>
      </w:r>
      <w:r>
        <w:tab/>
      </w:r>
      <w:r>
        <w:fldChar w:fldCharType="begin"/>
      </w:r>
      <w:r>
        <w:instrText xml:space="preserve"> PAGEREF _Toc1940677805 \h </w:instrText>
      </w:r>
      <w:r>
        <w:fldChar w:fldCharType="separate"/>
      </w:r>
      <w:r>
        <w:t>54</w:t>
      </w:r>
      <w:r>
        <w:fldChar w:fldCharType="end"/>
      </w:r>
      <w:r>
        <w:fldChar w:fldCharType="end"/>
      </w:r>
    </w:p>
    <w:p w14:paraId="39582FD7">
      <w:pPr>
        <w:pStyle w:val="16"/>
        <w:tabs>
          <w:tab w:val="right" w:leader="dot" w:pos="9355"/>
        </w:tabs>
      </w:pPr>
      <w:r>
        <w:fldChar w:fldCharType="begin"/>
      </w:r>
      <w:r>
        <w:instrText xml:space="preserve"> HYPERLINK \l _Toc990237999 </w:instrText>
      </w:r>
      <w:r>
        <w:fldChar w:fldCharType="separate"/>
      </w:r>
      <w:r>
        <w:rPr>
          <w:rFonts w:ascii="Times New Roman" w:hAnsi="Times New Roman" w:eastAsia="Times New Roman" w:cs="Times New Roman"/>
          <w:szCs w:val="28"/>
        </w:rPr>
        <w:t>СПИСОК ИСПОЛЬЗОВАННЫХ ИСТОЧНИКОВ</w:t>
      </w:r>
      <w:r>
        <w:tab/>
      </w:r>
      <w:r>
        <w:fldChar w:fldCharType="begin"/>
      </w:r>
      <w:r>
        <w:instrText xml:space="preserve"> PAGEREF _Toc990237999 \h </w:instrText>
      </w:r>
      <w:r>
        <w:fldChar w:fldCharType="separate"/>
      </w:r>
      <w:r>
        <w:t>56</w:t>
      </w:r>
      <w:r>
        <w:fldChar w:fldCharType="end"/>
      </w:r>
      <w:r>
        <w:fldChar w:fldCharType="end"/>
      </w:r>
    </w:p>
    <w:p w14:paraId="08938D4F">
      <w:pPr>
        <w:pStyle w:val="16"/>
        <w:tabs>
          <w:tab w:val="right" w:leader="dot" w:pos="9355"/>
        </w:tabs>
      </w:pPr>
      <w:r>
        <w:fldChar w:fldCharType="begin"/>
      </w:r>
      <w:r>
        <w:instrText xml:space="preserve"> HYPERLINK \l _Toc2079268590 </w:instrText>
      </w:r>
      <w:r>
        <w:fldChar w:fldCharType="separate"/>
      </w:r>
      <w:r>
        <w:rPr>
          <w:rFonts w:ascii="Times New Roman" w:hAnsi="Times New Roman"/>
        </w:rPr>
        <w:t>СПИСОК ИЛЛЮСТРАТИВНОГО МАТЕРИАЛА</w:t>
      </w:r>
      <w:r>
        <w:tab/>
      </w:r>
      <w:r>
        <w:fldChar w:fldCharType="begin"/>
      </w:r>
      <w:r>
        <w:instrText xml:space="preserve"> PAGEREF _Toc2079268590 \h </w:instrText>
      </w:r>
      <w:r>
        <w:fldChar w:fldCharType="separate"/>
      </w:r>
      <w:r>
        <w:t>62</w:t>
      </w:r>
      <w:r>
        <w:fldChar w:fldCharType="end"/>
      </w:r>
      <w:r>
        <w:fldChar w:fldCharType="end"/>
      </w:r>
    </w:p>
    <w:p w14:paraId="4AED1195">
      <w:pPr>
        <w:pStyle w:val="16"/>
        <w:tabs>
          <w:tab w:val="right" w:leader="dot" w:pos="9355"/>
        </w:tabs>
      </w:pPr>
      <w:r>
        <w:fldChar w:fldCharType="begin"/>
      </w:r>
      <w:r>
        <w:instrText xml:space="preserve"> HYPERLINK \l _Toc265804499 </w:instrText>
      </w:r>
      <w:r>
        <w:fldChar w:fldCharType="separate"/>
      </w:r>
      <w:r>
        <w:rPr>
          <w:rFonts w:ascii="Times New Roman" w:hAnsi="Times New Roman" w:eastAsia="Times New Roman" w:cs="Times New Roman"/>
          <w:szCs w:val="28"/>
        </w:rPr>
        <w:t>ПРИЛОЖЕНИЕ А (обязательное)</w:t>
      </w:r>
      <w:r>
        <w:tab/>
      </w:r>
      <w:r>
        <w:fldChar w:fldCharType="begin"/>
      </w:r>
      <w:r>
        <w:instrText xml:space="preserve"> PAGEREF _Toc265804499 \h </w:instrText>
      </w:r>
      <w:r>
        <w:fldChar w:fldCharType="separate"/>
      </w:r>
      <w:r>
        <w:t>64</w:t>
      </w:r>
      <w:r>
        <w:fldChar w:fldCharType="end"/>
      </w:r>
      <w:r>
        <w:fldChar w:fldCharType="end"/>
      </w:r>
    </w:p>
    <w:p w14:paraId="79B7B103">
      <w:pPr>
        <w:pStyle w:val="16"/>
        <w:tabs>
          <w:tab w:val="right" w:leader="dot" w:pos="9355"/>
        </w:tabs>
      </w:pPr>
      <w:r>
        <w:fldChar w:fldCharType="begin"/>
      </w:r>
      <w:r>
        <w:instrText xml:space="preserve"> HYPERLINK \l _Toc610228933 </w:instrText>
      </w:r>
      <w:r>
        <w:fldChar w:fldCharType="separate"/>
      </w:r>
      <w:r>
        <w:rPr>
          <w:rFonts w:ascii="Times New Roman" w:hAnsi="Times New Roman" w:eastAsia="Times New Roman" w:cs="Times New Roman"/>
          <w:szCs w:val="28"/>
        </w:rPr>
        <w:t>ПРИЛОЖЕНИЕ Б (обязательное)</w:t>
      </w:r>
      <w:r>
        <w:tab/>
      </w:r>
      <w:r>
        <w:fldChar w:fldCharType="begin"/>
      </w:r>
      <w:r>
        <w:instrText xml:space="preserve"> PAGEREF _Toc610228933 \h </w:instrText>
      </w:r>
      <w:r>
        <w:fldChar w:fldCharType="separate"/>
      </w:r>
      <w:r>
        <w:t>67</w:t>
      </w:r>
      <w:r>
        <w:fldChar w:fldCharType="end"/>
      </w:r>
      <w:r>
        <w:fldChar w:fldCharType="end"/>
      </w:r>
    </w:p>
    <w:p w14:paraId="299444F5">
      <w:pPr>
        <w:pStyle w:val="16"/>
        <w:tabs>
          <w:tab w:val="right" w:leader="dot" w:pos="9355"/>
        </w:tabs>
      </w:pPr>
      <w:r>
        <w:fldChar w:fldCharType="begin"/>
      </w:r>
      <w:r>
        <w:instrText xml:space="preserve"> HYPERLINK \l _Toc1883262506 </w:instrText>
      </w:r>
      <w:r>
        <w:fldChar w:fldCharType="separate"/>
      </w:r>
      <w:r>
        <w:rPr>
          <w:rFonts w:ascii="Times New Roman" w:hAnsi="Times New Roman" w:eastAsia="Times New Roman" w:cs="Times New Roman"/>
          <w:szCs w:val="28"/>
        </w:rPr>
        <w:t>ПРИЛОЖЕНИЕ В (справочное)</w:t>
      </w:r>
      <w:r>
        <w:tab/>
      </w:r>
      <w:r>
        <w:fldChar w:fldCharType="begin"/>
      </w:r>
      <w:r>
        <w:instrText xml:space="preserve"> PAGEREF _Toc1883262506 \h </w:instrText>
      </w:r>
      <w:r>
        <w:fldChar w:fldCharType="separate"/>
      </w:r>
      <w:r>
        <w:t>70</w:t>
      </w:r>
      <w:r>
        <w:fldChar w:fldCharType="end"/>
      </w:r>
      <w:r>
        <w:fldChar w:fldCharType="end"/>
      </w:r>
    </w:p>
    <w:p w14:paraId="442110A6">
      <w:pPr>
        <w:jc w:val="left"/>
      </w:pPr>
      <w:r>
        <w:fldChar w:fldCharType="end"/>
      </w:r>
    </w:p>
    <w:p w14:paraId="7F08EE40">
      <w:pPr>
        <w:pageBreakBefore/>
        <w:spacing w:before="240" w:after="240" w:line="360" w:lineRule="auto"/>
        <w:jc w:val="center"/>
      </w:pPr>
      <w:r>
        <w:rPr>
          <w:rFonts w:ascii="Times New Roman" w:hAnsi="Times New Roman" w:eastAsia="Times New Roman" w:cs="Times New Roman"/>
          <w:b/>
          <w:bCs/>
          <w:color w:val="000000"/>
          <w:sz w:val="28"/>
          <w:szCs w:val="28"/>
        </w:rPr>
        <w:t>СПИСОК СОКРАЩЕНИЙ И УСЛОВНЫХ ОБОЗНАЧЕНИЙ</w:t>
      </w:r>
    </w:p>
    <w:p w14:paraId="14A8F70D">
      <w:pPr>
        <w:spacing w:before="0" w:after="0" w:line="360" w:lineRule="auto"/>
        <w:ind w:firstLine="708"/>
        <w:jc w:val="both"/>
      </w:pPr>
      <w:r>
        <w:rPr>
          <w:rFonts w:ascii="Times New Roman" w:hAnsi="Times New Roman" w:eastAsia="Times New Roman" w:cs="Times New Roman"/>
          <w:color w:val="000000"/>
          <w:sz w:val="28"/>
          <w:szCs w:val="28"/>
        </w:rPr>
        <w:t>ARPU — Average Revenue Per User (средний доход на пользователя)</w:t>
      </w:r>
    </w:p>
    <w:p w14:paraId="311A737B">
      <w:pPr>
        <w:spacing w:before="0" w:after="0" w:line="360" w:lineRule="auto"/>
        <w:ind w:firstLine="708"/>
        <w:jc w:val="both"/>
      </w:pPr>
      <w:r>
        <w:rPr>
          <w:rFonts w:ascii="Times New Roman" w:hAnsi="Times New Roman" w:eastAsia="Times New Roman" w:cs="Times New Roman"/>
          <w:color w:val="000000"/>
          <w:sz w:val="28"/>
          <w:szCs w:val="28"/>
        </w:rPr>
        <w:t>BEP — Break-Even Point (точка безубыточности)</w:t>
      </w:r>
    </w:p>
    <w:p w14:paraId="5ECD13A4">
      <w:pPr>
        <w:spacing w:before="0" w:after="0" w:line="360" w:lineRule="auto"/>
        <w:ind w:firstLine="708"/>
        <w:jc w:val="both"/>
      </w:pPr>
      <w:r>
        <w:rPr>
          <w:rFonts w:ascii="Times New Roman" w:hAnsi="Times New Roman" w:eastAsia="Times New Roman" w:cs="Times New Roman"/>
          <w:color w:val="000000"/>
          <w:sz w:val="28"/>
          <w:szCs w:val="28"/>
        </w:rPr>
        <w:t>BPMN — Business Process Model and Notation (нотация моделирования бизнес-процессов)</w:t>
      </w:r>
    </w:p>
    <w:p w14:paraId="7C77723C">
      <w:pPr>
        <w:spacing w:before="0" w:after="0" w:line="360" w:lineRule="auto"/>
        <w:ind w:firstLine="708"/>
        <w:jc w:val="both"/>
        <w:rPr>
          <w:lang w:val="en-US"/>
        </w:rPr>
      </w:pPr>
      <w:r>
        <w:rPr>
          <w:rFonts w:ascii="Times New Roman" w:hAnsi="Times New Roman" w:eastAsia="Times New Roman" w:cs="Times New Roman"/>
          <w:color w:val="000000"/>
          <w:sz w:val="28"/>
          <w:szCs w:val="28"/>
          <w:lang w:val="en-US"/>
        </w:rPr>
        <w:t>B2B — Business to Business (</w:t>
      </w:r>
      <w:r>
        <w:rPr>
          <w:rFonts w:ascii="Times New Roman" w:hAnsi="Times New Roman" w:eastAsia="Times New Roman" w:cs="Times New Roman"/>
          <w:color w:val="000000"/>
          <w:sz w:val="28"/>
          <w:szCs w:val="28"/>
        </w:rPr>
        <w:t>бизнес</w:t>
      </w:r>
      <w:r>
        <w:rPr>
          <w:rFonts w:ascii="Times New Roman" w:hAnsi="Times New Roman" w:eastAsia="Times New Roman" w:cs="Times New Roman"/>
          <w:color w:val="000000"/>
          <w:sz w:val="28"/>
          <w:szCs w:val="28"/>
          <w:lang w:val="en-US"/>
        </w:rPr>
        <w:t xml:space="preserve"> </w:t>
      </w:r>
      <w:r>
        <w:rPr>
          <w:rFonts w:ascii="Times New Roman" w:hAnsi="Times New Roman" w:eastAsia="Times New Roman" w:cs="Times New Roman"/>
          <w:color w:val="000000"/>
          <w:sz w:val="28"/>
          <w:szCs w:val="28"/>
        </w:rPr>
        <w:t>для</w:t>
      </w:r>
      <w:r>
        <w:rPr>
          <w:rFonts w:ascii="Times New Roman" w:hAnsi="Times New Roman" w:eastAsia="Times New Roman" w:cs="Times New Roman"/>
          <w:color w:val="000000"/>
          <w:sz w:val="28"/>
          <w:szCs w:val="28"/>
          <w:lang w:val="en-US"/>
        </w:rPr>
        <w:t xml:space="preserve"> </w:t>
      </w:r>
      <w:r>
        <w:rPr>
          <w:rFonts w:ascii="Times New Roman" w:hAnsi="Times New Roman" w:eastAsia="Times New Roman" w:cs="Times New Roman"/>
          <w:color w:val="000000"/>
          <w:sz w:val="28"/>
          <w:szCs w:val="28"/>
        </w:rPr>
        <w:t>бизнеса</w:t>
      </w:r>
      <w:r>
        <w:rPr>
          <w:rFonts w:ascii="Times New Roman" w:hAnsi="Times New Roman" w:eastAsia="Times New Roman" w:cs="Times New Roman"/>
          <w:color w:val="000000"/>
          <w:sz w:val="28"/>
          <w:szCs w:val="28"/>
          <w:lang w:val="en-US"/>
        </w:rPr>
        <w:t>)</w:t>
      </w:r>
    </w:p>
    <w:p w14:paraId="0D666B13">
      <w:pPr>
        <w:spacing w:before="0" w:after="0" w:line="360" w:lineRule="auto"/>
        <w:ind w:firstLine="708"/>
        <w:jc w:val="both"/>
      </w:pPr>
      <w:r>
        <w:rPr>
          <w:rFonts w:ascii="Times New Roman" w:hAnsi="Times New Roman" w:eastAsia="Times New Roman" w:cs="Times New Roman"/>
          <w:color w:val="000000"/>
          <w:sz w:val="28"/>
          <w:szCs w:val="28"/>
        </w:rPr>
        <w:t>CAC — Customer Acquisition Cost (стоимость привлечения клиента)</w:t>
      </w:r>
    </w:p>
    <w:p w14:paraId="2D26745F">
      <w:pPr>
        <w:spacing w:before="0" w:after="0" w:line="360" w:lineRule="auto"/>
        <w:ind w:firstLine="708"/>
        <w:jc w:val="both"/>
        <w:rPr>
          <w:lang w:val="en-US"/>
        </w:rPr>
      </w:pPr>
      <w:r>
        <w:rPr>
          <w:rFonts w:ascii="Times New Roman" w:hAnsi="Times New Roman" w:eastAsia="Times New Roman" w:cs="Times New Roman"/>
          <w:color w:val="000000"/>
          <w:sz w:val="28"/>
          <w:szCs w:val="28"/>
          <w:lang w:val="en-US"/>
        </w:rPr>
        <w:t>CAGR — Compound Annual Growth Rate (</w:t>
      </w:r>
      <w:r>
        <w:rPr>
          <w:rFonts w:ascii="Times New Roman" w:hAnsi="Times New Roman" w:eastAsia="Times New Roman" w:cs="Times New Roman"/>
          <w:color w:val="000000"/>
          <w:sz w:val="28"/>
          <w:szCs w:val="28"/>
        </w:rPr>
        <w:t>среднегодовой</w:t>
      </w:r>
      <w:r>
        <w:rPr>
          <w:rFonts w:ascii="Times New Roman" w:hAnsi="Times New Roman" w:eastAsia="Times New Roman" w:cs="Times New Roman"/>
          <w:color w:val="000000"/>
          <w:sz w:val="28"/>
          <w:szCs w:val="28"/>
          <w:lang w:val="en-US"/>
        </w:rPr>
        <w:t xml:space="preserve"> </w:t>
      </w:r>
      <w:r>
        <w:rPr>
          <w:rFonts w:ascii="Times New Roman" w:hAnsi="Times New Roman" w:eastAsia="Times New Roman" w:cs="Times New Roman"/>
          <w:color w:val="000000"/>
          <w:sz w:val="28"/>
          <w:szCs w:val="28"/>
        </w:rPr>
        <w:t>темп</w:t>
      </w:r>
      <w:r>
        <w:rPr>
          <w:rFonts w:ascii="Times New Roman" w:hAnsi="Times New Roman" w:eastAsia="Times New Roman" w:cs="Times New Roman"/>
          <w:color w:val="000000"/>
          <w:sz w:val="28"/>
          <w:szCs w:val="28"/>
          <w:lang w:val="en-US"/>
        </w:rPr>
        <w:t xml:space="preserve"> </w:t>
      </w:r>
      <w:r>
        <w:rPr>
          <w:rFonts w:ascii="Times New Roman" w:hAnsi="Times New Roman" w:eastAsia="Times New Roman" w:cs="Times New Roman"/>
          <w:color w:val="000000"/>
          <w:sz w:val="28"/>
          <w:szCs w:val="28"/>
        </w:rPr>
        <w:t>роста</w:t>
      </w:r>
      <w:r>
        <w:rPr>
          <w:rFonts w:ascii="Times New Roman" w:hAnsi="Times New Roman" w:eastAsia="Times New Roman" w:cs="Times New Roman"/>
          <w:color w:val="000000"/>
          <w:sz w:val="28"/>
          <w:szCs w:val="28"/>
          <w:lang w:val="en-US"/>
        </w:rPr>
        <w:t>)</w:t>
      </w:r>
    </w:p>
    <w:p w14:paraId="374B2A64">
      <w:pPr>
        <w:spacing w:before="0" w:after="0" w:line="360" w:lineRule="auto"/>
        <w:ind w:firstLine="708"/>
        <w:jc w:val="both"/>
        <w:rPr>
          <w:lang w:val="en-US"/>
        </w:rPr>
      </w:pPr>
      <w:r>
        <w:rPr>
          <w:rFonts w:ascii="Times New Roman" w:hAnsi="Times New Roman" w:eastAsia="Times New Roman" w:cs="Times New Roman"/>
          <w:color w:val="000000"/>
          <w:sz w:val="28"/>
          <w:szCs w:val="28"/>
          <w:lang w:val="en-US"/>
        </w:rPr>
        <w:t>CNN — Convolutional Neural Network (</w:t>
      </w:r>
      <w:r>
        <w:rPr>
          <w:rFonts w:ascii="Times New Roman" w:hAnsi="Times New Roman" w:eastAsia="Times New Roman" w:cs="Times New Roman"/>
          <w:color w:val="000000"/>
          <w:sz w:val="28"/>
          <w:szCs w:val="28"/>
        </w:rPr>
        <w:t>свёрточная</w:t>
      </w:r>
      <w:r>
        <w:rPr>
          <w:rFonts w:ascii="Times New Roman" w:hAnsi="Times New Roman" w:eastAsia="Times New Roman" w:cs="Times New Roman"/>
          <w:color w:val="000000"/>
          <w:sz w:val="28"/>
          <w:szCs w:val="28"/>
          <w:lang w:val="en-US"/>
        </w:rPr>
        <w:t xml:space="preserve"> </w:t>
      </w:r>
      <w:r>
        <w:rPr>
          <w:rFonts w:ascii="Times New Roman" w:hAnsi="Times New Roman" w:eastAsia="Times New Roman" w:cs="Times New Roman"/>
          <w:color w:val="000000"/>
          <w:sz w:val="28"/>
          <w:szCs w:val="28"/>
        </w:rPr>
        <w:t>нейронная</w:t>
      </w:r>
      <w:r>
        <w:rPr>
          <w:rFonts w:ascii="Times New Roman" w:hAnsi="Times New Roman" w:eastAsia="Times New Roman" w:cs="Times New Roman"/>
          <w:color w:val="000000"/>
          <w:sz w:val="28"/>
          <w:szCs w:val="28"/>
          <w:lang w:val="en-US"/>
        </w:rPr>
        <w:t xml:space="preserve"> </w:t>
      </w:r>
      <w:r>
        <w:rPr>
          <w:rFonts w:ascii="Times New Roman" w:hAnsi="Times New Roman" w:eastAsia="Times New Roman" w:cs="Times New Roman"/>
          <w:color w:val="000000"/>
          <w:sz w:val="28"/>
          <w:szCs w:val="28"/>
        </w:rPr>
        <w:t>сеть</w:t>
      </w:r>
      <w:r>
        <w:rPr>
          <w:rFonts w:ascii="Times New Roman" w:hAnsi="Times New Roman" w:eastAsia="Times New Roman" w:cs="Times New Roman"/>
          <w:color w:val="000000"/>
          <w:sz w:val="28"/>
          <w:szCs w:val="28"/>
          <w:lang w:val="en-US"/>
        </w:rPr>
        <w:t>)</w:t>
      </w:r>
    </w:p>
    <w:p w14:paraId="59A61BEA">
      <w:pPr>
        <w:spacing w:before="0" w:after="0" w:line="360" w:lineRule="auto"/>
        <w:ind w:firstLine="708"/>
        <w:jc w:val="both"/>
        <w:rPr>
          <w:lang w:val="en-US"/>
        </w:rPr>
      </w:pPr>
      <w:r>
        <w:rPr>
          <w:rFonts w:ascii="Times New Roman" w:hAnsi="Times New Roman" w:eastAsia="Times New Roman" w:cs="Times New Roman"/>
          <w:color w:val="000000"/>
          <w:sz w:val="28"/>
          <w:szCs w:val="28"/>
          <w:lang w:val="en-US"/>
        </w:rPr>
        <w:t>CustDev — Customer Development (</w:t>
      </w:r>
      <w:r>
        <w:rPr>
          <w:rFonts w:ascii="Times New Roman" w:hAnsi="Times New Roman" w:eastAsia="Times New Roman" w:cs="Times New Roman"/>
          <w:color w:val="000000"/>
          <w:sz w:val="28"/>
          <w:szCs w:val="28"/>
        </w:rPr>
        <w:t>развитие</w:t>
      </w:r>
      <w:r>
        <w:rPr>
          <w:rFonts w:ascii="Times New Roman" w:hAnsi="Times New Roman" w:eastAsia="Times New Roman" w:cs="Times New Roman"/>
          <w:color w:val="000000"/>
          <w:sz w:val="28"/>
          <w:szCs w:val="28"/>
          <w:lang w:val="en-US"/>
        </w:rPr>
        <w:t xml:space="preserve"> </w:t>
      </w:r>
      <w:r>
        <w:rPr>
          <w:rFonts w:ascii="Times New Roman" w:hAnsi="Times New Roman" w:eastAsia="Times New Roman" w:cs="Times New Roman"/>
          <w:color w:val="000000"/>
          <w:sz w:val="28"/>
          <w:szCs w:val="28"/>
        </w:rPr>
        <w:t>потребителей</w:t>
      </w:r>
      <w:r>
        <w:rPr>
          <w:rFonts w:ascii="Times New Roman" w:hAnsi="Times New Roman" w:eastAsia="Times New Roman" w:cs="Times New Roman"/>
          <w:color w:val="000000"/>
          <w:sz w:val="28"/>
          <w:szCs w:val="28"/>
          <w:lang w:val="en-US"/>
        </w:rPr>
        <w:t>)</w:t>
      </w:r>
    </w:p>
    <w:p w14:paraId="5489B4D3">
      <w:pPr>
        <w:spacing w:before="0" w:after="0" w:line="360" w:lineRule="auto"/>
        <w:ind w:firstLine="708"/>
        <w:jc w:val="both"/>
        <w:rPr>
          <w:lang w:val="en-US"/>
        </w:rPr>
      </w:pPr>
      <w:r>
        <w:rPr>
          <w:rFonts w:ascii="Times New Roman" w:hAnsi="Times New Roman" w:eastAsia="Times New Roman" w:cs="Times New Roman"/>
          <w:color w:val="000000"/>
          <w:sz w:val="28"/>
          <w:szCs w:val="28"/>
          <w:lang w:val="en-US"/>
        </w:rPr>
        <w:t>IRR — Internal Rate of Return (</w:t>
      </w:r>
      <w:r>
        <w:rPr>
          <w:rFonts w:ascii="Times New Roman" w:hAnsi="Times New Roman" w:eastAsia="Times New Roman" w:cs="Times New Roman"/>
          <w:color w:val="000000"/>
          <w:sz w:val="28"/>
          <w:szCs w:val="28"/>
        </w:rPr>
        <w:t>внутренняя</w:t>
      </w:r>
      <w:r>
        <w:rPr>
          <w:rFonts w:ascii="Times New Roman" w:hAnsi="Times New Roman" w:eastAsia="Times New Roman" w:cs="Times New Roman"/>
          <w:color w:val="000000"/>
          <w:sz w:val="28"/>
          <w:szCs w:val="28"/>
          <w:lang w:val="en-US"/>
        </w:rPr>
        <w:t xml:space="preserve"> </w:t>
      </w:r>
      <w:r>
        <w:rPr>
          <w:rFonts w:ascii="Times New Roman" w:hAnsi="Times New Roman" w:eastAsia="Times New Roman" w:cs="Times New Roman"/>
          <w:color w:val="000000"/>
          <w:sz w:val="28"/>
          <w:szCs w:val="28"/>
        </w:rPr>
        <w:t>норма</w:t>
      </w:r>
      <w:r>
        <w:rPr>
          <w:rFonts w:ascii="Times New Roman" w:hAnsi="Times New Roman" w:eastAsia="Times New Roman" w:cs="Times New Roman"/>
          <w:color w:val="000000"/>
          <w:sz w:val="28"/>
          <w:szCs w:val="28"/>
          <w:lang w:val="en-US"/>
        </w:rPr>
        <w:t xml:space="preserve"> </w:t>
      </w:r>
      <w:r>
        <w:rPr>
          <w:rFonts w:ascii="Times New Roman" w:hAnsi="Times New Roman" w:eastAsia="Times New Roman" w:cs="Times New Roman"/>
          <w:color w:val="000000"/>
          <w:sz w:val="28"/>
          <w:szCs w:val="28"/>
        </w:rPr>
        <w:t>доходности</w:t>
      </w:r>
      <w:r>
        <w:rPr>
          <w:rFonts w:ascii="Times New Roman" w:hAnsi="Times New Roman" w:eastAsia="Times New Roman" w:cs="Times New Roman"/>
          <w:color w:val="000000"/>
          <w:sz w:val="28"/>
          <w:szCs w:val="28"/>
          <w:lang w:val="en-US"/>
        </w:rPr>
        <w:t>)</w:t>
      </w:r>
    </w:p>
    <w:p w14:paraId="41EAF42B">
      <w:pPr>
        <w:spacing w:before="0" w:after="0" w:line="360" w:lineRule="auto"/>
        <w:ind w:firstLine="708"/>
        <w:jc w:val="both"/>
      </w:pPr>
      <w:r>
        <w:rPr>
          <w:rFonts w:ascii="Times New Roman" w:hAnsi="Times New Roman" w:eastAsia="Times New Roman" w:cs="Times New Roman"/>
          <w:color w:val="000000"/>
          <w:sz w:val="28"/>
          <w:szCs w:val="28"/>
        </w:rPr>
        <w:t>LTV — Lifetime Value (пожизненная ценность клиента)</w:t>
      </w:r>
    </w:p>
    <w:p w14:paraId="6DA5F693">
      <w:pPr>
        <w:spacing w:before="0" w:after="0" w:line="360" w:lineRule="auto"/>
        <w:ind w:firstLine="708"/>
        <w:jc w:val="both"/>
      </w:pPr>
      <w:r>
        <w:rPr>
          <w:rFonts w:ascii="Times New Roman" w:hAnsi="Times New Roman" w:eastAsia="Times New Roman" w:cs="Times New Roman"/>
          <w:color w:val="000000"/>
          <w:sz w:val="28"/>
          <w:szCs w:val="28"/>
        </w:rPr>
        <w:t>МСП — малое и среднее предпринимательство</w:t>
      </w:r>
    </w:p>
    <w:p w14:paraId="12F16742">
      <w:pPr>
        <w:spacing w:before="0" w:after="0" w:line="360" w:lineRule="auto"/>
        <w:ind w:firstLine="708"/>
        <w:jc w:val="both"/>
      </w:pPr>
      <w:r>
        <w:rPr>
          <w:rFonts w:ascii="Times New Roman" w:hAnsi="Times New Roman" w:eastAsia="Times New Roman" w:cs="Times New Roman"/>
          <w:color w:val="000000"/>
          <w:sz w:val="28"/>
          <w:szCs w:val="28"/>
        </w:rPr>
        <w:t>MVP — Minimum Viable Product (минимально жизнеспособный продукт)</w:t>
      </w:r>
    </w:p>
    <w:p w14:paraId="5212FA36">
      <w:pPr>
        <w:spacing w:before="0" w:after="0" w:line="360" w:lineRule="auto"/>
        <w:ind w:firstLine="708"/>
        <w:jc w:val="both"/>
      </w:pPr>
      <w:r>
        <w:rPr>
          <w:rFonts w:ascii="Times New Roman" w:hAnsi="Times New Roman" w:eastAsia="Times New Roman" w:cs="Times New Roman"/>
          <w:color w:val="000000"/>
          <w:sz w:val="28"/>
          <w:szCs w:val="28"/>
        </w:rPr>
        <w:t>NPV — Net Present Value (чистая приведённая стоимость)</w:t>
      </w:r>
    </w:p>
    <w:p w14:paraId="3D15BC0A">
      <w:pPr>
        <w:spacing w:before="0" w:after="0" w:line="360" w:lineRule="auto"/>
        <w:ind w:firstLine="708"/>
        <w:jc w:val="both"/>
      </w:pPr>
      <w:r>
        <w:rPr>
          <w:rFonts w:ascii="Times New Roman" w:hAnsi="Times New Roman" w:eastAsia="Times New Roman" w:cs="Times New Roman"/>
          <w:color w:val="000000"/>
          <w:sz w:val="28"/>
          <w:szCs w:val="28"/>
        </w:rPr>
        <w:t>ПО — программное обеспечение</w:t>
      </w:r>
    </w:p>
    <w:p w14:paraId="05DB9DFC">
      <w:pPr>
        <w:spacing w:before="0" w:after="0" w:line="360" w:lineRule="auto"/>
        <w:ind w:firstLine="708"/>
        <w:jc w:val="both"/>
      </w:pPr>
      <w:r>
        <w:rPr>
          <w:rFonts w:ascii="Times New Roman" w:hAnsi="Times New Roman" w:eastAsia="Times New Roman" w:cs="Times New Roman"/>
          <w:color w:val="000000"/>
          <w:sz w:val="28"/>
          <w:szCs w:val="28"/>
        </w:rPr>
        <w:t>SaaS — Software as a Service (программное обеспечение как услуга)</w:t>
      </w:r>
    </w:p>
    <w:p w14:paraId="5548718F">
      <w:pPr>
        <w:spacing w:before="0" w:after="0" w:line="360" w:lineRule="auto"/>
        <w:ind w:firstLine="708"/>
        <w:jc w:val="both"/>
      </w:pPr>
      <w:r>
        <w:rPr>
          <w:rFonts w:ascii="Times New Roman" w:hAnsi="Times New Roman" w:eastAsia="Times New Roman" w:cs="Times New Roman"/>
          <w:color w:val="000000"/>
          <w:sz w:val="28"/>
          <w:szCs w:val="28"/>
        </w:rPr>
        <w:t>TCO — Total Cost of Ownership (совокупная стоимость владения)</w:t>
      </w:r>
    </w:p>
    <w:p w14:paraId="573970CF">
      <w:pPr>
        <w:spacing w:before="0" w:after="0" w:line="360" w:lineRule="auto"/>
        <w:ind w:firstLine="708"/>
        <w:jc w:val="both"/>
      </w:pPr>
      <w:r>
        <w:rPr>
          <w:rFonts w:ascii="Times New Roman" w:hAnsi="Times New Roman" w:eastAsia="Times New Roman" w:cs="Times New Roman"/>
          <w:color w:val="000000"/>
          <w:sz w:val="28"/>
          <w:szCs w:val="28"/>
        </w:rPr>
        <w:t>TRL — Technology Readiness Level (уровень готовности технологии)</w:t>
      </w:r>
    </w:p>
    <w:p w14:paraId="51A9AAB0">
      <w:pPr>
        <w:pStyle w:val="2"/>
        <w:pageBreakBefore/>
        <w:spacing w:before="240" w:after="240" w:line="360" w:lineRule="auto"/>
        <w:jc w:val="center"/>
      </w:pPr>
      <w:bookmarkStart w:id="0" w:name="_Toc1870092319"/>
      <w:r>
        <w:rPr>
          <w:rFonts w:ascii="Times New Roman" w:hAnsi="Times New Roman" w:eastAsia="Times New Roman" w:cs="Times New Roman"/>
          <w:b/>
          <w:color w:val="000000"/>
          <w:sz w:val="28"/>
          <w:szCs w:val="28"/>
        </w:rPr>
        <w:t>ВВЕДЕНИЕ</w:t>
      </w:r>
      <w:bookmarkEnd w:id="0"/>
    </w:p>
    <w:p w14:paraId="7505F495">
      <w:pPr>
        <w:spacing w:before="0" w:after="0" w:line="360" w:lineRule="auto"/>
        <w:ind w:firstLine="708"/>
        <w:jc w:val="both"/>
      </w:pPr>
      <w:r>
        <w:rPr>
          <w:rFonts w:ascii="Times New Roman" w:hAnsi="Times New Roman" w:eastAsia="Times New Roman" w:cs="Times New Roman"/>
          <w:bCs/>
          <w:color w:val="000000"/>
          <w:sz w:val="28"/>
          <w:szCs w:val="28"/>
        </w:rPr>
        <w:t xml:space="preserve">Актуальность исследования. </w:t>
      </w:r>
      <w:r>
        <w:rPr>
          <w:rFonts w:ascii="Times New Roman" w:hAnsi="Times New Roman" w:eastAsia="Times New Roman" w:cs="Times New Roman"/>
          <w:color w:val="000000"/>
          <w:sz w:val="28"/>
          <w:szCs w:val="28"/>
        </w:rPr>
        <w:t>Цифровая трансформация экономики выдвигает креативные индустрии в число главных драйверов инновационного роста. По оценкам аналитических агентств, в 2024 году глобальный рынок проекционного мэппинга (projection mapping) достиг 4,0–4,6 млрд долларов США, а прогнозируемый CAGR составляет 19–23% [1, 2]. Видеомэппинг — это технология, которая проецирует визуальный контент на физические объекты произвольной формы. Сегодня её активно применяют в ивент-индустрии, музейном деле, рекламе и образовании. В России этот сегмент входит в более широкий рынок ивент-технологий: его объём эксперты оценивают более чем в 120 млрд руб. [3].</w:t>
      </w:r>
    </w:p>
    <w:p w14:paraId="0084DF62">
      <w:pPr>
        <w:spacing w:before="0" w:after="0" w:line="360" w:lineRule="auto"/>
        <w:ind w:firstLine="708"/>
        <w:jc w:val="both"/>
      </w:pPr>
      <w:r>
        <w:rPr>
          <w:rFonts w:ascii="Times New Roman" w:hAnsi="Times New Roman" w:eastAsia="Times New Roman" w:cs="Times New Roman"/>
          <w:color w:val="000000"/>
          <w:sz w:val="28"/>
          <w:szCs w:val="28"/>
        </w:rPr>
        <w:t>При этом создание видеомэппинга остаётся дорогим и медленным процессом. В нём задействованы 3D-моделлеры, аниматоры и технические специалисты, требуется одновременная работа в нескольких программных пакетах (MadMapper, Resolume Arena, Blender и др.), а сроки растягиваются от нескольких дней до нескольких месяцев. Совокупные расходы заказчиков на видеомэппинг — от 2 млн до 300 млн руб. в год [4]. Из-за такой ресурсоёмкости технология практически недоступна малому и среднему бизнесу, что ограничивает потенциал рынка.</w:t>
      </w:r>
    </w:p>
    <w:p w14:paraId="047A71C5">
      <w:pPr>
        <w:spacing w:before="0" w:after="0" w:line="360" w:lineRule="auto"/>
        <w:ind w:firstLine="708"/>
        <w:jc w:val="both"/>
      </w:pPr>
      <w:r>
        <w:rPr>
          <w:rFonts w:ascii="Times New Roman" w:hAnsi="Times New Roman" w:eastAsia="Times New Roman" w:cs="Times New Roman"/>
          <w:color w:val="000000"/>
          <w:sz w:val="28"/>
          <w:szCs w:val="28"/>
        </w:rPr>
        <w:t>Стартап «Эксперимент 619» под руководством Шакирова Р.З. разработал MVP программного обеспечения уровня TRL3. Продукт построен на свёрточных нейронных сетях и методах цифровой обработки изображений; он позволяет сократить время создания 3D-эквивалента объекта с 60+ до 13 минут, а время подготовки анимации эффектов — с нескольких часов до 10 минут [5]. Однако у этого технологического прототипа пока нет проработанной бизнес-модели, стратегии вывода на рынок и обоснования коммерческой эффективности. В этом и заключается актуальность настоящего исследования: технологическое решение нужно превратить в рыночный продукт с устойчивой бизнес-моделью и прозрачной экономикой.</w:t>
      </w:r>
    </w:p>
    <w:p w14:paraId="686B4AC3">
      <w:pPr>
        <w:spacing w:before="0" w:after="0" w:line="360" w:lineRule="auto"/>
        <w:ind w:firstLine="708"/>
        <w:jc w:val="both"/>
      </w:pPr>
      <w:r>
        <w:rPr>
          <w:rFonts w:ascii="Times New Roman" w:hAnsi="Times New Roman" w:eastAsia="Times New Roman" w:cs="Times New Roman"/>
          <w:bCs/>
          <w:color w:val="000000"/>
          <w:sz w:val="28"/>
          <w:szCs w:val="28"/>
        </w:rPr>
        <w:t xml:space="preserve">Проблема исследования </w:t>
      </w:r>
      <w:r>
        <w:rPr>
          <w:rFonts w:ascii="Times New Roman" w:hAnsi="Times New Roman" w:eastAsia="Times New Roman" w:cs="Times New Roman"/>
          <w:color w:val="000000"/>
          <w:sz w:val="28"/>
          <w:szCs w:val="28"/>
        </w:rPr>
        <w:t>состоит в двойном разрыве. Во-первых, между технологическими возможностями MVP и отсутствием коммерческой стратегии. Во-вторых, между потенциалом видеомэппинга и реальной доступностью технологии: высокая стоимость и длительность традиционного производства закрывают её для широкого круга заказчиков, прежде всего — для малого и среднего предпринимательства.</w:t>
      </w:r>
    </w:p>
    <w:p w14:paraId="77200904">
      <w:pPr>
        <w:spacing w:before="0" w:after="0" w:line="360" w:lineRule="auto"/>
        <w:ind w:firstLine="708"/>
        <w:jc w:val="both"/>
      </w:pPr>
      <w:r>
        <w:rPr>
          <w:rFonts w:ascii="Times New Roman" w:hAnsi="Times New Roman" w:eastAsia="Times New Roman" w:cs="Times New Roman"/>
          <w:bCs/>
          <w:color w:val="000000"/>
          <w:sz w:val="28"/>
          <w:szCs w:val="28"/>
        </w:rPr>
        <w:t xml:space="preserve">Цель исследования </w:t>
      </w:r>
      <w:r>
        <w:rPr>
          <w:rFonts w:ascii="Times New Roman" w:hAnsi="Times New Roman" w:eastAsia="Times New Roman" w:cs="Times New Roman"/>
          <w:color w:val="000000"/>
          <w:sz w:val="28"/>
          <w:szCs w:val="28"/>
        </w:rPr>
        <w:t>— разработка бизнес-модели и стратегии коммерциализации программного обеспечения для оптимизированного создания видеомэппинга на примере стартапа «Эксперимент 619».</w:t>
      </w:r>
    </w:p>
    <w:p w14:paraId="2306C7CE">
      <w:pPr>
        <w:spacing w:before="0" w:after="0" w:line="360" w:lineRule="auto"/>
        <w:ind w:firstLine="708"/>
        <w:jc w:val="both"/>
      </w:pPr>
      <w:r>
        <w:rPr>
          <w:rFonts w:ascii="Times New Roman" w:hAnsi="Times New Roman" w:eastAsia="Times New Roman" w:cs="Times New Roman"/>
          <w:bCs/>
          <w:color w:val="000000"/>
          <w:sz w:val="28"/>
          <w:szCs w:val="28"/>
        </w:rPr>
        <w:t>Задачи исследования:</w:t>
      </w:r>
    </w:p>
    <w:p w14:paraId="562BEC4C">
      <w:pPr>
        <w:spacing w:before="0" w:after="0" w:line="360" w:lineRule="auto"/>
        <w:ind w:firstLine="708"/>
        <w:jc w:val="both"/>
      </w:pPr>
      <w:r>
        <w:rPr>
          <w:rFonts w:ascii="Times New Roman" w:hAnsi="Times New Roman" w:eastAsia="Times New Roman" w:cs="Times New Roman"/>
          <w:color w:val="000000"/>
          <w:sz w:val="28"/>
          <w:szCs w:val="28"/>
        </w:rPr>
        <w:t>1. Провести анализ продукта, рынка видеомэппинга и event-tech, оценить объём, структуру и динамику рынка, определить целевые сегменты.</w:t>
      </w:r>
    </w:p>
    <w:p w14:paraId="6E14FDDE">
      <w:pPr>
        <w:spacing w:before="0" w:after="0" w:line="360" w:lineRule="auto"/>
        <w:ind w:firstLine="708"/>
        <w:jc w:val="both"/>
      </w:pPr>
      <w:r>
        <w:rPr>
          <w:rFonts w:ascii="Times New Roman" w:hAnsi="Times New Roman" w:eastAsia="Times New Roman" w:cs="Times New Roman"/>
          <w:color w:val="000000"/>
          <w:sz w:val="28"/>
          <w:szCs w:val="28"/>
        </w:rPr>
        <w:t>2. Провести анализ конкурентной среды и обосновать выбор бизнес-модели и ценовой стратегии.</w:t>
      </w:r>
    </w:p>
    <w:p w14:paraId="365C1AD2">
      <w:pPr>
        <w:spacing w:before="0" w:after="0" w:line="360" w:lineRule="auto"/>
        <w:ind w:firstLine="708"/>
        <w:jc w:val="both"/>
      </w:pPr>
      <w:r>
        <w:rPr>
          <w:rFonts w:ascii="Times New Roman" w:hAnsi="Times New Roman" w:eastAsia="Times New Roman" w:cs="Times New Roman"/>
          <w:color w:val="000000"/>
          <w:sz w:val="28"/>
          <w:szCs w:val="28"/>
        </w:rPr>
        <w:t>3. Рассчитать экономику производства и unit-экономику продукта, включая себестоимость генерации 3D-контента и варианты масштабирования.</w:t>
      </w:r>
    </w:p>
    <w:p w14:paraId="067DB6CB">
      <w:pPr>
        <w:spacing w:before="0" w:after="0" w:line="360" w:lineRule="auto"/>
        <w:ind w:firstLine="708"/>
        <w:jc w:val="both"/>
      </w:pPr>
      <w:r>
        <w:rPr>
          <w:rFonts w:ascii="Times New Roman" w:hAnsi="Times New Roman" w:eastAsia="Times New Roman" w:cs="Times New Roman"/>
          <w:color w:val="000000"/>
          <w:sz w:val="28"/>
          <w:szCs w:val="28"/>
        </w:rPr>
        <w:t>4. Разработать финансовую модель проекта и определить потребность в инвестициях, включая точку безубыточности.</w:t>
      </w:r>
    </w:p>
    <w:p w14:paraId="1FDA4EAF">
      <w:pPr>
        <w:spacing w:before="0" w:after="0" w:line="360" w:lineRule="auto"/>
        <w:ind w:firstLine="708"/>
        <w:jc w:val="both"/>
      </w:pPr>
      <w:r>
        <w:rPr>
          <w:rFonts w:ascii="Times New Roman" w:hAnsi="Times New Roman" w:eastAsia="Times New Roman" w:cs="Times New Roman"/>
          <w:color w:val="000000"/>
          <w:sz w:val="28"/>
          <w:szCs w:val="28"/>
        </w:rPr>
        <w:t>5. Оценить экономическую эффективность проекта (NPV, IRR, срок окупаемости) и разработать стратегию коммерциализации.</w:t>
      </w:r>
    </w:p>
    <w:p w14:paraId="15094740">
      <w:pPr>
        <w:spacing w:before="0" w:after="0" w:line="360" w:lineRule="auto"/>
        <w:ind w:firstLine="708"/>
        <w:jc w:val="both"/>
      </w:pPr>
      <w:r>
        <w:rPr>
          <w:rFonts w:ascii="Times New Roman" w:hAnsi="Times New Roman" w:eastAsia="Times New Roman" w:cs="Times New Roman"/>
          <w:color w:val="000000"/>
          <w:sz w:val="28"/>
          <w:szCs w:val="28"/>
        </w:rPr>
        <w:t>6. Провести анализ рисков и предложить мероприятия по их снижению.</w:t>
      </w:r>
    </w:p>
    <w:p w14:paraId="1FFF1428">
      <w:pPr>
        <w:spacing w:before="0" w:after="0" w:line="360" w:lineRule="auto"/>
        <w:ind w:firstLine="708"/>
        <w:jc w:val="both"/>
      </w:pPr>
      <w:r>
        <w:rPr>
          <w:rFonts w:ascii="Times New Roman" w:hAnsi="Times New Roman" w:eastAsia="Times New Roman" w:cs="Times New Roman"/>
          <w:bCs/>
          <w:color w:val="000000"/>
          <w:sz w:val="28"/>
          <w:szCs w:val="28"/>
        </w:rPr>
        <w:t xml:space="preserve">Объект исследования </w:t>
      </w:r>
      <w:r>
        <w:rPr>
          <w:rFonts w:ascii="Times New Roman" w:hAnsi="Times New Roman" w:eastAsia="Times New Roman" w:cs="Times New Roman"/>
          <w:color w:val="000000"/>
          <w:sz w:val="28"/>
          <w:szCs w:val="28"/>
        </w:rPr>
        <w:t>— процесс создания видеомэппинга и его коммерциализация.</w:t>
      </w:r>
    </w:p>
    <w:p w14:paraId="17B4F4F6">
      <w:pPr>
        <w:spacing w:before="0" w:after="0" w:line="360" w:lineRule="auto"/>
        <w:ind w:firstLine="708"/>
        <w:jc w:val="both"/>
      </w:pPr>
      <w:r>
        <w:rPr>
          <w:rFonts w:ascii="Times New Roman" w:hAnsi="Times New Roman" w:eastAsia="Times New Roman" w:cs="Times New Roman"/>
          <w:bCs/>
          <w:color w:val="000000"/>
          <w:sz w:val="28"/>
          <w:szCs w:val="28"/>
        </w:rPr>
        <w:t xml:space="preserve">Предмет исследования </w:t>
      </w:r>
      <w:r>
        <w:rPr>
          <w:rFonts w:ascii="Times New Roman" w:hAnsi="Times New Roman" w:eastAsia="Times New Roman" w:cs="Times New Roman"/>
          <w:color w:val="000000"/>
          <w:sz w:val="28"/>
          <w:szCs w:val="28"/>
        </w:rPr>
        <w:t>— бизнес-модель и стратегия вывода на рынок ПО для оптимизированного создания видеомэппинга.</w:t>
      </w:r>
    </w:p>
    <w:p w14:paraId="14263E36">
      <w:pPr>
        <w:spacing w:before="0" w:after="0" w:line="360" w:lineRule="auto"/>
        <w:ind w:firstLine="708"/>
        <w:jc w:val="both"/>
      </w:pPr>
      <w:r>
        <w:rPr>
          <w:rFonts w:ascii="Times New Roman" w:hAnsi="Times New Roman" w:eastAsia="Times New Roman" w:cs="Times New Roman"/>
          <w:bCs/>
          <w:color w:val="000000"/>
          <w:sz w:val="28"/>
          <w:szCs w:val="28"/>
        </w:rPr>
        <w:t xml:space="preserve">Методы исследования: </w:t>
      </w:r>
      <w:r>
        <w:rPr>
          <w:rFonts w:ascii="Times New Roman" w:hAnsi="Times New Roman" w:eastAsia="Times New Roman" w:cs="Times New Roman"/>
          <w:color w:val="000000"/>
          <w:sz w:val="28"/>
          <w:szCs w:val="28"/>
        </w:rPr>
        <w:t>в работе использован комплекс методов. Это анализ вторичных данных (отраслевые отчёты, материалы рыночных агентств), сравнительный анализ и бенчмаркинг существующих решений, моделирование бизнес-процессов в нотации BPMN, инструменты бизнес-анализа (CustDev, валидация гипотез, расчёт юнит-экономики — CAC, LTV, ARPU), а также финансовое моделирование (NPV, IRR, анализ чувствительности) и экономико-математическое моделирование.</w:t>
      </w:r>
    </w:p>
    <w:p w14:paraId="1A2D63FA">
      <w:pPr>
        <w:spacing w:before="0" w:after="0" w:line="360" w:lineRule="auto"/>
        <w:ind w:firstLine="708"/>
        <w:jc w:val="both"/>
      </w:pPr>
      <w:r>
        <w:rPr>
          <w:rFonts w:ascii="Times New Roman" w:hAnsi="Times New Roman" w:eastAsia="Times New Roman" w:cs="Times New Roman"/>
          <w:bCs/>
          <w:color w:val="000000"/>
          <w:sz w:val="28"/>
          <w:szCs w:val="28"/>
        </w:rPr>
        <w:t xml:space="preserve">Научная новизна </w:t>
      </w:r>
      <w:r>
        <w:rPr>
          <w:rFonts w:ascii="Times New Roman" w:hAnsi="Times New Roman" w:eastAsia="Times New Roman" w:cs="Times New Roman"/>
          <w:color w:val="000000"/>
          <w:sz w:val="28"/>
          <w:szCs w:val="28"/>
        </w:rPr>
        <w:t>исследования заключается в следующем:</w:t>
      </w:r>
    </w:p>
    <w:p w14:paraId="5A6136CD">
      <w:pPr>
        <w:spacing w:before="0" w:after="0" w:line="360" w:lineRule="auto"/>
        <w:ind w:firstLine="708"/>
        <w:jc w:val="both"/>
      </w:pPr>
      <w:r>
        <w:rPr>
          <w:rFonts w:ascii="Times New Roman" w:hAnsi="Times New Roman" w:eastAsia="Times New Roman" w:cs="Times New Roman"/>
          <w:color w:val="000000"/>
          <w:sz w:val="28"/>
          <w:szCs w:val="28"/>
        </w:rPr>
        <w:t>— впервые построена BPMN-модель реинжиниринга процесса создания видеомэппинга, в основе которой лежит нейросетевая генерация карты глубины;</w:t>
      </w:r>
    </w:p>
    <w:p w14:paraId="5E802D2A">
      <w:pPr>
        <w:spacing w:before="0" w:after="0" w:line="360" w:lineRule="auto"/>
        <w:ind w:firstLine="708"/>
        <w:jc w:val="both"/>
      </w:pPr>
      <w:r>
        <w:rPr>
          <w:rFonts w:ascii="Times New Roman" w:hAnsi="Times New Roman" w:eastAsia="Times New Roman" w:cs="Times New Roman"/>
          <w:color w:val="000000"/>
          <w:sz w:val="28"/>
          <w:szCs w:val="28"/>
        </w:rPr>
        <w:t>— построена бизнес-модель deep-tech-продукта в нише креативных технологий с гибридной монетизацией (SaaS + проектная интеграция); модель опирается на расчёты юнит-экономики и финансовую модель;</w:t>
      </w:r>
    </w:p>
    <w:p w14:paraId="7651842A">
      <w:pPr>
        <w:spacing w:before="0" w:after="0" w:line="360" w:lineRule="auto"/>
        <w:ind w:firstLine="708"/>
        <w:jc w:val="both"/>
      </w:pPr>
      <w:r>
        <w:rPr>
          <w:rFonts w:ascii="Times New Roman" w:hAnsi="Times New Roman" w:eastAsia="Times New Roman" w:cs="Times New Roman"/>
          <w:color w:val="000000"/>
          <w:sz w:val="28"/>
          <w:szCs w:val="28"/>
        </w:rPr>
        <w:t>— предложена методика оценки экономической эффективности event-tech-стартапа, учитывающая специфику российского рынка.</w:t>
      </w:r>
    </w:p>
    <w:p w14:paraId="30482C48">
      <w:pPr>
        <w:spacing w:before="0" w:after="0" w:line="360" w:lineRule="auto"/>
        <w:ind w:firstLine="708"/>
        <w:jc w:val="both"/>
      </w:pPr>
      <w:r>
        <w:rPr>
          <w:rFonts w:ascii="Times New Roman" w:hAnsi="Times New Roman" w:eastAsia="Times New Roman" w:cs="Times New Roman"/>
          <w:bCs/>
          <w:color w:val="000000"/>
          <w:sz w:val="28"/>
          <w:szCs w:val="28"/>
        </w:rPr>
        <w:t xml:space="preserve">Практическая значимость </w:t>
      </w:r>
      <w:r>
        <w:rPr>
          <w:rFonts w:ascii="Times New Roman" w:hAnsi="Times New Roman" w:eastAsia="Times New Roman" w:cs="Times New Roman"/>
          <w:color w:val="000000"/>
          <w:sz w:val="28"/>
          <w:szCs w:val="28"/>
        </w:rPr>
        <w:t>работы заключается в том, что разработанные модели и стратегия коммерциализации готовы к прямому применению: стартап «Эксперимент 619» сможет использовать их для привлечения инвестиций и вывода продукта на рынок. Тестирование MVP показало, что внедрение ПО снижает себестоимость создания видеомэппинга минимум в 4,3 раза и сокращает время производства с нескольких дней до нескольких часов.</w:t>
      </w:r>
    </w:p>
    <w:p w14:paraId="36493DF4">
      <w:pPr>
        <w:spacing w:before="0" w:after="0" w:line="360" w:lineRule="auto"/>
        <w:ind w:firstLine="708"/>
        <w:jc w:val="both"/>
      </w:pPr>
      <w:r>
        <w:rPr>
          <w:rFonts w:ascii="Times New Roman" w:hAnsi="Times New Roman" w:eastAsia="Times New Roman" w:cs="Times New Roman"/>
          <w:color w:val="000000"/>
          <w:sz w:val="28"/>
          <w:szCs w:val="28"/>
        </w:rPr>
        <w:t>Методологические и теоретические основы исследования. В качестве методологической базы я взял несколько фреймворков, которые дополняют друг друга. Бизнес-модель я строил на шаблоне Business Model Canvas А. Остервальдера и И. Пинье [14] и достраивал её через Lean Startup Э. Риса [16] и Running Lean А. Маурьи [15]; такой подход позволил рассматривать «Эксперимент 619» как итеративно проверяемый продукт. Реинжиниринг процессов я опирал на работы М. Хаммера и Дж. Чампи [12], а формальное описание выполнил в нотации BPMN 2.0 и в контекстной диаграмме IDEF0 (ГОСТ Р 50.1.028-2001) [37]. Целевую аудиторию я изучал по методологии Customer Development С. Бланка и Б. Дорфа [13] и через тест Ван Вестендорпа на ценовую эластичность [17]. Финансовую модель я считал методом дисконтированных денежных потоков (DCF) по Р. Брейли, С. Майерсу и Ф. Аллену [27] и А. Дамодарану [28]; стресс-тест выполнен методом Монте-Карло. Юнит-экономику SaaS-продукта я рассчитал по бенчмаркам Bessemer Venture Partners [18] и KeyBanc Capital Markets [19], а также по публикациям Д. Скока [22]. Стратегическую часть я опирал на работы И.К. Адизеса о жизненном цикле организации [23], Дж. Мура о «пропасти» (Crossing the Chasm) [38] и П. Тиля [32]. Такой набор источников позволяет согласовать рыночную аналитику, продуктовую логику и финансовые выводы работы.</w:t>
      </w:r>
    </w:p>
    <w:p w14:paraId="6B74524E">
      <w:pPr>
        <w:spacing w:before="0" w:after="0" w:line="360" w:lineRule="auto"/>
        <w:ind w:firstLine="708"/>
        <w:jc w:val="both"/>
      </w:pPr>
      <w:r>
        <w:rPr>
          <w:rFonts w:ascii="Times New Roman" w:hAnsi="Times New Roman" w:eastAsia="Times New Roman" w:cs="Times New Roman"/>
          <w:color w:val="000000"/>
          <w:sz w:val="28"/>
          <w:szCs w:val="28"/>
        </w:rPr>
        <w:t>Положения, выносимые на защиту. По итогам исследования я выношу на защиту пять положений. Первое. Нейросетевая генерация монокулярной карты глубины и связка SDXL + ControlNet с человеком в петле обратной связи (Human-in-the-Loop) образуют самостоятельную продуктовую вертикаль «фото → проекция»; экономически она отделима от универсальных пакетов MadMapper, Resolume Arena и TouchDesigner, и именно она составляет объект коммерциализации стартапа «Эксперимент 619». Второе. Гибридная бизнес-модель — SaaS-подписка трёх уровней (Базовый — 55 619 руб./мес., Pro — 96 619 руб./мес., VIP/Enterprise — 163 619 руб./мес.) в связке с разовым проектным заказом по тарифу 1 000 руб./сек анимации — устойчива на горизонте 36 месяцев и даёт LTV/CAC = 14,4 при CAC Payback 1,4 месяца. Третье. Реинжиниринг по нотации BPMN вместе с контекстной моделью IDEF0 сокращает время полного цикла создания видеомэппинга с 1–4 месяцев до 23 минут и снижает себестоимость минимум в 4,3 раза; результат подтверждён апробацией на трёх пилотных проектах. Четвёртое. Структура целевого рынка РФ описана так: TAM — 71,4 млрд руб. (технический продакшн мероприятий), SAM — 7 млрд руб. (3D-мэппинг и мультимедиа-шоу), SOM — 110–250 млн руб. На этом рынке для стартапа Шакирова Р.З. открывается импортозамещающая ниша на фоне санкционных рисков Resolume и MadMapper. Пятое. Финансовая модель проекта при ставке дисконтирования 20% даёт NPV = 18,7 млн руб., IRR = 87% и дисконтированный срок окупаемости 28 месяцев при инвестициях 4,7 млн руб.; по критериям российского венчурного рынка это инвестиционно привлекательный проект [28, 30].</w:t>
      </w:r>
    </w:p>
    <w:p w14:paraId="16E69AA9">
      <w:pPr>
        <w:spacing w:before="0" w:after="0" w:line="360" w:lineRule="auto"/>
        <w:ind w:firstLine="708"/>
        <w:jc w:val="both"/>
      </w:pPr>
      <w:r>
        <w:rPr>
          <w:rFonts w:ascii="Times New Roman" w:hAnsi="Times New Roman" w:eastAsia="Times New Roman" w:cs="Times New Roman"/>
          <w:color w:val="000000"/>
          <w:sz w:val="28"/>
          <w:szCs w:val="28"/>
        </w:rPr>
        <w:t>Степень достоверности результатов. Я обеспечивал достоверность через несколько источников данных и параллельные методы проверки. Рыночные оценки я брал из отчётов не менее двух независимых аналитических агентств — Mordor Intelligence, Research and Markets, SkyQuest Technology — и сверял их с локальными оценками консалтинговой компании «Яков и Партнёры» и публикациями Adindex по российскому рекламному рынку [1, 2, 3, 6]. Финансовую модель я построил методом DCF по канону Брейли — Майерса — Аллена и Дамодарана; полученные NPV и IRR я проверил стресс-тестом Монте-Карло на 10 000 итерациях, медианное значение NPV отклоняется от базового сценария не более чем на 18,7% [27, 28, 31]. Юнит-экономику я считал по бенчмаркам Bessemer Venture Partners и KeyBanc Capital Markets, а ARPU, LTV и CAC соотносил с фактическими ценовыми точками, полученными методом Ван Вестендорпа в CustDev-интервью [18, 19]. Технологические показатели MVP — сокращение времени построения карты глубины с 60 до 13 минут и подготовки анимации с нескольких часов до 10 минут — зафиксированы в технической документации стартапа [5] и подтверждены апробацией в Музее истории СПбПУ и на фестивале «Страна Света 2024» при зрительском охвате 14 275 человек [4]. Нотации BPMN и IDEF0, которые я использовал в моделировании, соответствуют ГОСТ Р 50.1.028-2001 и опубликованной спецификации OMG BPMN 2.0 [36, 37].</w:t>
      </w:r>
    </w:p>
    <w:p w14:paraId="1AC2B0E8">
      <w:pPr>
        <w:spacing w:before="0" w:after="0" w:line="360" w:lineRule="auto"/>
        <w:ind w:firstLine="708"/>
        <w:jc w:val="both"/>
      </w:pPr>
      <w:r>
        <w:rPr>
          <w:rFonts w:ascii="Times New Roman" w:hAnsi="Times New Roman" w:eastAsia="Times New Roman" w:cs="Times New Roman"/>
          <w:color w:val="000000"/>
          <w:sz w:val="28"/>
          <w:szCs w:val="28"/>
        </w:rPr>
        <w:t>Апробация результатов работы. Результаты прошли апробацию в несколько этапов. В 2022 году проект получил поддержку Фонда содействия инновациям по программе «Студенческий стартап» — грант 1 000 000 руб.; за счёт этого я выполнил разработку MVP уровня TRL 3 [29]. В 2023 году проект победил во всероссийском конкурсе «Твой ХОД», в 2024 году вышел в финал фестиваля «Страна Света» с инсталляцией «Карелия» на Дворцовой площади Санкт-Петербурга; зрительский охват — 14 275 человек [4]. В 2025 году мы с командой стали победителями программы «Создай НАШЕ» Московского акселератора МСП. Технологическую часть я апробировал в Музее истории СПбПУ: ПО легло в основу постоянной мультимедиа-инсталляции «ТВН» с годовой посещаемостью около 6 000 зрителей; экспертная оценка работ составила 80 000 руб. [4, 5]. В 2026 году я подал заявку в Фонд содействия инновациям по программе «Старт» — для перехода на стадию TRL 6–8 [29]. Промежуточные результаты я обсуждал на научных семинарах факультета технологического менеджмента и инноваций Университета ИТМО под руководством преподавателя М.А. Покидько; в марте 2026 года я представил структуру бизнес-модели и расчёт юнит-экономики на инвестиционной защите бизнес-тезиса. Эти тезисы одобрили эксперты ПАО «Газпром нефть» (отдел импортозамещения IT-инфраструктуры) и партнёры компании Smart-Light.</w:t>
      </w:r>
    </w:p>
    <w:p w14:paraId="5BD784B8">
      <w:pPr>
        <w:spacing w:before="0" w:after="0" w:line="360" w:lineRule="auto"/>
        <w:ind w:firstLine="708"/>
        <w:jc w:val="both"/>
      </w:pPr>
      <w:r>
        <w:rPr>
          <w:rFonts w:ascii="Times New Roman" w:hAnsi="Times New Roman" w:eastAsia="Times New Roman" w:cs="Times New Roman"/>
          <w:bCs/>
          <w:color w:val="000000"/>
          <w:sz w:val="28"/>
          <w:szCs w:val="28"/>
        </w:rPr>
        <w:t xml:space="preserve">Структура работы. </w:t>
      </w:r>
      <w:r>
        <w:rPr>
          <w:rFonts w:ascii="Times New Roman" w:hAnsi="Times New Roman" w:eastAsia="Times New Roman" w:cs="Times New Roman"/>
          <w:color w:val="000000"/>
          <w:sz w:val="28"/>
          <w:szCs w:val="28"/>
        </w:rPr>
        <w:t>Работа состоит из введения, трёх глав, заключения и списка использованных источников. Глава 1 посвящена анализу рынка и бизнес-среды продукта. В главе 2 рассматриваются экономика производства и финансовая модель. Глава 3 содержит оценку эффективности и стратегию коммерциализации.</w:t>
      </w:r>
    </w:p>
    <w:p w14:paraId="58FE7286">
      <w:pPr>
        <w:spacing w:line="360" w:lineRule="auto"/>
        <w:ind w:firstLine="709"/>
        <w:jc w:val="both"/>
      </w:pPr>
    </w:p>
    <w:p w14:paraId="21D5728F">
      <w:r>
        <w:br w:type="page"/>
      </w:r>
    </w:p>
    <w:p w14:paraId="62F96BC7">
      <w:pPr>
        <w:pStyle w:val="2"/>
        <w:pageBreakBefore/>
        <w:spacing w:before="0" w:after="0" w:line="360" w:lineRule="auto"/>
        <w:jc w:val="both"/>
      </w:pPr>
      <w:bookmarkStart w:id="1" w:name="_Toc70947941"/>
      <w:r>
        <w:rPr>
          <w:rFonts w:ascii="Times New Roman" w:hAnsi="Times New Roman" w:eastAsia="Times New Roman" w:cs="Times New Roman"/>
          <w:b/>
          <w:color w:val="000000"/>
          <w:sz w:val="28"/>
          <w:szCs w:val="28"/>
        </w:rPr>
        <w:t>1 АНАЛИЗ РЫНКА, ПРОБЛЕМАТИКИ И БИЗНЕС-МОДЕЛИ</w:t>
      </w:r>
      <w:bookmarkEnd w:id="1"/>
    </w:p>
    <w:p w14:paraId="799AD073">
      <w:pPr>
        <w:spacing w:before="0" w:after="0" w:line="360" w:lineRule="auto"/>
        <w:ind w:firstLine="708"/>
        <w:jc w:val="both"/>
      </w:pPr>
      <w:r>
        <w:rPr>
          <w:rFonts w:ascii="Times New Roman" w:hAnsi="Times New Roman" w:eastAsia="Times New Roman" w:cs="Times New Roman"/>
          <w:color w:val="000000"/>
          <w:sz w:val="28"/>
          <w:szCs w:val="28"/>
        </w:rPr>
        <w:t>В этой главе я собираю аналитический фундамент работы. Сначала оцениваю глобальный и российский рынки видеомэппинга и креативных технологий, считаю TAM/SAM/SOM. Затем разбираю программный ландшафт — Resolume Arena, MadMapper, TouchDesigner, Blender, HeavyM — и нахожу пробелы, которые остаются после ухода зарубежных вендоров. Далее формализую процесс создания видеомэппинга в BPMN as-is и в контекстной диаграмме IDEF0, выделяю узкие места и описываю реинжиниринг через BPMN to-be. В завершение я провожу CustDev-исследование четырёх сегментов целевой аудитории и собираю девять блоков бизнес-модели в Business Model Canvas стартапа «Эксперимент 619».</w:t>
      </w:r>
    </w:p>
    <w:p w14:paraId="15A88E35">
      <w:pPr>
        <w:pStyle w:val="3"/>
        <w:spacing w:before="0" w:after="0" w:line="360" w:lineRule="auto"/>
        <w:ind w:firstLine="708"/>
        <w:jc w:val="both"/>
      </w:pPr>
      <w:bookmarkStart w:id="2" w:name="_Toc568620302"/>
      <w:r>
        <w:rPr>
          <w:rFonts w:ascii="Times New Roman" w:hAnsi="Times New Roman" w:eastAsia="Times New Roman" w:cs="Times New Roman"/>
          <w:b/>
          <w:color w:val="000000"/>
          <w:sz w:val="28"/>
          <w:szCs w:val="28"/>
        </w:rPr>
        <w:t>1.1 Анализ рынка видеомэппинга и креативных технологий в РФ</w:t>
      </w:r>
      <w:bookmarkEnd w:id="2"/>
    </w:p>
    <w:p w14:paraId="7E6443B8">
      <w:pPr>
        <w:spacing w:before="0" w:after="0" w:line="360" w:lineRule="auto"/>
        <w:ind w:firstLine="708"/>
        <w:jc w:val="both"/>
      </w:pPr>
      <w:r>
        <w:rPr>
          <w:rFonts w:ascii="Times New Roman" w:hAnsi="Times New Roman" w:eastAsia="Times New Roman" w:cs="Times New Roman"/>
          <w:color w:val="000000"/>
          <w:sz w:val="28"/>
          <w:szCs w:val="28"/>
        </w:rPr>
        <w:t>Видеомэппинг (projection mapping, 3D mapping) — это направление медиаискусства: визуальный контент проецируется на физические объекты сложной формы с учётом их геометрии. Технология применяется в самых разных отраслях — ивент-индустрии, музейном деле, рекламе, образовании, городском благоустройстве, корпоративных коммуникациях и индустрии развлечений [1].</w:t>
      </w:r>
    </w:p>
    <w:p w14:paraId="6786DA16">
      <w:pPr>
        <w:spacing w:before="0" w:after="0" w:line="360" w:lineRule="auto"/>
        <w:ind w:firstLine="708"/>
        <w:jc w:val="both"/>
      </w:pPr>
      <w:r>
        <w:rPr>
          <w:rFonts w:ascii="Times New Roman" w:hAnsi="Times New Roman" w:eastAsia="Times New Roman" w:cs="Times New Roman"/>
          <w:color w:val="000000"/>
          <w:sz w:val="28"/>
          <w:szCs w:val="28"/>
        </w:rPr>
        <w:t>Глобальный рынок проекционного мэппинга устойчиво растёт. Аналитическое агентство Mordor Intelligence оценивает его объём в 2025 году в 6,66 млрд долларов США с прогнозом роста до 17,82 млрд долларов к 2030 году при CAGR 21,72% [1]. Похожие оценки дают Research and Markets и SkyQuest Technology: в 2024 году рынок составил от 4,0 до 4,6 млрд долларов, прогнозируемый CAGR — 19–23% [2, 6]. Самый быстрорастущий сегмент — программное обеспечение для мэппинга: CAGR софтверного направления превышает 30%. Это связано с переходом индустрии к облачным и SaaS-решениям [1].</w:t>
      </w:r>
    </w:p>
    <w:p w14:paraId="3B695BBA">
      <w:pPr>
        <w:spacing w:before="0" w:after="0" w:line="360" w:lineRule="auto"/>
        <w:ind w:firstLine="708"/>
        <w:jc w:val="both"/>
      </w:pPr>
      <w:r>
        <w:rPr>
          <w:rFonts w:ascii="Times New Roman" w:hAnsi="Times New Roman" w:eastAsia="Times New Roman" w:cs="Times New Roman"/>
          <w:color w:val="000000"/>
          <w:sz w:val="28"/>
          <w:szCs w:val="28"/>
        </w:rPr>
        <w:t>Глобальный рынок подталкивают к росту несколько факторов: развитие лазерных проекторов и медиасерверов; внедрение ИИ в процессы создания контента — автоматическая UV-развёртка, генерация текстур, оптимизация сшивки проекций; распространение технологии в тематических парках, на спортивных аренах и в ритейле; растущий спрос на иммерсивные форматы в рекламе и маркетинге [1, 2].</w:t>
      </w:r>
    </w:p>
    <w:p w14:paraId="53F0D153">
      <w:pPr>
        <w:spacing w:before="0" w:after="0" w:line="360" w:lineRule="auto"/>
        <w:ind w:firstLine="708"/>
        <w:jc w:val="both"/>
      </w:pPr>
      <w:r>
        <w:rPr>
          <w:rFonts w:ascii="Times New Roman" w:hAnsi="Times New Roman" w:eastAsia="Times New Roman" w:cs="Times New Roman"/>
          <w:color w:val="000000"/>
          <w:sz w:val="28"/>
          <w:szCs w:val="28"/>
        </w:rPr>
        <w:t>В России рынок видеомэппинга — часть более широкого сегмента ивент-технологий и креативных индустрий. Консалтинговая компания «Яков и Партнёры» оценивает российский рынок ивент-технологий в 120 млрд руб. при ежегодном росте 8–10% [3]. Эксперты отводят сегменту видеомэппинга порядка 7–8% данного рынка, что соответствует приблизительно 8–10 млрд руб. в 2024–2025 годах [3, 4].</w:t>
      </w:r>
    </w:p>
    <w:p w14:paraId="589B466D">
      <w:pPr>
        <w:spacing w:before="0" w:after="0" w:line="360" w:lineRule="auto"/>
        <w:ind w:firstLine="708"/>
        <w:jc w:val="both"/>
      </w:pPr>
      <w:r>
        <w:rPr>
          <w:rFonts w:ascii="Times New Roman" w:hAnsi="Times New Roman" w:eastAsia="Times New Roman" w:cs="Times New Roman"/>
          <w:color w:val="000000"/>
          <w:sz w:val="28"/>
          <w:szCs w:val="28"/>
        </w:rPr>
        <w:t>У российского рынка видеомэппинга свои драйверы. Во-первых, спрос на иммерсивные форматы в музеях, торговых центрах, на городских фестивалях и в корпоративных мероприятиях. Во-вторых, государственная поддержка креативных индустрий — национальный проект «Культура», гранты Фонда содействия инновациям, программа «Студенческий стартап». В-третьих, цифровизация образования и корпоративного обучения, где видеомэппинг становится инструментом визуализации учебного контента [3, 7].</w:t>
      </w:r>
    </w:p>
    <w:p w14:paraId="57E9A54E">
      <w:pPr>
        <w:spacing w:before="0" w:after="0" w:line="360" w:lineRule="auto"/>
        <w:ind w:firstLine="708"/>
        <w:jc w:val="both"/>
      </w:pPr>
      <w:r>
        <w:rPr>
          <w:rFonts w:ascii="Times New Roman" w:hAnsi="Times New Roman" w:eastAsia="Times New Roman" w:cs="Times New Roman"/>
          <w:color w:val="000000"/>
          <w:sz w:val="28"/>
          <w:szCs w:val="28"/>
        </w:rPr>
        <w:t>Развитию рынка мешают три серьёзных барьера. Первый — высокая стоимость производства контента: от 2 млн до 300 млн руб. в год в зависимости от объёма проектов. Второй — дефицит квалифицированных кадров: 3D-моделлеров, аниматоров, технических специалистов по настройке проекций. Третий — длительные сроки реализации проектов: от 3 дней до 3 месяцев в зависимости от масштаба [4, 5]. У рынка есть значительный потенциал роста, но операционные неэффективности удерживают его развитие. Именно на их устранение и нацелено разрабатываемое программное обеспечение.</w:t>
      </w:r>
    </w:p>
    <w:p w14:paraId="397775C8">
      <w:pPr>
        <w:pStyle w:val="3"/>
        <w:spacing w:before="0" w:after="0" w:line="360" w:lineRule="auto"/>
        <w:ind w:firstLine="708"/>
        <w:jc w:val="both"/>
      </w:pPr>
      <w:bookmarkStart w:id="3" w:name="_Toc499186564"/>
      <w:r>
        <w:rPr>
          <w:rFonts w:ascii="Times New Roman" w:hAnsi="Times New Roman" w:eastAsia="Times New Roman" w:cs="Times New Roman"/>
          <w:b/>
          <w:color w:val="000000"/>
          <w:sz w:val="28"/>
          <w:szCs w:val="28"/>
        </w:rPr>
        <w:t>1.2 Обзор существующих программных решений и их ограничений</w:t>
      </w:r>
      <w:bookmarkEnd w:id="3"/>
    </w:p>
    <w:p w14:paraId="003600D2">
      <w:pPr>
        <w:spacing w:before="0" w:after="0" w:line="360" w:lineRule="auto"/>
        <w:ind w:firstLine="708"/>
        <w:jc w:val="both"/>
      </w:pPr>
      <w:r>
        <w:rPr>
          <w:rFonts w:ascii="Times New Roman" w:hAnsi="Times New Roman" w:eastAsia="Times New Roman" w:cs="Times New Roman"/>
          <w:color w:val="000000"/>
          <w:sz w:val="28"/>
          <w:szCs w:val="28"/>
        </w:rPr>
        <w:t>На рынке инструментов для создания видеомэппинга есть и профессиональные, и полупрофессиональные решения. Чтобы объективно оценить конкурентный ландшафт, я провёл сравнительный анализ пяти наиболее распространённых программных продуктов: использовал данные открытых источников, документацию разработчиков и материалы экспертных интервью с представителями студий видеомэппинга [4, 8, 9, 10]. Результаты сведены в таблицу 1.1.</w:t>
      </w:r>
    </w:p>
    <w:p w14:paraId="6E59B413">
      <w:pPr>
        <w:spacing w:before="0" w:after="0" w:line="360" w:lineRule="auto"/>
        <w:jc w:val="left"/>
        <w:rPr>
          <w:i w:val="0"/>
          <w:iCs w:val="0"/>
        </w:rPr>
      </w:pPr>
      <w:r>
        <w:rPr>
          <w:rFonts w:ascii="Times New Roman" w:hAnsi="Times New Roman" w:eastAsia="Times New Roman" w:cs="Times New Roman"/>
          <w:i w:val="0"/>
          <w:iCs w:val="0"/>
          <w:color w:val="000000"/>
          <w:sz w:val="28"/>
          <w:szCs w:val="28"/>
        </w:rPr>
        <w:t>Таблица 1.1 — Сравнительный анализ ПО для видеомэппинга</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13"/>
        <w:gridCol w:w="4013"/>
      </w:tblGrid>
      <w:tr w14:paraId="191DAB9A">
        <w:tc>
          <w:tcPr>
            <w:tcW w:w="20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025E3CE2">
            <w:pPr>
              <w:spacing w:before="0" w:after="0" w:line="240" w:lineRule="auto"/>
              <w:jc w:val="center"/>
              <w:rPr>
                <w:color w:val="auto"/>
              </w:rPr>
            </w:pPr>
            <w:r>
              <w:rPr>
                <w:rFonts w:ascii="Times New Roman" w:hAnsi="Times New Roman" w:eastAsia="Times New Roman" w:cs="Times New Roman"/>
                <w:bCs/>
                <w:color w:val="auto"/>
                <w:sz w:val="28"/>
                <w:szCs w:val="24"/>
              </w:rPr>
              <w:t>Решение</w:t>
            </w:r>
          </w:p>
        </w:tc>
        <w:tc>
          <w:tcPr>
            <w:tcW w:w="3013"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745266DE">
            <w:pPr>
              <w:spacing w:before="0" w:after="0" w:line="240" w:lineRule="auto"/>
              <w:jc w:val="center"/>
              <w:rPr>
                <w:color w:val="auto"/>
              </w:rPr>
            </w:pPr>
            <w:r>
              <w:rPr>
                <w:rFonts w:ascii="Times New Roman" w:hAnsi="Times New Roman" w:eastAsia="Times New Roman" w:cs="Times New Roman"/>
                <w:bCs/>
                <w:color w:val="auto"/>
                <w:sz w:val="28"/>
                <w:szCs w:val="24"/>
              </w:rPr>
              <w:t>Основное назначение</w:t>
            </w:r>
          </w:p>
        </w:tc>
        <w:tc>
          <w:tcPr>
            <w:tcW w:w="4013"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18413868">
            <w:pPr>
              <w:spacing w:before="0" w:after="0" w:line="240" w:lineRule="auto"/>
              <w:jc w:val="center"/>
              <w:rPr>
                <w:color w:val="auto"/>
              </w:rPr>
            </w:pPr>
            <w:r>
              <w:rPr>
                <w:rFonts w:ascii="Times New Roman" w:hAnsi="Times New Roman" w:eastAsia="Times New Roman" w:cs="Times New Roman"/>
                <w:bCs/>
                <w:color w:val="auto"/>
                <w:sz w:val="28"/>
                <w:szCs w:val="24"/>
              </w:rPr>
              <w:t>Ограничения с позиции бизнес-анализа</w:t>
            </w:r>
          </w:p>
        </w:tc>
      </w:tr>
      <w:tr w14:paraId="195A9CA8">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24CE0CE">
            <w:pPr>
              <w:spacing w:before="0" w:after="0" w:line="240" w:lineRule="auto"/>
            </w:pPr>
            <w:r>
              <w:rPr>
                <w:rFonts w:ascii="Times New Roman" w:hAnsi="Times New Roman" w:eastAsia="Times New Roman" w:cs="Times New Roman"/>
                <w:color w:val="000000"/>
                <w:sz w:val="28"/>
                <w:szCs w:val="24"/>
              </w:rPr>
              <w:t>MadMapper</w:t>
            </w:r>
          </w:p>
        </w:tc>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A58F89A">
            <w:pPr>
              <w:spacing w:before="0" w:after="0" w:line="240" w:lineRule="auto"/>
            </w:pPr>
            <w:r>
              <w:rPr>
                <w:rFonts w:ascii="Times New Roman" w:hAnsi="Times New Roman" w:eastAsia="Times New Roman" w:cs="Times New Roman"/>
                <w:color w:val="000000"/>
                <w:sz w:val="28"/>
                <w:szCs w:val="24"/>
              </w:rPr>
              <w:t>Проекция на нестандартные поверхности</w:t>
            </w:r>
          </w:p>
        </w:tc>
        <w:tc>
          <w:tcPr>
            <w:tcW w:w="4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2462DDF">
            <w:pPr>
              <w:spacing w:before="0" w:after="0" w:line="240" w:lineRule="auto"/>
            </w:pPr>
            <w:r>
              <w:rPr>
                <w:rFonts w:ascii="Times New Roman" w:hAnsi="Times New Roman" w:eastAsia="Times New Roman" w:cs="Times New Roman"/>
                <w:color w:val="000000"/>
                <w:sz w:val="28"/>
                <w:szCs w:val="24"/>
              </w:rPr>
              <w:t>Ручная настройка каждой проекции; отсутствие автоматической адаптации под геометрию объекта</w:t>
            </w:r>
          </w:p>
        </w:tc>
      </w:tr>
      <w:tr w14:paraId="77046DC4">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43887F0">
            <w:pPr>
              <w:spacing w:before="0" w:after="0" w:line="240" w:lineRule="auto"/>
            </w:pPr>
            <w:r>
              <w:rPr>
                <w:rFonts w:ascii="Times New Roman" w:hAnsi="Times New Roman" w:eastAsia="Times New Roman" w:cs="Times New Roman"/>
                <w:color w:val="000000"/>
                <w:sz w:val="28"/>
                <w:szCs w:val="24"/>
              </w:rPr>
              <w:t>Resolume Arena</w:t>
            </w:r>
          </w:p>
        </w:tc>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7C3D0CA">
            <w:pPr>
              <w:spacing w:before="0" w:after="0" w:line="240" w:lineRule="auto"/>
            </w:pPr>
            <w:r>
              <w:rPr>
                <w:rFonts w:ascii="Times New Roman" w:hAnsi="Times New Roman" w:eastAsia="Times New Roman" w:cs="Times New Roman"/>
                <w:color w:val="000000"/>
                <w:sz w:val="28"/>
                <w:szCs w:val="24"/>
              </w:rPr>
              <w:t>Live-видео, VJ-перформансы</w:t>
            </w:r>
          </w:p>
        </w:tc>
        <w:tc>
          <w:tcPr>
            <w:tcW w:w="4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E2D9D9D">
            <w:pPr>
              <w:spacing w:before="0" w:after="0" w:line="240" w:lineRule="auto"/>
            </w:pPr>
            <w:r>
              <w:rPr>
                <w:rFonts w:ascii="Times New Roman" w:hAnsi="Times New Roman" w:eastAsia="Times New Roman" w:cs="Times New Roman"/>
                <w:color w:val="000000"/>
                <w:sz w:val="28"/>
                <w:szCs w:val="24"/>
              </w:rPr>
              <w:t>Высокий порог входа; требуется отдельный 3D-моделлер для подготовки контента</w:t>
            </w:r>
          </w:p>
        </w:tc>
      </w:tr>
      <w:tr w14:paraId="72C35169">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FF40151">
            <w:pPr>
              <w:spacing w:before="0" w:after="0" w:line="240" w:lineRule="auto"/>
            </w:pPr>
            <w:r>
              <w:rPr>
                <w:rFonts w:ascii="Times New Roman" w:hAnsi="Times New Roman" w:eastAsia="Times New Roman" w:cs="Times New Roman"/>
                <w:color w:val="000000"/>
                <w:sz w:val="28"/>
                <w:szCs w:val="24"/>
              </w:rPr>
              <w:t>TouchDesigner</w:t>
            </w:r>
          </w:p>
        </w:tc>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EE39036">
            <w:pPr>
              <w:spacing w:before="0" w:after="0" w:line="240" w:lineRule="auto"/>
            </w:pPr>
            <w:r>
              <w:rPr>
                <w:rFonts w:ascii="Times New Roman" w:hAnsi="Times New Roman" w:eastAsia="Times New Roman" w:cs="Times New Roman"/>
                <w:color w:val="000000"/>
                <w:sz w:val="28"/>
                <w:szCs w:val="24"/>
              </w:rPr>
              <w:t>Интерактивный мэппинг, генеративное искусство</w:t>
            </w:r>
          </w:p>
        </w:tc>
        <w:tc>
          <w:tcPr>
            <w:tcW w:w="4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B205757">
            <w:pPr>
              <w:spacing w:before="0" w:after="0" w:line="240" w:lineRule="auto"/>
            </w:pPr>
            <w:r>
              <w:rPr>
                <w:rFonts w:ascii="Times New Roman" w:hAnsi="Times New Roman" w:eastAsia="Times New Roman" w:cs="Times New Roman"/>
                <w:color w:val="000000"/>
                <w:sz w:val="28"/>
                <w:szCs w:val="24"/>
              </w:rPr>
              <w:t>Сложная среда визуального программирования; необходим разработчик-специалист</w:t>
            </w:r>
          </w:p>
        </w:tc>
      </w:tr>
      <w:tr w14:paraId="0FBB34E5">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A171ACF">
            <w:pPr>
              <w:spacing w:before="0" w:after="0" w:line="240" w:lineRule="auto"/>
            </w:pPr>
            <w:r>
              <w:rPr>
                <w:rFonts w:ascii="Times New Roman" w:hAnsi="Times New Roman" w:eastAsia="Times New Roman" w:cs="Times New Roman"/>
                <w:color w:val="000000"/>
                <w:sz w:val="28"/>
                <w:szCs w:val="24"/>
              </w:rPr>
              <w:t>Blender + плагины</w:t>
            </w:r>
          </w:p>
        </w:tc>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36C662A">
            <w:pPr>
              <w:spacing w:before="0" w:after="0" w:line="240" w:lineRule="auto"/>
            </w:pPr>
            <w:r>
              <w:rPr>
                <w:rFonts w:ascii="Times New Roman" w:hAnsi="Times New Roman" w:eastAsia="Times New Roman" w:cs="Times New Roman"/>
                <w:color w:val="000000"/>
                <w:sz w:val="28"/>
                <w:szCs w:val="24"/>
              </w:rPr>
              <w:t>3D-моделирование и рендеринг</w:t>
            </w:r>
          </w:p>
        </w:tc>
        <w:tc>
          <w:tcPr>
            <w:tcW w:w="4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09859D6">
            <w:pPr>
              <w:spacing w:before="0" w:after="0" w:line="240" w:lineRule="auto"/>
            </w:pPr>
            <w:r>
              <w:rPr>
                <w:rFonts w:ascii="Times New Roman" w:hAnsi="Times New Roman" w:eastAsia="Times New Roman" w:cs="Times New Roman"/>
                <w:color w:val="000000"/>
                <w:sz w:val="28"/>
                <w:szCs w:val="24"/>
              </w:rPr>
              <w:t>Монолитный процесс; отсутствие оптимизации под реальное время проецирования</w:t>
            </w:r>
          </w:p>
        </w:tc>
      </w:tr>
      <w:tr w14:paraId="1A4CBDC8">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BE8F9FA">
            <w:pPr>
              <w:spacing w:before="0" w:after="0" w:line="240" w:lineRule="auto"/>
            </w:pPr>
            <w:r>
              <w:rPr>
                <w:rFonts w:ascii="Times New Roman" w:hAnsi="Times New Roman" w:eastAsia="Times New Roman" w:cs="Times New Roman"/>
                <w:color w:val="000000"/>
                <w:sz w:val="28"/>
                <w:szCs w:val="24"/>
              </w:rPr>
              <w:t>HeavyM</w:t>
            </w:r>
          </w:p>
        </w:tc>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3CABBEB">
            <w:pPr>
              <w:spacing w:before="0" w:after="0" w:line="240" w:lineRule="auto"/>
            </w:pPr>
            <w:r>
              <w:rPr>
                <w:rFonts w:ascii="Times New Roman" w:hAnsi="Times New Roman" w:eastAsia="Times New Roman" w:cs="Times New Roman"/>
                <w:color w:val="000000"/>
                <w:sz w:val="28"/>
                <w:szCs w:val="24"/>
              </w:rPr>
              <w:t>Быстрый старт для художников и дизайнеров</w:t>
            </w:r>
          </w:p>
        </w:tc>
        <w:tc>
          <w:tcPr>
            <w:tcW w:w="4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39806E1">
            <w:pPr>
              <w:spacing w:before="0" w:after="0" w:line="240" w:lineRule="auto"/>
            </w:pPr>
            <w:r>
              <w:rPr>
                <w:rFonts w:ascii="Times New Roman" w:hAnsi="Times New Roman" w:eastAsia="Times New Roman" w:cs="Times New Roman"/>
                <w:color w:val="000000"/>
                <w:sz w:val="28"/>
                <w:szCs w:val="24"/>
              </w:rPr>
              <w:t>Ограниченная глубина настройки 3D-сцен; отсутствие нейросетевых инструментов</w:t>
            </w:r>
          </w:p>
        </w:tc>
      </w:tr>
    </w:tbl>
    <w:p w14:paraId="0D19658B">
      <w:pPr>
        <w:keepNext w:val="0"/>
        <w:keepLines w:val="0"/>
        <w:pageBreakBefore w:val="0"/>
        <w:widowControl/>
        <w:kinsoku/>
        <w:wordWrap/>
        <w:overflowPunct/>
        <w:topLinePunct w:val="0"/>
        <w:autoSpaceDE/>
        <w:autoSpaceDN/>
        <w:bidi w:val="0"/>
        <w:adjustRightInd/>
        <w:snapToGrid/>
        <w:spacing w:before="0" w:after="0" w:line="360" w:lineRule="auto"/>
        <w:textAlignment w:val="auto"/>
      </w:pPr>
    </w:p>
    <w:p w14:paraId="22594EB4">
      <w:pPr>
        <w:keepNext w:val="0"/>
        <w:keepLines w:val="0"/>
        <w:pageBreakBefore w:val="0"/>
        <w:widowControl/>
        <w:kinsoku/>
        <w:wordWrap/>
        <w:overflowPunct/>
        <w:topLinePunct w:val="0"/>
        <w:autoSpaceDE/>
        <w:autoSpaceDN/>
        <w:bidi w:val="0"/>
        <w:adjustRightInd/>
        <w:snapToGrid/>
        <w:spacing w:before="0" w:after="0" w:line="360" w:lineRule="auto"/>
        <w:ind w:firstLine="708"/>
        <w:jc w:val="both"/>
        <w:textAlignment w:val="auto"/>
      </w:pPr>
      <w:r>
        <w:rPr>
          <w:rFonts w:ascii="Times New Roman" w:hAnsi="Times New Roman" w:eastAsia="Times New Roman" w:cs="Times New Roman"/>
          <w:color w:val="000000"/>
          <w:sz w:val="28"/>
          <w:szCs w:val="28"/>
        </w:rPr>
        <w:t>Анализ выявил четыре общих ограничения существующих решений. Первое: все рассмотренные продукты требуют ручной настройки проекции под каждый конкретный объект — ни одно из решений не строит 3D-модель или карту глубины автоматически по фотографии. Второе: ни в одном из них нет встроенных ИИ-инструментов для генерации глубины и анимационных эффектов. Третье: высока совокупная стоимость владения (TCO). Помимо стоимости лицензий (суммарные затраты на подписки превышают 400 тыс. руб. в год), приходится тратиться на обучение персонала и оплату труда нескольких специалистов разного профиля. Четвёртое: существующие решения не интегрированы между собой. Контент создают в одних программах, а проекцию настраивают в других — отсюда многочисленные конвертации данных и потери времени [4, 8, 9, 10].</w:t>
      </w:r>
    </w:p>
    <w:p w14:paraId="1BCE3199">
      <w:pPr>
        <w:spacing w:before="0" w:after="0" w:line="360" w:lineRule="auto"/>
        <w:ind w:firstLine="708"/>
        <w:jc w:val="both"/>
      </w:pPr>
      <w:r>
        <w:rPr>
          <w:rFonts w:ascii="Times New Roman" w:hAnsi="Times New Roman" w:eastAsia="Times New Roman" w:cs="Times New Roman"/>
          <w:color w:val="000000"/>
          <w:sz w:val="28"/>
          <w:szCs w:val="28"/>
        </w:rPr>
        <w:t>На конкурентный ландшафт ПО для видеомэппинга существенное влияние оказывает санкционный фон 2022–2025 годов. Resolume Arena и MadMapper — оба продукта реализованы зарубежными разработчиками (Resolume B.V., Нидерланды, и GarageCUBE SA, Швейцария) — после 2022 года ограничили продажи и техническую поддержку для российских юридических лиц, а оплата лицензий с российских карт фактически перестала проходить через официальные каналы; на это указывают данные открытых источников и материалы экспертных интервью с участниками рынка [4, 8, 9]. На фоне этой ситуации Adindex зафиксировал рост рекламного рынка РФ в 2024 году на 28% по итогам Q1–Q2, а доля наружной рекламы и видео-сегмента осталась на уровне 38% и 30% соответственно, что прямо увеличивает спрос на инструменты создания иммерсивного видеоконтента [39]. Совокупный эффект этих факторов формирует устойчивую импортозамещающую нишу для отечественного ПО, при этом включение продукта в Единый реестр российских программ для ЭВМ Минцифры (постановление Правительства РФ № 1236 от 16.11.2015) открывает приоритетный доступ к государственным и муниципальным закупкам, что особенно значимо для сегмента B2G — музеев, выставочных и образовательных центров [40]. Таким образом, выделенная мной по итогам сравнительного анализа ниша имеет не только продуктовое (отсутствие автоматизации этапа карты глубины), но и регуляторное измерение: «Эксперимент 619» претендует на место отечественного аналога Resolume и MadMapper с одновременным расширением функциональности за счёт нейросетевой генерации контента.</w:t>
      </w:r>
    </w:p>
    <w:p w14:paraId="572D14A0">
      <w:pPr>
        <w:spacing w:before="0" w:after="0" w:line="360" w:lineRule="auto"/>
        <w:ind w:firstLine="708"/>
        <w:jc w:val="both"/>
      </w:pPr>
      <w:r>
        <w:rPr>
          <w:rFonts w:ascii="Times New Roman" w:hAnsi="Times New Roman" w:eastAsia="Times New Roman" w:cs="Times New Roman"/>
          <w:color w:val="000000"/>
          <w:sz w:val="28"/>
          <w:szCs w:val="28"/>
        </w:rPr>
        <w:t>Эти ограничения формируют рыночную нишу — для решения, которое автоматизирует ключевые этапы и снижает зависимость от дорогих специалистов.</w:t>
      </w:r>
    </w:p>
    <w:p w14:paraId="777D11AB">
      <w:pPr>
        <w:pStyle w:val="3"/>
        <w:spacing w:before="0" w:after="0" w:line="360" w:lineRule="auto"/>
        <w:ind w:firstLine="708"/>
        <w:jc w:val="both"/>
      </w:pPr>
      <w:bookmarkStart w:id="4" w:name="_Toc1757455966"/>
      <w:r>
        <w:rPr>
          <w:rFonts w:ascii="Times New Roman" w:hAnsi="Times New Roman" w:eastAsia="Times New Roman" w:cs="Times New Roman"/>
          <w:b/>
          <w:color w:val="000000"/>
          <w:sz w:val="28"/>
          <w:szCs w:val="28"/>
        </w:rPr>
        <w:t>1.3 Проблематика процесса создания видеомэппинга</w:t>
      </w:r>
      <w:bookmarkEnd w:id="4"/>
    </w:p>
    <w:p w14:paraId="141BBB45">
      <w:pPr>
        <w:spacing w:before="0" w:after="0" w:line="360" w:lineRule="auto"/>
        <w:ind w:firstLine="708"/>
        <w:jc w:val="both"/>
      </w:pPr>
      <w:r>
        <w:rPr>
          <w:rFonts w:ascii="Times New Roman" w:hAnsi="Times New Roman" w:eastAsia="Times New Roman" w:cs="Times New Roman"/>
          <w:color w:val="000000"/>
          <w:sz w:val="28"/>
          <w:szCs w:val="28"/>
        </w:rPr>
        <w:t>Чтобы формализовать проблемное поле и найти «узкие места» процесса создания видеомэппинга, я применил методологию BPMN (Business Process Model and Notation). Построил диаграмму as-is — она показывает текущее состояние процесса при работе с традиционными инструментами [11, 12].</w:t>
      </w:r>
    </w:p>
    <w:p w14:paraId="06EBFA25">
      <w:pPr>
        <w:spacing w:before="0" w:after="0" w:line="360" w:lineRule="auto"/>
        <w:ind w:firstLine="708"/>
        <w:jc w:val="both"/>
      </w:pPr>
      <w:r>
        <w:rPr>
          <w:rFonts w:ascii="Times New Roman" w:hAnsi="Times New Roman" w:eastAsia="Times New Roman" w:cs="Times New Roman"/>
          <w:bCs/>
          <w:color w:val="000000"/>
          <w:sz w:val="28"/>
          <w:szCs w:val="28"/>
        </w:rPr>
        <w:t xml:space="preserve">BPMN-диаграмма as-is (рисунок 1.1) </w:t>
      </w:r>
      <w:r>
        <w:rPr>
          <w:rFonts w:ascii="Times New Roman" w:hAnsi="Times New Roman" w:eastAsia="Times New Roman" w:cs="Times New Roman"/>
          <w:color w:val="000000"/>
          <w:sz w:val="28"/>
          <w:szCs w:val="28"/>
        </w:rPr>
        <w:t>описывает процесс создания видеомэппинга с участием четырёх ключевых ролей (пулов): Заказчик, Менеджер проекта, 3D-моделлер/аниматор, Техник проекции. Процесс включает следующие основные этапы:</w:t>
      </w:r>
    </w:p>
    <w:p w14:paraId="25E81A23">
      <w:pPr>
        <w:spacing w:before="0" w:after="0" w:line="360" w:lineRule="auto"/>
        <w:ind w:firstLine="708"/>
        <w:jc w:val="both"/>
      </w:pPr>
      <w:r>
        <w:rPr>
          <w:rFonts w:ascii="Times New Roman" w:hAnsi="Times New Roman" w:eastAsia="Times New Roman" w:cs="Times New Roman"/>
          <w:color w:val="000000"/>
          <w:sz w:val="28"/>
          <w:szCs w:val="28"/>
        </w:rPr>
        <w:t>1) получение технического задания от заказчика и его декомпозиция менеджером проекта;</w:t>
      </w:r>
    </w:p>
    <w:p w14:paraId="543F6923">
      <w:pPr>
        <w:spacing w:before="0" w:after="0" w:line="360" w:lineRule="auto"/>
        <w:ind w:firstLine="708"/>
        <w:jc w:val="both"/>
      </w:pPr>
      <w:r>
        <w:rPr>
          <w:rFonts w:ascii="Times New Roman" w:hAnsi="Times New Roman" w:eastAsia="Times New Roman" w:cs="Times New Roman"/>
          <w:color w:val="000000"/>
          <w:sz w:val="28"/>
          <w:szCs w:val="28"/>
        </w:rPr>
        <w:t>2) фотофиксация объекта и передача данных 3D-моделлеру;</w:t>
      </w:r>
    </w:p>
    <w:p w14:paraId="1FB134F0">
      <w:pPr>
        <w:spacing w:before="0" w:after="0" w:line="360" w:lineRule="auto"/>
        <w:ind w:firstLine="708"/>
        <w:jc w:val="both"/>
      </w:pPr>
      <w:r>
        <w:rPr>
          <w:rFonts w:ascii="Times New Roman" w:hAnsi="Times New Roman" w:eastAsia="Times New Roman" w:cs="Times New Roman"/>
          <w:color w:val="000000"/>
          <w:sz w:val="28"/>
          <w:szCs w:val="28"/>
        </w:rPr>
        <w:t>3) ручное создание 3D-модели объекта в Blender или аналогичном ПО (трудоёмкость: 60+ минут на один объект);</w:t>
      </w:r>
    </w:p>
    <w:p w14:paraId="6C48B121">
      <w:pPr>
        <w:spacing w:before="0" w:after="0" w:line="360" w:lineRule="auto"/>
        <w:ind w:firstLine="708"/>
        <w:jc w:val="both"/>
      </w:pPr>
      <w:r>
        <w:rPr>
          <w:rFonts w:ascii="Times New Roman" w:hAnsi="Times New Roman" w:eastAsia="Times New Roman" w:cs="Times New Roman"/>
          <w:color w:val="000000"/>
          <w:sz w:val="28"/>
          <w:szCs w:val="28"/>
        </w:rPr>
        <w:t>4) разработка анимационных эффектов аниматором (трудоёмкость: от нескольких часов);</w:t>
      </w:r>
    </w:p>
    <w:p w14:paraId="3BC025F1">
      <w:pPr>
        <w:spacing w:before="0" w:after="0" w:line="360" w:lineRule="auto"/>
        <w:ind w:firstLine="708"/>
        <w:jc w:val="both"/>
      </w:pPr>
      <w:r>
        <w:rPr>
          <w:rFonts w:ascii="Times New Roman" w:hAnsi="Times New Roman" w:eastAsia="Times New Roman" w:cs="Times New Roman"/>
          <w:color w:val="000000"/>
          <w:sz w:val="28"/>
          <w:szCs w:val="28"/>
        </w:rPr>
        <w:t>5) экспорт контента и настройка проекции техником в MadMapper/Resolume;</w:t>
      </w:r>
    </w:p>
    <w:p w14:paraId="557C5834">
      <w:pPr>
        <w:spacing w:before="0" w:after="0" w:line="360" w:lineRule="auto"/>
        <w:ind w:firstLine="708"/>
        <w:jc w:val="both"/>
      </w:pPr>
      <w:r>
        <w:rPr>
          <w:rFonts w:ascii="Times New Roman" w:hAnsi="Times New Roman" w:eastAsia="Times New Roman" w:cs="Times New Roman"/>
          <w:color w:val="000000"/>
          <w:sz w:val="28"/>
          <w:szCs w:val="28"/>
        </w:rPr>
        <w:t>6) многократные итерации согласования с заказчиком.</w:t>
      </w:r>
    </w:p>
    <w:p w14:paraId="1F1EADEA">
      <w:pPr>
        <w:spacing w:before="0" w:after="0" w:line="360" w:lineRule="auto"/>
        <w:ind w:firstLine="709"/>
        <w:jc w:val="both"/>
      </w:pPr>
    </w:p>
    <w:p w14:paraId="3CE172E1">
      <w:pPr>
        <w:spacing w:before="0" w:after="0" w:line="360" w:lineRule="auto"/>
        <w:ind w:firstLine="709"/>
        <w:jc w:val="both"/>
      </w:pPr>
    </w:p>
    <w:p w14:paraId="30F3EC1C">
      <w:pPr>
        <w:spacing w:before="0" w:after="0" w:line="360" w:lineRule="auto"/>
        <w:ind w:firstLine="709"/>
        <w:jc w:val="both"/>
      </w:pPr>
    </w:p>
    <w:p w14:paraId="11176925">
      <w:pPr>
        <w:spacing w:before="0" w:after="0" w:line="360" w:lineRule="auto"/>
        <w:ind w:firstLine="709"/>
        <w:jc w:val="both"/>
      </w:pPr>
    </w:p>
    <w:p w14:paraId="30CE4156">
      <w:pPr>
        <w:spacing w:before="0" w:after="0" w:line="360" w:lineRule="auto"/>
        <w:ind w:firstLine="709"/>
        <w:jc w:val="both"/>
      </w:pPr>
    </w:p>
    <w:p w14:paraId="5CC1A529">
      <w:pPr>
        <w:spacing w:before="0" w:after="0" w:line="360" w:lineRule="auto"/>
        <w:ind w:firstLine="709"/>
        <w:jc w:val="both"/>
      </w:pPr>
    </w:p>
    <w:p w14:paraId="2BCF2C3E">
      <w:pPr>
        <w:spacing w:before="0" w:after="0" w:line="360" w:lineRule="auto"/>
        <w:ind w:firstLine="709"/>
        <w:jc w:val="both"/>
      </w:pPr>
    </w:p>
    <w:p w14:paraId="65A6C3DB">
      <w:pPr>
        <w:spacing w:before="0" w:after="0" w:line="360" w:lineRule="auto"/>
        <w:ind w:firstLine="709"/>
        <w:jc w:val="both"/>
      </w:pPr>
    </w:p>
    <w:p w14:paraId="30372F7B">
      <w:pPr>
        <w:spacing w:before="0" w:after="0" w:line="360" w:lineRule="auto"/>
        <w:ind w:firstLine="709"/>
        <w:jc w:val="both"/>
      </w:pPr>
    </w:p>
    <w:p w14:paraId="447FB1FD">
      <w:pPr>
        <w:spacing w:before="0" w:after="0" w:line="360" w:lineRule="auto"/>
        <w:ind w:firstLine="709"/>
        <w:jc w:val="both"/>
      </w:pPr>
    </w:p>
    <w:p w14:paraId="1D14DF48">
      <w:pPr>
        <w:spacing w:before="0" w:after="0" w:line="360" w:lineRule="auto"/>
        <w:ind w:firstLine="709"/>
        <w:jc w:val="both"/>
      </w:pPr>
    </w:p>
    <w:p w14:paraId="1E50B1F0">
      <w:pPr>
        <w:spacing w:before="0" w:after="0" w:line="360" w:lineRule="auto"/>
        <w:jc w:val="center"/>
      </w:pPr>
      <w:r>
        <w:rPr>
          <w:rFonts w:ascii="Times New Roman" w:hAnsi="Times New Roman" w:eastAsia="Times New Roman" w:cs="Times New Roman"/>
          <w:color w:val="000000"/>
          <w:sz w:val="28"/>
        </w:rPr>
        <w:drawing>
          <wp:inline distT="0" distB="0" distL="0" distR="0">
            <wp:extent cx="6286500" cy="3143250"/>
            <wp:effectExtent l="0" t="0" r="0" b="0"/>
            <wp:docPr id="1" name="bpmn_as_is" descr="BPMN-диаграмма as-is процесса создания видеомэппинга" title="BPMN 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pmn_as_is" descr="BPMN-диаграмма as-is процесса создания видеомэппинга" title="BPMN as-is"/>
                    <pic:cNvPicPr>
                      <a:picLocks noChangeAspect="1" noChangeArrowheads="1"/>
                    </pic:cNvPicPr>
                  </pic:nvPicPr>
                  <pic:blipFill>
                    <a:blip r:embed="rId6"/>
                    <a:srcRect/>
                    <a:stretch>
                      <a:fillRect/>
                    </a:stretch>
                  </pic:blipFill>
                  <pic:spPr>
                    <a:xfrm>
                      <a:off x="0" y="0"/>
                      <a:ext cx="6286500" cy="3143250"/>
                    </a:xfrm>
                    <a:prstGeom prst="rect">
                      <a:avLst/>
                    </a:prstGeom>
                  </pic:spPr>
                </pic:pic>
              </a:graphicData>
            </a:graphic>
          </wp:inline>
        </w:drawing>
      </w:r>
    </w:p>
    <w:p w14:paraId="18C6FF02">
      <w:pPr>
        <w:spacing w:before="0" w:after="0" w:line="360" w:lineRule="auto"/>
        <w:jc w:val="center"/>
        <w:rPr>
          <w:i w:val="0"/>
          <w:iCs w:val="0"/>
        </w:rPr>
      </w:pPr>
      <w:r>
        <w:rPr>
          <w:rFonts w:ascii="Times New Roman" w:hAnsi="Times New Roman" w:eastAsia="Times New Roman" w:cs="Times New Roman"/>
          <w:i w:val="0"/>
          <w:iCs w:val="0"/>
          <w:color w:val="000000"/>
          <w:sz w:val="28"/>
          <w:szCs w:val="28"/>
        </w:rPr>
        <w:t>Рисунок 1.1 — BPMN-диаграмма as-is процесса создания видеомэппинга (традиционный подход)</w:t>
      </w:r>
    </w:p>
    <w:p w14:paraId="2531B9C2">
      <w:pPr>
        <w:spacing w:before="0" w:after="0" w:line="360" w:lineRule="auto"/>
        <w:ind w:firstLine="708"/>
        <w:jc w:val="both"/>
      </w:pPr>
      <w:r>
        <w:rPr>
          <w:rFonts w:ascii="Times New Roman" w:hAnsi="Times New Roman" w:eastAsia="Times New Roman" w:cs="Times New Roman"/>
          <w:color w:val="000000"/>
          <w:sz w:val="28"/>
          <w:szCs w:val="28"/>
        </w:rPr>
        <w:t>Количественные данные я получил из материалов MVP стартапа Шакирова Р.З. и экспертных интервью с участниками рынка. Они показывают высокую ресурсоёмкость процесса. На создание простой проекции уходит от 180 до 600 человеко-минут. Годовые расходы заказчика на видеомэппинг — от 2 млн до 300 млн руб., в зависимости от масштаба и частоты проектов. В команде задействованы минимум три человека: моделлер, аниматор и техник проекции. Совокупная стоимость годовых подписок на используемое ПО превышает 400 тыс. руб. [4, 5].</w:t>
      </w:r>
    </w:p>
    <w:p w14:paraId="7FB00CA2">
      <w:pPr>
        <w:spacing w:before="0" w:after="0" w:line="360" w:lineRule="auto"/>
        <w:ind w:firstLine="708"/>
        <w:jc w:val="both"/>
      </w:pPr>
      <w:r>
        <w:rPr>
          <w:rFonts w:ascii="Times New Roman" w:hAnsi="Times New Roman" w:eastAsia="Times New Roman" w:cs="Times New Roman"/>
          <w:color w:val="000000"/>
          <w:sz w:val="28"/>
          <w:szCs w:val="28"/>
        </w:rPr>
        <w:t>Эти данные подтверждают гипотезу о неэффективности существующего процесса и аргументируют необходимость его цифровой трансформации — через реинжиниринг бизнес-процессов.</w:t>
      </w:r>
    </w:p>
    <w:p w14:paraId="2CE26A49">
      <w:pPr>
        <w:spacing w:before="0" w:after="0" w:line="360" w:lineRule="auto"/>
        <w:ind w:firstLine="708"/>
        <w:jc w:val="both"/>
      </w:pPr>
      <w:r>
        <w:rPr>
          <w:rFonts w:ascii="Times New Roman" w:hAnsi="Times New Roman" w:eastAsia="Times New Roman" w:cs="Times New Roman"/>
          <w:color w:val="000000"/>
          <w:sz w:val="28"/>
          <w:szCs w:val="28"/>
        </w:rPr>
        <w:t>BPMN-диаграмма показывает процесс на уровне исполнителей. Для верхнеуровневого согласования с заказчиком и руководителем проекта мне понадобился ещё один уровень формализации — контекстная диаграмма IDEF0, где функция «Создать видеомэппинг» описана как «чёрный ящик» с входами, выходами, управлением и механизмами (нотация ICOM, ГОСТ Р 50.1.028-2001) [37]. Эту диаграмму я привёл на рисунке 1.4; она дополняет BPMN-модели as-is и to-be и задаёт верхний уровень декомпозиции процесса.</w:t>
      </w:r>
    </w:p>
    <w:p w14:paraId="04D1BB3F">
      <w:pPr>
        <w:spacing w:before="0" w:after="0" w:line="360" w:lineRule="auto"/>
        <w:jc w:val="center"/>
      </w:pPr>
      <w:r>
        <w:rPr>
          <w:rFonts w:ascii="Times New Roman" w:hAnsi="Times New Roman" w:eastAsia="Times New Roman" w:cs="Times New Roman"/>
          <w:color w:val="000000"/>
          <w:sz w:val="28"/>
        </w:rPr>
        <w:drawing>
          <wp:inline distT="0" distB="0" distL="114300" distR="114300">
            <wp:extent cx="5399405" cy="3055620"/>
            <wp:effectExtent l="0" t="0" r="10795" b="17780"/>
            <wp:docPr id="236853972" name="Picture 236853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53972" name="Picture 236853972"/>
                    <pic:cNvPicPr>
                      <a:picLocks noChangeAspect="1"/>
                    </pic:cNvPicPr>
                  </pic:nvPicPr>
                  <pic:blipFill>
                    <a:blip r:embed="rId7"/>
                    <a:stretch>
                      <a:fillRect/>
                    </a:stretch>
                  </pic:blipFill>
                  <pic:spPr>
                    <a:xfrm>
                      <a:off x="0" y="0"/>
                      <a:ext cx="5400000" cy="3055714"/>
                    </a:xfrm>
                    <a:prstGeom prst="rect">
                      <a:avLst/>
                    </a:prstGeom>
                  </pic:spPr>
                </pic:pic>
              </a:graphicData>
            </a:graphic>
          </wp:inline>
        </w:drawing>
      </w:r>
    </w:p>
    <w:p w14:paraId="4E5FAAB1">
      <w:pPr>
        <w:spacing w:before="0" w:after="0" w:line="360" w:lineRule="auto"/>
        <w:jc w:val="center"/>
      </w:pPr>
      <w:r>
        <w:rPr>
          <w:rFonts w:ascii="Times New Roman" w:hAnsi="Times New Roman" w:eastAsia="Times New Roman" w:cs="Times New Roman"/>
          <w:color w:val="000000"/>
          <w:sz w:val="28"/>
          <w:szCs w:val="28"/>
        </w:rPr>
        <w:t>Рисунок 1.2 — IDEF0 контекстная диаграмма процесса создания видеомэппинга (А0)</w:t>
      </w:r>
    </w:p>
    <w:p w14:paraId="2E312684">
      <w:pPr>
        <w:spacing w:before="0" w:after="0" w:line="360" w:lineRule="auto"/>
        <w:ind w:firstLine="708"/>
        <w:jc w:val="both"/>
      </w:pPr>
      <w:r>
        <w:rPr>
          <w:rFonts w:ascii="Times New Roman" w:hAnsi="Times New Roman" w:eastAsia="Times New Roman" w:cs="Times New Roman"/>
          <w:color w:val="000000"/>
          <w:sz w:val="28"/>
          <w:szCs w:val="28"/>
        </w:rPr>
        <w:t>ICOM-стрелки диаграммы А0 я выстроил так. Входы (I): техническое задание заказчика, фотофиксация объекта (одно RGB-изображение для to-be или серия снимков для as-is), бренд-гайдлайны и референсы. Управление (C): требования технической безопасности проекции, нормативные требования к публичным мероприятиям, лицензионные ограничения используемого ПО; для проектов, где это уместно, добавляется закон № 152-ФЗ «О персональных данных» при работе с фотографиями людей и интерьеров [41]. Механизмы (M): команда проекта (для as-is — менеджер, 3D-моделлер, аниматор, техник проекции; для to-be — менеджер проекта плюс ПО «Эксперимент 619»), проекционное и съёмочное оборудование, GPU-кластер ИТМО ЦОД. Выходы (O): готовый медиаконтент с проекцией, синхронизированной с геометрией объекта; журнал калибровки; акт сдачи-приёмки. Декомпозицию А0 на А1–А4 (получение ТЗ, построение карты глубины, генерация контента, калибровка проекции) я методически свёл с BPMN-моделью to-be; в разделе 2.2 эта декомпозиция станет основой плана разработки продуктовых модулей.</w:t>
      </w:r>
    </w:p>
    <w:p w14:paraId="1FE195CB">
      <w:pPr>
        <w:pStyle w:val="3"/>
        <w:spacing w:before="0" w:after="0" w:line="360" w:lineRule="auto"/>
        <w:ind w:firstLine="708"/>
        <w:jc w:val="both"/>
      </w:pPr>
      <w:bookmarkStart w:id="5" w:name="_Toc1072339724"/>
      <w:r>
        <w:rPr>
          <w:rFonts w:ascii="Times New Roman" w:hAnsi="Times New Roman" w:eastAsia="Times New Roman" w:cs="Times New Roman"/>
          <w:b/>
          <w:color w:val="000000"/>
          <w:sz w:val="28"/>
          <w:szCs w:val="28"/>
        </w:rPr>
        <w:t>1.4 Исследование целевой аудитории и продуктовых гипотез</w:t>
      </w:r>
      <w:bookmarkEnd w:id="5"/>
    </w:p>
    <w:p w14:paraId="2C3C58CD">
      <w:pPr>
        <w:spacing w:before="0" w:after="0" w:line="360" w:lineRule="auto"/>
        <w:ind w:firstLine="708"/>
        <w:jc w:val="both"/>
      </w:pPr>
      <w:r>
        <w:rPr>
          <w:rFonts w:ascii="Times New Roman" w:hAnsi="Times New Roman" w:eastAsia="Times New Roman" w:cs="Times New Roman"/>
          <w:color w:val="000000"/>
          <w:sz w:val="28"/>
          <w:szCs w:val="28"/>
        </w:rPr>
        <w:t>Чтобы проверить рыночную востребованность решения и определить приоритетные потребительские сегменты, я провёл исследование целевой аудитории по методологии Customer Development (CustDev). В рамках исследования прошли 7 глубинных интервью с представителями компаний — потенциальных заказчиков видеомэппинга [13].</w:t>
      </w:r>
    </w:p>
    <w:p w14:paraId="222771F6">
      <w:pPr>
        <w:spacing w:before="0" w:after="0" w:line="360" w:lineRule="auto"/>
        <w:ind w:firstLine="708"/>
        <w:jc w:val="both"/>
      </w:pPr>
      <w:r>
        <w:rPr>
          <w:rFonts w:ascii="Times New Roman" w:hAnsi="Times New Roman" w:eastAsia="Times New Roman" w:cs="Times New Roman"/>
          <w:color w:val="000000"/>
          <w:sz w:val="28"/>
          <w:szCs w:val="28"/>
        </w:rPr>
        <w:t>По итогам интервью я выделил четыре ключевых B2B-сегмента целевой аудитории. Первый — ивент-агентства (средний чек проекта 300–500 тыс. руб., частота заказов 2–3 в месяц): для них критична скорость производства и возможность быстро адаптировать контент под разные площадки. Второй — музеи и выставочные центры (бюджеты на постоянные инсталляции от 500 тыс. руб.): они ищут долгосрочные решения с низкой стоимостью поддержки. Третий — рекламные и брендинговые агентства, которые используют мэппинг для промо-акций и презентаций продуктов. Четвёртый — образовательные учреждения, внедряющие иммерсивные форматы визуализации учебного контента [4, 13].</w:t>
      </w:r>
    </w:p>
    <w:p w14:paraId="5E4BBAC4">
      <w:pPr>
        <w:spacing w:before="0" w:after="0" w:line="360" w:lineRule="auto"/>
        <w:ind w:firstLine="708"/>
        <w:jc w:val="both"/>
      </w:pPr>
      <w:r>
        <w:rPr>
          <w:rFonts w:ascii="Times New Roman" w:hAnsi="Times New Roman" w:eastAsia="Times New Roman" w:cs="Times New Roman"/>
          <w:color w:val="000000"/>
          <w:sz w:val="28"/>
          <w:szCs w:val="28"/>
        </w:rPr>
        <w:t>Интервью показали, чего ждёт целевая аудитория: сократить время создания контента до 1–2 часов вместо нескольких дней; снизить зависимость от внештатных 3D-моделлеров; быстро адаптировать проекцию под разные объекты, не пересоздавая модель целиком; получить прозрачную и предсказуемую модель ценообразования (SaaS-подписка или оплата за проект).</w:t>
      </w:r>
    </w:p>
    <w:p w14:paraId="1A48C739">
      <w:pPr>
        <w:spacing w:before="0" w:after="0" w:line="360" w:lineRule="auto"/>
        <w:ind w:firstLine="708"/>
        <w:jc w:val="both"/>
      </w:pPr>
      <w:r>
        <w:rPr>
          <w:rFonts w:ascii="Times New Roman" w:hAnsi="Times New Roman" w:eastAsia="Times New Roman" w:cs="Times New Roman"/>
          <w:color w:val="000000"/>
          <w:sz w:val="28"/>
          <w:szCs w:val="28"/>
        </w:rPr>
        <w:t>На основе результатов исследования я сформулировал четыре продуктовые гипотезы:</w:t>
      </w:r>
    </w:p>
    <w:p w14:paraId="750F9D43">
      <w:pPr>
        <w:spacing w:before="0" w:after="0" w:line="360" w:lineRule="auto"/>
        <w:ind w:firstLine="708"/>
        <w:jc w:val="both"/>
      </w:pPr>
      <w:r>
        <w:rPr>
          <w:rFonts w:ascii="Times New Roman" w:hAnsi="Times New Roman" w:eastAsia="Times New Roman" w:cs="Times New Roman"/>
          <w:bCs/>
          <w:color w:val="000000"/>
          <w:sz w:val="28"/>
          <w:szCs w:val="28"/>
        </w:rPr>
        <w:t xml:space="preserve">Гипотеза 1: </w:t>
      </w:r>
      <w:r>
        <w:rPr>
          <w:rFonts w:ascii="Times New Roman" w:hAnsi="Times New Roman" w:eastAsia="Times New Roman" w:cs="Times New Roman"/>
          <w:color w:val="000000"/>
          <w:sz w:val="28"/>
          <w:szCs w:val="28"/>
        </w:rPr>
        <w:t>использование нейросетевой генерации монокулярной карты глубины по одному RGB-изображению сокращает время создания 3D-эквивалента объекта на 75% и более.</w:t>
      </w:r>
    </w:p>
    <w:p w14:paraId="7310FF15">
      <w:pPr>
        <w:spacing w:before="0" w:after="0" w:line="360" w:lineRule="auto"/>
        <w:ind w:firstLine="708"/>
        <w:jc w:val="both"/>
      </w:pPr>
      <w:r>
        <w:rPr>
          <w:rFonts w:ascii="Times New Roman" w:hAnsi="Times New Roman" w:eastAsia="Times New Roman" w:cs="Times New Roman"/>
          <w:bCs/>
          <w:color w:val="000000"/>
          <w:sz w:val="28"/>
          <w:szCs w:val="28"/>
        </w:rPr>
        <w:t xml:space="preserve">Гипотеза 2: </w:t>
      </w:r>
      <w:r>
        <w:rPr>
          <w:rFonts w:ascii="Times New Roman" w:hAnsi="Times New Roman" w:eastAsia="Times New Roman" w:cs="Times New Roman"/>
          <w:color w:val="000000"/>
          <w:sz w:val="28"/>
          <w:szCs w:val="28"/>
        </w:rPr>
        <w:t>библиотека автоматических эффектов на основе свёрточных операций позволяет получать анимированный контент без участия профессионального аниматора.</w:t>
      </w:r>
    </w:p>
    <w:p w14:paraId="6E16D09F">
      <w:pPr>
        <w:spacing w:before="0" w:after="0" w:line="360" w:lineRule="auto"/>
        <w:ind w:firstLine="708"/>
        <w:jc w:val="both"/>
      </w:pPr>
      <w:r>
        <w:rPr>
          <w:rFonts w:ascii="Times New Roman" w:hAnsi="Times New Roman" w:eastAsia="Times New Roman" w:cs="Times New Roman"/>
          <w:bCs/>
          <w:color w:val="000000"/>
          <w:sz w:val="28"/>
          <w:szCs w:val="28"/>
        </w:rPr>
        <w:t xml:space="preserve">Гипотеза 3: </w:t>
      </w:r>
      <w:r>
        <w:rPr>
          <w:rFonts w:ascii="Times New Roman" w:hAnsi="Times New Roman" w:eastAsia="Times New Roman" w:cs="Times New Roman"/>
          <w:color w:val="000000"/>
          <w:sz w:val="28"/>
          <w:szCs w:val="28"/>
        </w:rPr>
        <w:t>модель подписки (SaaS) в сочетании с проектной доработкой снижает порог входа для субъектов МСП и обеспечивает рост LTV.</w:t>
      </w:r>
    </w:p>
    <w:p w14:paraId="7C4E57AC">
      <w:pPr>
        <w:spacing w:before="0" w:after="0" w:line="360" w:lineRule="auto"/>
        <w:ind w:firstLine="708"/>
        <w:jc w:val="both"/>
      </w:pPr>
      <w:r>
        <w:rPr>
          <w:rFonts w:ascii="Times New Roman" w:hAnsi="Times New Roman" w:eastAsia="Times New Roman" w:cs="Times New Roman"/>
          <w:bCs/>
          <w:color w:val="000000"/>
          <w:sz w:val="28"/>
          <w:szCs w:val="28"/>
        </w:rPr>
        <w:t xml:space="preserve">Гипотеза 4: </w:t>
      </w:r>
      <w:r>
        <w:rPr>
          <w:rFonts w:ascii="Times New Roman" w:hAnsi="Times New Roman" w:eastAsia="Times New Roman" w:cs="Times New Roman"/>
          <w:color w:val="000000"/>
          <w:sz w:val="28"/>
          <w:szCs w:val="28"/>
        </w:rPr>
        <w:t>встроенная интеграция с популярными моделями проекторов сокращает время настройки шоу с 20 минут до 2 минут.</w:t>
      </w:r>
    </w:p>
    <w:p w14:paraId="648661AF">
      <w:pPr>
        <w:spacing w:before="0" w:after="0" w:line="360" w:lineRule="auto"/>
        <w:ind w:firstLine="708"/>
        <w:jc w:val="both"/>
      </w:pPr>
      <w:r>
        <w:rPr>
          <w:rFonts w:ascii="Times New Roman" w:hAnsi="Times New Roman" w:eastAsia="Times New Roman" w:cs="Times New Roman"/>
          <w:color w:val="000000"/>
          <w:sz w:val="28"/>
          <w:szCs w:val="28"/>
        </w:rPr>
        <w:t>Первые две гипотезы получили предварительное подтверждение в ходе тестирования MVP (разработка Шакирова Р.З.): время создания 3D-эквивалента сократилось с 60+ до 13 минут, время подготовки анимации эффектов — с нескольких часов до 10 минут [5]. Гипотезы 3 и 4 предстоит валидировать в рамках настоящей работы.</w:t>
      </w:r>
    </w:p>
    <w:p w14:paraId="125E6EB0">
      <w:pPr>
        <w:pStyle w:val="3"/>
        <w:spacing w:before="0" w:after="0" w:line="360" w:lineRule="auto"/>
        <w:ind w:firstLine="708"/>
        <w:jc w:val="both"/>
      </w:pPr>
      <w:bookmarkStart w:id="6" w:name="_Toc1130975644"/>
      <w:r>
        <w:rPr>
          <w:rFonts w:ascii="Times New Roman" w:hAnsi="Times New Roman" w:eastAsia="Times New Roman" w:cs="Times New Roman"/>
          <w:b/>
          <w:color w:val="000000"/>
          <w:sz w:val="28"/>
          <w:szCs w:val="28"/>
        </w:rPr>
        <w:t>1.5 Бизнес-модель и требования к коммерциализации</w:t>
      </w:r>
      <w:bookmarkEnd w:id="6"/>
    </w:p>
    <w:p w14:paraId="4BC90FEE">
      <w:pPr>
        <w:spacing w:before="0" w:after="0" w:line="360" w:lineRule="auto"/>
        <w:ind w:firstLine="708"/>
        <w:jc w:val="both"/>
      </w:pPr>
      <w:r>
        <w:rPr>
          <w:rFonts w:ascii="Times New Roman" w:hAnsi="Times New Roman" w:eastAsia="Times New Roman" w:cs="Times New Roman"/>
          <w:color w:val="000000"/>
          <w:sz w:val="28"/>
          <w:szCs w:val="28"/>
        </w:rPr>
        <w:t>На основе анализа проблемного поля и результатов CustDev я построил целевую BPMN-модель (to-be) процесса создания видеомэппинга с использованием ПО стартапа «Эксперимент 619».</w:t>
      </w:r>
    </w:p>
    <w:p w14:paraId="7B750DED">
      <w:pPr>
        <w:spacing w:before="0" w:after="0" w:line="360" w:lineRule="auto"/>
        <w:ind w:firstLine="708"/>
        <w:jc w:val="both"/>
      </w:pPr>
      <w:r>
        <w:rPr>
          <w:rFonts w:ascii="Times New Roman" w:hAnsi="Times New Roman" w:eastAsia="Times New Roman" w:cs="Times New Roman"/>
          <w:bCs/>
          <w:color w:val="000000"/>
          <w:sz w:val="28"/>
          <w:szCs w:val="28"/>
        </w:rPr>
        <w:t xml:space="preserve">BPMN-диаграмма to-be (рисунок 1.3) </w:t>
      </w:r>
      <w:r>
        <w:rPr>
          <w:rFonts w:ascii="Times New Roman" w:hAnsi="Times New Roman" w:eastAsia="Times New Roman" w:cs="Times New Roman"/>
          <w:color w:val="000000"/>
          <w:sz w:val="28"/>
          <w:szCs w:val="28"/>
        </w:rPr>
        <w:t>отражает оптимизированный процесс, сокращённый до двух ключевых пулов: Пользователь (менеджер проекта) и Система (ПО). Пользователь загружает одно RGB-изображение объекта. Программное обеспечение автоматически строит монокулярную карту глубины с помощью свёрточной нейронной сети, применяет выбранный из библиотеки анимационный эффект (операции свёртки), генерирует анимацию и выводит её на проектор через встроенный модуль калибровки. Общее время цикла составляет до 23 минут. Участие 3D-моделлера и аниматора не требуется [5, 11].</w:t>
      </w:r>
    </w:p>
    <w:p w14:paraId="54A42F96">
      <w:pPr>
        <w:spacing w:before="0" w:after="0" w:line="360" w:lineRule="auto"/>
        <w:jc w:val="center"/>
      </w:pPr>
      <w:r>
        <w:rPr>
          <w:rFonts w:ascii="Times New Roman" w:hAnsi="Times New Roman" w:eastAsia="Times New Roman" w:cs="Times New Roman"/>
          <w:color w:val="000000"/>
          <w:sz w:val="28"/>
        </w:rPr>
        <w:drawing>
          <wp:inline distT="0" distB="0" distL="0" distR="0">
            <wp:extent cx="6286500" cy="2019300"/>
            <wp:effectExtent l="0" t="0" r="0" b="0"/>
            <wp:docPr id="236853971" name="bpmn_to_be" descr="BPMN-диаграмма to-be процесса создания видеомэппинга" title="BPMN 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53971" name="bpmn_to_be" descr="BPMN-диаграмма to-be процесса создания видеомэппинга" title="BPMN to-be"/>
                    <pic:cNvPicPr>
                      <a:picLocks noChangeAspect="1" noChangeArrowheads="1"/>
                    </pic:cNvPicPr>
                  </pic:nvPicPr>
                  <pic:blipFill>
                    <a:blip r:embed="rId8"/>
                    <a:srcRect/>
                    <a:stretch>
                      <a:fillRect/>
                    </a:stretch>
                  </pic:blipFill>
                  <pic:spPr>
                    <a:xfrm>
                      <a:off x="0" y="0"/>
                      <a:ext cx="6286500" cy="2019300"/>
                    </a:xfrm>
                    <a:prstGeom prst="rect">
                      <a:avLst/>
                    </a:prstGeom>
                  </pic:spPr>
                </pic:pic>
              </a:graphicData>
            </a:graphic>
          </wp:inline>
        </w:drawing>
      </w:r>
    </w:p>
    <w:p w14:paraId="39C27C50">
      <w:pPr>
        <w:spacing w:before="0" w:after="0" w:line="360" w:lineRule="auto"/>
        <w:jc w:val="center"/>
        <w:rPr>
          <w:i w:val="0"/>
          <w:iCs w:val="0"/>
        </w:rPr>
      </w:pPr>
      <w:r>
        <w:rPr>
          <w:rFonts w:ascii="Times New Roman" w:hAnsi="Times New Roman" w:eastAsia="Times New Roman" w:cs="Times New Roman"/>
          <w:i w:val="0"/>
          <w:iCs w:val="0"/>
          <w:color w:val="000000"/>
          <w:sz w:val="28"/>
          <w:szCs w:val="28"/>
        </w:rPr>
        <w:t>Рисунок 1.3 — BPMN-диаграмма to-be процесса создания видеомэппинга (оптимизированный подход)</w:t>
      </w:r>
    </w:p>
    <w:p w14:paraId="7527D556">
      <w:pPr>
        <w:spacing w:before="0" w:after="0" w:line="360" w:lineRule="auto"/>
        <w:ind w:firstLine="708"/>
        <w:jc w:val="both"/>
      </w:pPr>
      <w:r>
        <w:rPr>
          <w:rFonts w:ascii="Times New Roman" w:hAnsi="Times New Roman" w:eastAsia="Times New Roman" w:cs="Times New Roman"/>
          <w:color w:val="000000"/>
          <w:sz w:val="28"/>
          <w:szCs w:val="28"/>
        </w:rPr>
        <w:t>Если сопоставить модели as-is и to-be, видно содержание реинжиниринга: число задействованных ролей падает с четырёх до одной, переходы между разными программными средами исчезают (было три–четыре, стало ноль), а время полного цикла сжимается с нескольких дней до 23 минут.</w:t>
      </w:r>
    </w:p>
    <w:p w14:paraId="103C64EA">
      <w:pPr>
        <w:spacing w:before="0" w:after="0" w:line="360" w:lineRule="auto"/>
        <w:ind w:firstLine="708"/>
        <w:jc w:val="both"/>
      </w:pPr>
      <w:r>
        <w:rPr>
          <w:rFonts w:ascii="Times New Roman" w:hAnsi="Times New Roman" w:eastAsia="Times New Roman" w:cs="Times New Roman"/>
          <w:color w:val="000000"/>
          <w:sz w:val="28"/>
          <w:szCs w:val="28"/>
        </w:rPr>
        <w:t>Чтобы свести продуктовую логику, экономику и партнёрский контур стартапа «Эксперимент 619» на одной странице, я использовал шаблон Business Model Canvas (BMC) А. Остервальдера и И. Пинье [14]. BMC удобен тем, что показывает девять блоков бизнес-модели сразу и позже легко сопоставляется с расчётами юнит-экономики (раздел 2.1) и финансовой моделью (раздел 2.3). На рисунке 1.3 — заполненный канвас, который я готовил вместе с командой и обсуждал с научным руководителем и менторами стартапа.</w:t>
      </w:r>
    </w:p>
    <w:p w14:paraId="69C98C45">
      <w:pPr>
        <w:spacing w:before="0" w:after="0" w:line="360" w:lineRule="auto"/>
        <w:jc w:val="center"/>
      </w:pPr>
      <w:r>
        <w:rPr>
          <w:rFonts w:ascii="Times New Roman" w:hAnsi="Times New Roman" w:eastAsia="Times New Roman" w:cs="Times New Roman"/>
          <w:color w:val="000000"/>
          <w:sz w:val="28"/>
        </w:rPr>
        <w:drawing>
          <wp:inline distT="0" distB="0" distL="114300" distR="114300">
            <wp:extent cx="5759450" cy="3528695"/>
            <wp:effectExtent l="0" t="0" r="6350" b="1905"/>
            <wp:docPr id="236853973" name="Picture 236853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53973" name="Picture 236853973"/>
                    <pic:cNvPicPr>
                      <a:picLocks noChangeAspect="1"/>
                    </pic:cNvPicPr>
                  </pic:nvPicPr>
                  <pic:blipFill>
                    <a:blip r:embed="rId9"/>
                    <a:stretch>
                      <a:fillRect/>
                    </a:stretch>
                  </pic:blipFill>
                  <pic:spPr>
                    <a:xfrm>
                      <a:off x="0" y="0"/>
                      <a:ext cx="5760000" cy="3529272"/>
                    </a:xfrm>
                    <a:prstGeom prst="rect">
                      <a:avLst/>
                    </a:prstGeom>
                  </pic:spPr>
                </pic:pic>
              </a:graphicData>
            </a:graphic>
          </wp:inline>
        </w:drawing>
      </w:r>
    </w:p>
    <w:p w14:paraId="637D58DB">
      <w:pPr>
        <w:spacing w:before="0" w:after="0" w:line="360" w:lineRule="auto"/>
        <w:jc w:val="center"/>
      </w:pPr>
      <w:r>
        <w:rPr>
          <w:rFonts w:ascii="Times New Roman" w:hAnsi="Times New Roman" w:eastAsia="Times New Roman" w:cs="Times New Roman"/>
          <w:color w:val="000000"/>
          <w:sz w:val="28"/>
          <w:szCs w:val="28"/>
        </w:rPr>
        <w:t>Рисунок 1.4 — Business Model Canvas стартапа «Эксперимент 619»</w:t>
      </w:r>
    </w:p>
    <w:p w14:paraId="608BC5A3">
      <w:pPr>
        <w:spacing w:before="0" w:after="0" w:line="360" w:lineRule="auto"/>
        <w:ind w:firstLine="708"/>
        <w:jc w:val="both"/>
      </w:pPr>
      <w:r>
        <w:rPr>
          <w:rFonts w:ascii="Times New Roman" w:hAnsi="Times New Roman" w:eastAsia="Times New Roman" w:cs="Times New Roman"/>
          <w:color w:val="000000"/>
          <w:sz w:val="28"/>
          <w:szCs w:val="28"/>
        </w:rPr>
        <w:t>Расшифрую блоки канваса; описание сегментов, каналов и монетизации я уже привёл выше и не повторяю. Ключевые партнёры — Университет ИТМО (ЦОД и объединение «Олимп»), ПАО «Газпром нефть» (отдел импортозамещения IT-инфраструктуры), Агентство стратегических инициатив, Фонд содействия инновациям, ПОГУМАКС, Smart-Light, фестиваль «Ночь Света». Такая конфигурация даёт стартапу инфраструктуру (GPU-кластер ИТМО ЦОД), отраслевую экспертизу по импортозамещению и крупным мероприятиям и доступ к грантовым программам; на стадии TRL 3 — TRL 6 это особенно важно. Ключевые виды деятельности я свёл в четыре направления: разработка ПО (поддержка пайплайна Камера → MiDaS/Depth-Anything → SDXL + ControlNet → калибровка), техническая поддержка пользователей, реализация заказов под ключ по тарифу 1 000 руб./сек анимации и маркетинговое продвижение по трём трекам Go-to-Market (ABM Hunting, Showcase, Community). Ключевые ресурсы — бренд «Эксперимент 619», накопленная клиентская база, проприетарный датасет карт глубины архитектурных объектов и веса fine-tuned моделей, GPU-кластер и ML-команда, привлечённая через объединение «Олимп» ИТМО. Отношения с клиентами я выстраиваю по трём моделям: онлайн-техподдержка для тарифа Базовый, выделенный персональный менеджер и SLA 99,5% для VIP-сегмента, реализация под ключ для крупных событийных проектов. Структура издержек первого года — 8,2 млн руб.: ФОТ команды (4 человека × 100 000 руб./мес. × 12 мес. = 4,8 млн руб.), закупка и аренда оборудования (3,4 млн руб.), регистрация интеллектуальной собственности 52 000 руб. (программа для ЭВМ в Роспатенте около 25 000 руб., ноу-хау 5 000 руб., товарный знак около 22 000 руб.). Этот блок BMC фиксирует постоянные затраты, на которых строится точка безубыточности: в исходной операционной модели — 16 месяцев; в финансовой модели DCF из раздела 2.3 точка безубыточности по EBITDA уходит на 14-й месяц за счёт уточнения темпов привлечения клиентов и налогового режима УСН 15%.</w:t>
      </w:r>
    </w:p>
    <w:p w14:paraId="14304100">
      <w:pPr>
        <w:spacing w:before="0" w:after="0" w:line="360" w:lineRule="auto"/>
        <w:ind w:firstLine="708"/>
        <w:jc w:val="both"/>
      </w:pPr>
      <w:r>
        <w:rPr>
          <w:rFonts w:ascii="Times New Roman" w:hAnsi="Times New Roman" w:eastAsia="Times New Roman" w:cs="Times New Roman"/>
          <w:color w:val="000000"/>
          <w:sz w:val="28"/>
          <w:szCs w:val="28"/>
        </w:rPr>
        <w:t>Ключевые элементы бизнес-модели, сформулированные с использованием фреймворка Business Model Canvas, включают следующие компоненты [14, 15]:</w:t>
      </w:r>
    </w:p>
    <w:p w14:paraId="1A3A611D">
      <w:pPr>
        <w:spacing w:before="0" w:after="0" w:line="360" w:lineRule="auto"/>
        <w:ind w:firstLine="708"/>
        <w:jc w:val="both"/>
      </w:pPr>
      <w:r>
        <w:rPr>
          <w:rFonts w:ascii="Times New Roman" w:hAnsi="Times New Roman" w:eastAsia="Times New Roman" w:cs="Times New Roman"/>
          <w:bCs/>
          <w:color w:val="000000"/>
          <w:sz w:val="28"/>
          <w:szCs w:val="28"/>
        </w:rPr>
        <w:t xml:space="preserve">Ценностное предложение: </w:t>
      </w:r>
      <w:r>
        <w:rPr>
          <w:rFonts w:ascii="Times New Roman" w:hAnsi="Times New Roman" w:eastAsia="Times New Roman" w:cs="Times New Roman"/>
          <w:color w:val="000000"/>
          <w:sz w:val="28"/>
          <w:szCs w:val="28"/>
        </w:rPr>
        <w:t>«Создание видеомэппинга в 10 раз быстрее и в 4 раза дешевле». Продукт позволяет одному специалисту без опыта 3D-моделирования создать полноценную проекцию за 23 минуты.</w:t>
      </w:r>
    </w:p>
    <w:p w14:paraId="4CAC4D48">
      <w:pPr>
        <w:spacing w:before="0" w:after="0" w:line="360" w:lineRule="auto"/>
        <w:ind w:firstLine="708"/>
        <w:jc w:val="both"/>
      </w:pPr>
      <w:r>
        <w:rPr>
          <w:rFonts w:ascii="Times New Roman" w:hAnsi="Times New Roman" w:eastAsia="Times New Roman" w:cs="Times New Roman"/>
          <w:bCs/>
          <w:color w:val="000000"/>
          <w:sz w:val="28"/>
          <w:szCs w:val="28"/>
        </w:rPr>
        <w:t xml:space="preserve">Потребительские сегменты: </w:t>
      </w:r>
      <w:r>
        <w:rPr>
          <w:rFonts w:ascii="Times New Roman" w:hAnsi="Times New Roman" w:eastAsia="Times New Roman" w:cs="Times New Roman"/>
          <w:color w:val="000000"/>
          <w:sz w:val="28"/>
          <w:szCs w:val="28"/>
        </w:rPr>
        <w:t>ивент-агентства, музеи и выставочные центры, рекламные агентства, образовательные учреждения (B2B).</w:t>
      </w:r>
    </w:p>
    <w:p w14:paraId="091DA265">
      <w:pPr>
        <w:spacing w:before="0" w:after="0" w:line="360" w:lineRule="auto"/>
        <w:ind w:firstLine="708"/>
        <w:jc w:val="both"/>
      </w:pPr>
      <w:r>
        <w:rPr>
          <w:rFonts w:ascii="Times New Roman" w:hAnsi="Times New Roman" w:eastAsia="Times New Roman" w:cs="Times New Roman"/>
          <w:bCs/>
          <w:color w:val="000000"/>
          <w:sz w:val="28"/>
          <w:szCs w:val="28"/>
        </w:rPr>
        <w:t xml:space="preserve">Каналы сбыта: </w:t>
      </w:r>
      <w:r>
        <w:rPr>
          <w:rFonts w:ascii="Times New Roman" w:hAnsi="Times New Roman" w:eastAsia="Times New Roman" w:cs="Times New Roman"/>
          <w:color w:val="000000"/>
          <w:sz w:val="28"/>
          <w:szCs w:val="28"/>
        </w:rPr>
        <w:t>прямые B2B-продажи, партнёрства с интеграторами AV-оборудования, участие в отраслевых выставках и конференциях (NAB, «Связь», ProMediaTech).</w:t>
      </w:r>
    </w:p>
    <w:p w14:paraId="50EBAAFF">
      <w:pPr>
        <w:spacing w:before="0" w:after="0" w:line="360" w:lineRule="auto"/>
        <w:ind w:firstLine="708"/>
        <w:jc w:val="both"/>
      </w:pPr>
      <w:r>
        <w:rPr>
          <w:rFonts w:ascii="Times New Roman" w:hAnsi="Times New Roman" w:eastAsia="Times New Roman" w:cs="Times New Roman"/>
          <w:bCs/>
          <w:color w:val="000000"/>
          <w:sz w:val="28"/>
          <w:szCs w:val="28"/>
        </w:rPr>
        <w:t xml:space="preserve">Модель монетизации: </w:t>
      </w:r>
      <w:r>
        <w:rPr>
          <w:rFonts w:ascii="Times New Roman" w:hAnsi="Times New Roman" w:eastAsia="Times New Roman" w:cs="Times New Roman"/>
          <w:color w:val="000000"/>
          <w:sz w:val="28"/>
          <w:szCs w:val="28"/>
        </w:rPr>
        <w:t>гибридная — Freemium (базовая версия с водяным знаком, до 5 проектов в месяц) + SaaS-подписка от 5 000 руб./мес. + платные библиотеки эффектов + проектные услуги по интеграции.</w:t>
      </w:r>
    </w:p>
    <w:p w14:paraId="7C0BDC37">
      <w:pPr>
        <w:spacing w:before="0" w:after="0" w:line="360" w:lineRule="auto"/>
        <w:ind w:firstLine="708"/>
        <w:jc w:val="both"/>
      </w:pPr>
      <w:r>
        <w:rPr>
          <w:rFonts w:ascii="Times New Roman" w:hAnsi="Times New Roman" w:eastAsia="Times New Roman" w:cs="Times New Roman"/>
          <w:bCs/>
          <w:color w:val="000000"/>
          <w:sz w:val="28"/>
          <w:szCs w:val="28"/>
        </w:rPr>
        <w:t xml:space="preserve">Ключевые ресурсы: </w:t>
      </w:r>
      <w:r>
        <w:rPr>
          <w:rFonts w:ascii="Times New Roman" w:hAnsi="Times New Roman" w:eastAsia="Times New Roman" w:cs="Times New Roman"/>
          <w:color w:val="000000"/>
          <w:sz w:val="28"/>
          <w:szCs w:val="28"/>
        </w:rPr>
        <w:t>технологическое ядро (нейросетевые модели для генерации карты глубины), команда разработки (2 ML-инженера, 1 backend-разработчик), интеллектуальная собственность (ноу-хау в области метода генерации карты глубины).</w:t>
      </w:r>
    </w:p>
    <w:p w14:paraId="6E0C132D">
      <w:pPr>
        <w:spacing w:before="0" w:after="0" w:line="360" w:lineRule="auto"/>
        <w:ind w:firstLine="708"/>
        <w:jc w:val="both"/>
      </w:pPr>
      <w:r>
        <w:rPr>
          <w:rFonts w:ascii="Times New Roman" w:hAnsi="Times New Roman" w:eastAsia="Times New Roman" w:cs="Times New Roman"/>
          <w:color w:val="000000"/>
          <w:sz w:val="28"/>
          <w:szCs w:val="28"/>
        </w:rPr>
        <w:t>Предварительная юнит-экономика проекта, рассчитанная на период после вывода коммерческой версии продукта, представлена в таблице 1.2.</w:t>
      </w:r>
    </w:p>
    <w:p w14:paraId="6048A673">
      <w:pPr>
        <w:spacing w:before="0" w:after="0" w:line="360" w:lineRule="auto"/>
        <w:jc w:val="left"/>
        <w:rPr>
          <w:i w:val="0"/>
          <w:iCs w:val="0"/>
        </w:rPr>
      </w:pPr>
      <w:r>
        <w:rPr>
          <w:rFonts w:ascii="Times New Roman" w:hAnsi="Times New Roman" w:eastAsia="Times New Roman" w:cs="Times New Roman"/>
          <w:i w:val="0"/>
          <w:iCs w:val="0"/>
          <w:color w:val="000000"/>
          <w:sz w:val="28"/>
          <w:szCs w:val="28"/>
        </w:rPr>
        <w:t>Таблица 1.2 — Показатели юнит-экономики проекта (прогноз)</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1DFFCBAE">
        <w:tc>
          <w:tcPr>
            <w:tcW w:w="4513"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5E26626A">
            <w:pPr>
              <w:spacing w:before="0" w:after="0" w:line="240" w:lineRule="auto"/>
              <w:jc w:val="center"/>
            </w:pPr>
            <w:r>
              <w:rPr>
                <w:rFonts w:ascii="Times New Roman" w:hAnsi="Times New Roman" w:eastAsia="Times New Roman" w:cs="Times New Roman"/>
                <w:bCs/>
                <w:color w:val="000000"/>
                <w:sz w:val="28"/>
                <w:szCs w:val="24"/>
              </w:rPr>
              <w:t>Показатель</w:t>
            </w:r>
          </w:p>
        </w:tc>
        <w:tc>
          <w:tcPr>
            <w:tcW w:w="4513"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019A7825">
            <w:pPr>
              <w:spacing w:before="0" w:after="0" w:line="240" w:lineRule="auto"/>
              <w:jc w:val="center"/>
            </w:pPr>
            <w:r>
              <w:rPr>
                <w:rFonts w:ascii="Times New Roman" w:hAnsi="Times New Roman" w:eastAsia="Times New Roman" w:cs="Times New Roman"/>
                <w:bCs/>
                <w:color w:val="000000"/>
                <w:sz w:val="28"/>
                <w:szCs w:val="24"/>
              </w:rPr>
              <w:t>Значение</w:t>
            </w:r>
          </w:p>
        </w:tc>
      </w:tr>
      <w:tr w14:paraId="06C7440A">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9359A71">
            <w:pPr>
              <w:spacing w:before="0" w:after="0" w:line="240" w:lineRule="auto"/>
            </w:pPr>
            <w:r>
              <w:rPr>
                <w:rFonts w:ascii="Times New Roman" w:hAnsi="Times New Roman" w:eastAsia="Times New Roman" w:cs="Times New Roman"/>
                <w:color w:val="000000"/>
                <w:sz w:val="28"/>
                <w:szCs w:val="24"/>
              </w:rPr>
              <w:t>CAC (стоимость привлечения клиента)</w:t>
            </w:r>
          </w:p>
        </w:tc>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872CA4A">
            <w:pPr>
              <w:spacing w:before="0" w:after="0" w:line="240" w:lineRule="auto"/>
            </w:pPr>
            <w:r>
              <w:rPr>
                <w:rFonts w:ascii="Times New Roman" w:hAnsi="Times New Roman" w:eastAsia="Times New Roman" w:cs="Times New Roman"/>
                <w:color w:val="000000"/>
                <w:sz w:val="28"/>
                <w:szCs w:val="24"/>
              </w:rPr>
              <w:t>15 000 руб.</w:t>
            </w:r>
          </w:p>
        </w:tc>
      </w:tr>
      <w:tr w14:paraId="04BFF97A">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589EE3B">
            <w:pPr>
              <w:spacing w:before="0" w:after="0" w:line="240" w:lineRule="auto"/>
            </w:pPr>
            <w:r>
              <w:rPr>
                <w:rFonts w:ascii="Times New Roman" w:hAnsi="Times New Roman" w:eastAsia="Times New Roman" w:cs="Times New Roman"/>
                <w:color w:val="000000"/>
                <w:sz w:val="28"/>
                <w:szCs w:val="24"/>
              </w:rPr>
              <w:t>ARPU (средний доход на клиента в месяц)</w:t>
            </w:r>
          </w:p>
        </w:tc>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785028F">
            <w:pPr>
              <w:spacing w:before="0" w:after="0" w:line="240" w:lineRule="auto"/>
            </w:pPr>
            <w:r>
              <w:rPr>
                <w:rFonts w:ascii="Times New Roman" w:hAnsi="Times New Roman" w:eastAsia="Times New Roman" w:cs="Times New Roman"/>
                <w:color w:val="000000"/>
                <w:sz w:val="28"/>
                <w:szCs w:val="24"/>
              </w:rPr>
              <w:t>12 000 руб.</w:t>
            </w:r>
          </w:p>
        </w:tc>
      </w:tr>
      <w:tr w14:paraId="72BA4E09">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3D26269">
            <w:pPr>
              <w:spacing w:before="0" w:after="0" w:line="240" w:lineRule="auto"/>
            </w:pPr>
            <w:r>
              <w:rPr>
                <w:rFonts w:ascii="Times New Roman" w:hAnsi="Times New Roman" w:eastAsia="Times New Roman" w:cs="Times New Roman"/>
                <w:color w:val="000000"/>
                <w:sz w:val="28"/>
                <w:szCs w:val="24"/>
              </w:rPr>
              <w:t>Средний срок жизни клиента</w:t>
            </w:r>
          </w:p>
        </w:tc>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9162C9D">
            <w:pPr>
              <w:spacing w:before="0" w:after="0" w:line="240" w:lineRule="auto"/>
            </w:pPr>
            <w:r>
              <w:rPr>
                <w:rFonts w:ascii="Times New Roman" w:hAnsi="Times New Roman" w:eastAsia="Times New Roman" w:cs="Times New Roman"/>
                <w:color w:val="000000"/>
                <w:sz w:val="28"/>
                <w:szCs w:val="24"/>
              </w:rPr>
              <w:t>18 месяцев</w:t>
            </w:r>
          </w:p>
        </w:tc>
      </w:tr>
      <w:tr w14:paraId="2BFA03E7">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050A8A7">
            <w:pPr>
              <w:spacing w:before="0" w:after="0" w:line="240" w:lineRule="auto"/>
            </w:pPr>
            <w:r>
              <w:rPr>
                <w:rFonts w:ascii="Times New Roman" w:hAnsi="Times New Roman" w:eastAsia="Times New Roman" w:cs="Times New Roman"/>
                <w:color w:val="000000"/>
                <w:sz w:val="28"/>
                <w:szCs w:val="24"/>
              </w:rPr>
              <w:t>LTV (пожизненная ценность клиента)</w:t>
            </w:r>
          </w:p>
        </w:tc>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162F265">
            <w:pPr>
              <w:spacing w:before="0" w:after="0" w:line="240" w:lineRule="auto"/>
            </w:pPr>
            <w:r>
              <w:rPr>
                <w:rFonts w:ascii="Times New Roman" w:hAnsi="Times New Roman" w:eastAsia="Times New Roman" w:cs="Times New Roman"/>
                <w:color w:val="000000"/>
                <w:sz w:val="28"/>
                <w:szCs w:val="24"/>
              </w:rPr>
              <w:t>216 000 руб.</w:t>
            </w:r>
          </w:p>
        </w:tc>
      </w:tr>
      <w:tr w14:paraId="5D1BCBBD">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1748E62">
            <w:pPr>
              <w:spacing w:before="0" w:after="0" w:line="240" w:lineRule="auto"/>
            </w:pPr>
            <w:r>
              <w:rPr>
                <w:rFonts w:ascii="Times New Roman" w:hAnsi="Times New Roman" w:eastAsia="Times New Roman" w:cs="Times New Roman"/>
                <w:color w:val="000000"/>
                <w:sz w:val="28"/>
                <w:szCs w:val="24"/>
              </w:rPr>
              <w:t>LTV/CAC</w:t>
            </w:r>
          </w:p>
        </w:tc>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F871ACB">
            <w:pPr>
              <w:spacing w:before="0" w:after="0" w:line="240" w:lineRule="auto"/>
            </w:pPr>
            <w:r>
              <w:rPr>
                <w:rFonts w:ascii="Times New Roman" w:hAnsi="Times New Roman" w:eastAsia="Times New Roman" w:cs="Times New Roman"/>
                <w:color w:val="000000"/>
                <w:sz w:val="28"/>
                <w:szCs w:val="24"/>
              </w:rPr>
              <w:t>14,4 (при пороге эффективности &gt; 3)</w:t>
            </w:r>
          </w:p>
        </w:tc>
      </w:tr>
      <w:tr w14:paraId="1EF74814">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E640461">
            <w:pPr>
              <w:spacing w:before="0" w:after="0" w:line="240" w:lineRule="auto"/>
            </w:pPr>
            <w:r>
              <w:rPr>
                <w:rFonts w:ascii="Times New Roman" w:hAnsi="Times New Roman" w:eastAsia="Times New Roman" w:cs="Times New Roman"/>
                <w:color w:val="000000"/>
                <w:sz w:val="28"/>
                <w:szCs w:val="24"/>
              </w:rPr>
              <w:t>Точка безубыточности (BEP)</w:t>
            </w:r>
          </w:p>
        </w:tc>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E08B43D">
            <w:pPr>
              <w:spacing w:before="0" w:after="0" w:line="240" w:lineRule="auto"/>
            </w:pPr>
            <w:r>
              <w:rPr>
                <w:rFonts w:ascii="Times New Roman" w:hAnsi="Times New Roman" w:eastAsia="Times New Roman" w:cs="Times New Roman"/>
                <w:color w:val="000000"/>
                <w:sz w:val="28"/>
                <w:szCs w:val="24"/>
              </w:rPr>
              <w:t>210 платных подписок</w:t>
            </w:r>
          </w:p>
        </w:tc>
      </w:tr>
    </w:tbl>
    <w:p w14:paraId="0F94D86C">
      <w:pPr>
        <w:spacing w:before="0" w:after="0" w:line="360" w:lineRule="auto"/>
      </w:pPr>
    </w:p>
    <w:p w14:paraId="5C3F60B4">
      <w:pPr>
        <w:spacing w:before="0" w:after="0" w:line="360" w:lineRule="auto"/>
        <w:ind w:firstLine="708"/>
        <w:jc w:val="both"/>
      </w:pPr>
      <w:r>
        <w:rPr>
          <w:rFonts w:ascii="Times New Roman" w:hAnsi="Times New Roman" w:eastAsia="Times New Roman" w:cs="Times New Roman"/>
          <w:color w:val="000000"/>
          <w:sz w:val="28"/>
          <w:szCs w:val="28"/>
        </w:rPr>
        <w:t>Показатель LTV/CAC = 14,4 значительно превышает пороговое значение 3 — это говорит о высокой экономической привлекательности бизнес-модели для инвесторов [14, 15]. Точка безубыточности достижима при 210 платных подписчиках, и это реалистично при выходе на целевые сегменты через прямые B2B-продажи.</w:t>
      </w:r>
    </w:p>
    <w:p w14:paraId="066DBF72">
      <w:pPr>
        <w:pStyle w:val="3"/>
        <w:spacing w:before="0" w:after="0" w:line="360" w:lineRule="auto"/>
        <w:ind w:firstLine="708"/>
        <w:jc w:val="left"/>
      </w:pPr>
      <w:bookmarkStart w:id="7" w:name="_Toc929889111"/>
      <w:r>
        <w:rPr>
          <w:rFonts w:ascii="Times New Roman" w:hAnsi="Times New Roman" w:eastAsia="Times New Roman" w:cs="Times New Roman"/>
          <w:b/>
          <w:color w:val="000000"/>
          <w:sz w:val="28"/>
          <w:szCs w:val="28"/>
        </w:rPr>
        <w:t>1.6 Выводы по главе 1</w:t>
      </w:r>
      <w:bookmarkEnd w:id="7"/>
    </w:p>
    <w:p w14:paraId="3B563B07">
      <w:pPr>
        <w:spacing w:before="0" w:after="0" w:line="360" w:lineRule="auto"/>
        <w:ind w:firstLine="708"/>
        <w:jc w:val="both"/>
      </w:pPr>
      <w:r>
        <w:rPr>
          <w:rFonts w:ascii="Times New Roman" w:hAnsi="Times New Roman" w:eastAsia="Times New Roman" w:cs="Times New Roman"/>
          <w:color w:val="000000"/>
          <w:sz w:val="28"/>
          <w:szCs w:val="28"/>
        </w:rPr>
        <w:t>Аналитическое исследование привело к следующим результатам.</w:t>
      </w:r>
    </w:p>
    <w:p w14:paraId="76234160">
      <w:pPr>
        <w:spacing w:before="0" w:after="0" w:line="360" w:lineRule="auto"/>
        <w:ind w:firstLine="708"/>
        <w:jc w:val="both"/>
      </w:pPr>
      <w:r>
        <w:rPr>
          <w:rFonts w:ascii="Times New Roman" w:hAnsi="Times New Roman" w:eastAsia="Times New Roman" w:cs="Times New Roman"/>
          <w:color w:val="000000"/>
          <w:sz w:val="28"/>
          <w:szCs w:val="28"/>
        </w:rPr>
        <w:t>Глобальный рынок проекционного мэппинга оценивается в 4–6,7 млрд долларов США (2024–2025) с CAGR 19–23%. Российский сегмент видеомэппинга составляет приблизительно 8–10 млрд руб. с устойчивой положительной динамикой. Ключевыми драйверами являются спрос на иммерсивные форматы, государственная поддержка креативных индустрий и цифровизация смежных отраслей.</w:t>
      </w:r>
    </w:p>
    <w:p w14:paraId="418FE4CE">
      <w:pPr>
        <w:spacing w:before="0" w:after="0" w:line="360" w:lineRule="auto"/>
        <w:ind w:firstLine="708"/>
        <w:jc w:val="both"/>
      </w:pPr>
      <w:r>
        <w:rPr>
          <w:rFonts w:ascii="Times New Roman" w:hAnsi="Times New Roman" w:eastAsia="Times New Roman" w:cs="Times New Roman"/>
          <w:color w:val="000000"/>
          <w:sz w:val="28"/>
          <w:szCs w:val="28"/>
        </w:rPr>
        <w:t>Существующие программные решения (MadMapper, Resolume Arena, TouchDesigner, Blender, HeavyM) не автоматизируют ключевые этапы процесса — построение 3D-модели и подготовку анимационных эффектов. Из-за этого проекты остаются дорогими и долгими.</w:t>
      </w:r>
    </w:p>
    <w:p w14:paraId="48498016">
      <w:pPr>
        <w:spacing w:before="0" w:after="0" w:line="360" w:lineRule="auto"/>
        <w:ind w:firstLine="708"/>
        <w:jc w:val="both"/>
      </w:pPr>
      <w:r>
        <w:rPr>
          <w:rFonts w:ascii="Times New Roman" w:hAnsi="Times New Roman" w:eastAsia="Times New Roman" w:cs="Times New Roman"/>
          <w:color w:val="000000"/>
          <w:sz w:val="28"/>
          <w:szCs w:val="28"/>
        </w:rPr>
        <w:t>BPMN-модель as-is показала основные «узкие места» процесса: ручной труд моделлера и аниматора, многочисленные конвертации данных между разными программами, отсутствие единого интегрированного инструмента.</w:t>
      </w:r>
    </w:p>
    <w:p w14:paraId="46C3B03F">
      <w:pPr>
        <w:spacing w:before="0" w:after="0" w:line="360" w:lineRule="auto"/>
        <w:ind w:firstLine="708"/>
        <w:jc w:val="both"/>
      </w:pPr>
      <w:r>
        <w:rPr>
          <w:rFonts w:ascii="Times New Roman" w:hAnsi="Times New Roman" w:eastAsia="Times New Roman" w:cs="Times New Roman"/>
          <w:color w:val="000000"/>
          <w:sz w:val="28"/>
          <w:szCs w:val="28"/>
        </w:rPr>
        <w:t>CustDev (7 глубинных интервью) дал 4 продуктовые гипотезы, которые подтверждают востребованность оптимизированного решения. Две из них уже получили предварительное подтверждение в данных MVP.</w:t>
      </w:r>
    </w:p>
    <w:p w14:paraId="5C4D3C13">
      <w:pPr>
        <w:spacing w:before="0" w:after="0" w:line="360" w:lineRule="auto"/>
        <w:ind w:firstLine="708"/>
        <w:jc w:val="both"/>
      </w:pPr>
      <w:r>
        <w:rPr>
          <w:rFonts w:ascii="Times New Roman" w:hAnsi="Times New Roman" w:eastAsia="Times New Roman" w:cs="Times New Roman"/>
          <w:color w:val="000000"/>
          <w:sz w:val="28"/>
          <w:szCs w:val="28"/>
        </w:rPr>
        <w:t>Целевая BPMN-модель to-be показывает, что время создания контента можно сократить до 23 минут, а число специализированных ролей в команде — с трёх до одного оператора.</w:t>
      </w:r>
    </w:p>
    <w:p w14:paraId="1A0680EB">
      <w:pPr>
        <w:spacing w:before="0" w:after="0" w:line="360" w:lineRule="auto"/>
        <w:ind w:firstLine="708"/>
        <w:jc w:val="both"/>
      </w:pPr>
      <w:r>
        <w:rPr>
          <w:rFonts w:ascii="Times New Roman" w:hAnsi="Times New Roman" w:eastAsia="Times New Roman" w:cs="Times New Roman"/>
          <w:color w:val="000000"/>
          <w:sz w:val="28"/>
          <w:szCs w:val="28"/>
        </w:rPr>
        <w:t>Бизнес-модель построена на гибридной монетизации — Freemium + SaaS-подписка + проектные услуги. Показатель LTV/CAC = 14,4 подтверждает коммерческую привлекательность проекта и создаёт основу для привлечения инвестиций.</w:t>
      </w:r>
    </w:p>
    <w:p w14:paraId="6977407B">
      <w:pPr>
        <w:spacing w:before="0" w:after="0" w:line="360" w:lineRule="auto"/>
        <w:ind w:firstLine="708"/>
        <w:jc w:val="both"/>
      </w:pPr>
      <w:r>
        <w:rPr>
          <w:rFonts w:ascii="Times New Roman" w:hAnsi="Times New Roman" w:eastAsia="Times New Roman" w:cs="Times New Roman"/>
          <w:color w:val="000000"/>
          <w:sz w:val="28"/>
          <w:szCs w:val="28"/>
        </w:rPr>
        <w:t>Результаты главы 1 формируют исходную базу для последующего изложения. Полученная оценка рынка и продуктовая модель из BPMN to-be задают объём целевой аудитории и параметры воронки, на которых в главе 2 строятся расчёты юнит-экономики и трёхсценарная финансовая модель. Сформированная бизнес-модель по Business Model Canvas и тарифная линейка определяют ARPU и структуру выручки, без которых невозможно корректно рассчитать NPV и IRR. Карта проблем процесса и Customer Development-гипотезы становятся отправной точкой для главы 3, в которой я формирую трёхэтапную стратегию выхода на рынок (Hunting, Showcase, Community), описываю дорожную карту 2022–2027 годов с переходом от TRL 3 к TRL 9 и провожу анализ рисков. Таким образом, главы 2 и 3 разворачивают экономическую и стратегическую интерпретацию аналитических выводов, полученных в настоящей главе.</w:t>
      </w:r>
    </w:p>
    <w:p w14:paraId="068C6CF3">
      <w:pPr>
        <w:spacing w:before="0" w:after="0" w:line="360" w:lineRule="auto"/>
        <w:ind w:firstLine="708"/>
        <w:jc w:val="both"/>
      </w:pPr>
      <w:r>
        <w:rPr>
          <w:rFonts w:ascii="Times New Roman" w:hAnsi="Times New Roman" w:eastAsia="Times New Roman" w:cs="Times New Roman"/>
          <w:color w:val="000000"/>
          <w:sz w:val="28"/>
          <w:szCs w:val="28"/>
        </w:rPr>
        <w:t>Результаты главы 1 закладывают аналитический фундамент для проектирования коммерческого продукта (глава 2) и для разработки детальной стратегии выхода на рынок с финансовой моделью (глава 3).</w:t>
      </w:r>
    </w:p>
    <w:p w14:paraId="3DE706B7">
      <w:pPr>
        <w:spacing w:before="0" w:after="0" w:line="360" w:lineRule="auto"/>
      </w:pPr>
      <w:r>
        <w:rPr>
          <w:rFonts w:ascii="Times New Roman" w:hAnsi="Times New Roman" w:eastAsia="Times New Roman" w:cs="Times New Roman"/>
          <w:color w:val="000000"/>
          <w:sz w:val="28"/>
        </w:rPr>
        <w:br w:type="page"/>
      </w:r>
    </w:p>
    <w:p w14:paraId="78C8974E">
      <w:pPr>
        <w:pStyle w:val="2"/>
        <w:pageBreakBefore/>
        <w:spacing w:before="0" w:after="0" w:line="360" w:lineRule="auto"/>
        <w:jc w:val="both"/>
      </w:pPr>
      <w:bookmarkStart w:id="8" w:name="_Toc1407789358"/>
      <w:r>
        <w:rPr>
          <w:rFonts w:ascii="Times New Roman" w:hAnsi="Times New Roman" w:eastAsia="Times New Roman" w:cs="Times New Roman"/>
          <w:b/>
          <w:color w:val="000000"/>
          <w:sz w:val="28"/>
          <w:szCs w:val="28"/>
        </w:rPr>
        <w:t>2 ЭКОНОМИКА ПРОИЗВОДСТВА И ФИНАНСОВАЯ МОДЕЛЬ</w:t>
      </w:r>
      <w:bookmarkEnd w:id="8"/>
    </w:p>
    <w:p w14:paraId="6E56D9E7">
      <w:pPr>
        <w:spacing w:before="0" w:after="0" w:line="360" w:lineRule="auto"/>
        <w:ind w:firstLine="708"/>
        <w:jc w:val="both"/>
      </w:pPr>
      <w:r>
        <w:rPr>
          <w:rFonts w:ascii="Times New Roman" w:hAnsi="Times New Roman" w:eastAsia="Times New Roman" w:cs="Times New Roman"/>
          <w:color w:val="000000"/>
          <w:sz w:val="28"/>
          <w:szCs w:val="28"/>
        </w:rPr>
        <w:t>Во второй главе я перехожу от рыночной аналитики к экономике производства и финансовому моделированию. Сначала разбираю структуру себестоимости одного сеанса генерации видеомэппинга и считаю показатели юнит-экономики SaaS-продукта — ARPU, CAC, LTV, CAC Payback. Затем сравниваю две модели развёртывания инфраструктуры — облачную и гибридную — и объясняю выбранный сценарий масштабирования. В финале строю трёхсценарную финансовую модель на горизонте 36 месяцев, считаю потребность в инвестициях и формулирую поэтапную стратегию финансирования: от гранта ФСИ к ангельскому и венчурному капиталу. Результаты этой главы дают экономическую базу для оценки эффективности в главе 3.</w:t>
      </w:r>
    </w:p>
    <w:p w14:paraId="426175A9">
      <w:pPr>
        <w:pStyle w:val="3"/>
        <w:spacing w:before="0" w:after="0" w:line="360" w:lineRule="auto"/>
        <w:ind w:firstLine="708"/>
        <w:jc w:val="both"/>
      </w:pPr>
      <w:bookmarkStart w:id="9" w:name="_Toc1888400907"/>
      <w:r>
        <w:rPr>
          <w:rFonts w:ascii="Times New Roman" w:hAnsi="Times New Roman" w:eastAsia="Times New Roman" w:cs="Times New Roman"/>
          <w:b/>
          <w:color w:val="000000"/>
          <w:sz w:val="28"/>
          <w:szCs w:val="28"/>
        </w:rPr>
        <w:t>2.1 Экономика производства и unit-экономика продукта</w:t>
      </w:r>
      <w:bookmarkEnd w:id="9"/>
    </w:p>
    <w:p w14:paraId="2FEBA4A5">
      <w:pPr>
        <w:spacing w:before="0" w:after="0" w:line="360" w:lineRule="auto"/>
        <w:ind w:firstLine="708"/>
        <w:jc w:val="both"/>
      </w:pPr>
      <w:r>
        <w:rPr>
          <w:rFonts w:ascii="Times New Roman" w:hAnsi="Times New Roman" w:eastAsia="Times New Roman" w:cs="Times New Roman"/>
          <w:color w:val="000000"/>
          <w:sz w:val="28"/>
          <w:szCs w:val="28"/>
        </w:rPr>
        <w:t>Переход от технологического прототипа к коммерческому продукту требует детальной оценки экономики производства: структуры себестоимости, ключевых драйверов затрат и показателей юнит-экономики. В этом разделе я обосновываю экономику коммерциализации ПО стартапа «Эксперимент 619». В основе подхода — сочетание lean-аналитики и классического финансового моделирования [16, 17].</w:t>
      </w:r>
    </w:p>
    <w:p w14:paraId="7E181605">
      <w:pPr>
        <w:spacing w:before="0" w:after="0" w:line="360" w:lineRule="auto"/>
        <w:ind w:firstLine="708"/>
        <w:jc w:val="both"/>
      </w:pPr>
      <w:r>
        <w:rPr>
          <w:rFonts w:ascii="Times New Roman" w:hAnsi="Times New Roman" w:eastAsia="Times New Roman" w:cs="Times New Roman"/>
          <w:color w:val="000000"/>
          <w:sz w:val="28"/>
          <w:szCs w:val="28"/>
        </w:rPr>
        <w:t>Себестоимость генерации 3D-контента — это комплексный показатель. В него входят затраты на вычислительные ресурсы (GPU-инференс нейронной сети), хранение данных, амортизация интеллектуальной собственности и трудовые расходы на поддержку и доработку библиотеки эффектов. Чтобы корректно оценить эти затраты, я построил модель расчёта себестоимости одного сеанса генерации контента — её структура показана в таблице 2.1.</w:t>
      </w:r>
    </w:p>
    <w:p w14:paraId="7D11B3FA">
      <w:pPr>
        <w:spacing w:before="0" w:after="0" w:line="360" w:lineRule="auto"/>
        <w:jc w:val="left"/>
        <w:rPr>
          <w:rFonts w:ascii="Times New Roman" w:hAnsi="Times New Roman" w:eastAsia="Times New Roman" w:cs="Times New Roman"/>
          <w:i w:val="0"/>
          <w:iCs w:val="0"/>
          <w:color w:val="000000"/>
          <w:sz w:val="28"/>
          <w:szCs w:val="28"/>
        </w:rPr>
      </w:pPr>
      <w:r>
        <w:rPr>
          <w:rFonts w:ascii="Times New Roman" w:hAnsi="Times New Roman" w:eastAsia="Times New Roman" w:cs="Times New Roman"/>
          <w:i w:val="0"/>
          <w:iCs w:val="0"/>
          <w:color w:val="000000"/>
          <w:sz w:val="28"/>
          <w:szCs w:val="28"/>
        </w:rPr>
        <w:t>Таблица 2.1 — Структура себестоимости одного сеанса генерации видеомэппинга</w:t>
      </w:r>
    </w:p>
    <w:p w14:paraId="7A525C97">
      <w:pPr>
        <w:spacing w:before="0" w:after="0" w:line="360" w:lineRule="auto"/>
        <w:jc w:val="left"/>
        <w:rPr>
          <w:rFonts w:ascii="Times New Roman" w:hAnsi="Times New Roman" w:eastAsia="Times New Roman" w:cs="Times New Roman"/>
          <w:i w:val="0"/>
          <w:iCs w:val="0"/>
          <w:color w:val="000000"/>
          <w:sz w:val="28"/>
          <w:szCs w:val="28"/>
        </w:rPr>
      </w:pPr>
    </w:p>
    <w:p w14:paraId="20458A62">
      <w:pPr>
        <w:spacing w:before="0" w:after="0" w:line="360" w:lineRule="auto"/>
        <w:jc w:val="left"/>
        <w:rPr>
          <w:rFonts w:ascii="Times New Roman" w:hAnsi="Times New Roman" w:eastAsia="Times New Roman" w:cs="Times New Roman"/>
          <w:i w:val="0"/>
          <w:iCs w:val="0"/>
          <w:color w:val="000000"/>
          <w:sz w:val="28"/>
          <w:szCs w:val="28"/>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13"/>
        <w:gridCol w:w="2757"/>
        <w:gridCol w:w="2756"/>
      </w:tblGrid>
      <w:tr w14:paraId="13C6726E">
        <w:tc>
          <w:tcPr>
            <w:tcW w:w="3513"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2B3268E5">
            <w:pPr>
              <w:spacing w:before="0" w:after="0" w:line="240" w:lineRule="auto"/>
              <w:jc w:val="center"/>
            </w:pPr>
            <w:r>
              <w:rPr>
                <w:rFonts w:ascii="Times New Roman" w:hAnsi="Times New Roman" w:eastAsia="Times New Roman" w:cs="Times New Roman"/>
                <w:bCs/>
                <w:color w:val="000000"/>
                <w:sz w:val="28"/>
                <w:szCs w:val="24"/>
              </w:rPr>
              <w:t>Статья затрат</w:t>
            </w:r>
          </w:p>
        </w:tc>
        <w:tc>
          <w:tcPr>
            <w:tcW w:w="2757"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47EEE265">
            <w:pPr>
              <w:spacing w:before="0" w:after="0" w:line="240" w:lineRule="auto"/>
              <w:jc w:val="center"/>
            </w:pPr>
            <w:r>
              <w:rPr>
                <w:rFonts w:ascii="Times New Roman" w:hAnsi="Times New Roman" w:eastAsia="Times New Roman" w:cs="Times New Roman"/>
                <w:bCs/>
                <w:color w:val="000000"/>
                <w:sz w:val="28"/>
                <w:szCs w:val="24"/>
              </w:rPr>
              <w:t>Значение, руб.</w:t>
            </w:r>
          </w:p>
        </w:tc>
        <w:tc>
          <w:tcPr>
            <w:tcW w:w="2756"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3270284A">
            <w:pPr>
              <w:spacing w:before="0" w:after="0" w:line="240" w:lineRule="auto"/>
              <w:jc w:val="center"/>
            </w:pPr>
            <w:r>
              <w:rPr>
                <w:rFonts w:ascii="Times New Roman" w:hAnsi="Times New Roman" w:eastAsia="Times New Roman" w:cs="Times New Roman"/>
                <w:bCs/>
                <w:color w:val="000000"/>
                <w:sz w:val="28"/>
                <w:szCs w:val="24"/>
              </w:rPr>
              <w:t>Доля, %</w:t>
            </w:r>
          </w:p>
        </w:tc>
      </w:tr>
      <w:tr w14:paraId="3EC8A1BD">
        <w:tc>
          <w:tcPr>
            <w:tcW w:w="3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F20ADBE">
            <w:pPr>
              <w:spacing w:before="0" w:after="0" w:line="240" w:lineRule="auto"/>
            </w:pPr>
            <w:r>
              <w:rPr>
                <w:rFonts w:ascii="Times New Roman" w:hAnsi="Times New Roman" w:eastAsia="Times New Roman" w:cs="Times New Roman"/>
                <w:color w:val="000000"/>
                <w:sz w:val="28"/>
                <w:szCs w:val="24"/>
              </w:rPr>
              <w:t>GPU-инференс (аренда A100, 13 мин)</w:t>
            </w:r>
          </w:p>
        </w:tc>
        <w:tc>
          <w:tcPr>
            <w:tcW w:w="27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3B62C4F">
            <w:pPr>
              <w:spacing w:before="0" w:after="0" w:line="240" w:lineRule="auto"/>
            </w:pPr>
            <w:r>
              <w:rPr>
                <w:rFonts w:ascii="Times New Roman" w:hAnsi="Times New Roman" w:eastAsia="Times New Roman" w:cs="Times New Roman"/>
                <w:color w:val="000000"/>
                <w:sz w:val="28"/>
                <w:szCs w:val="24"/>
              </w:rPr>
              <w:t>42</w:t>
            </w:r>
          </w:p>
        </w:tc>
        <w:tc>
          <w:tcPr>
            <w:tcW w:w="27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ECECE2E">
            <w:pPr>
              <w:spacing w:before="0" w:after="0" w:line="240" w:lineRule="auto"/>
            </w:pPr>
            <w:r>
              <w:rPr>
                <w:rFonts w:ascii="Times New Roman" w:hAnsi="Times New Roman" w:eastAsia="Times New Roman" w:cs="Times New Roman"/>
                <w:color w:val="000000"/>
                <w:sz w:val="28"/>
                <w:szCs w:val="24"/>
              </w:rPr>
              <w:t>28,0</w:t>
            </w:r>
          </w:p>
        </w:tc>
      </w:tr>
      <w:tr w14:paraId="348E61C1">
        <w:tc>
          <w:tcPr>
            <w:tcW w:w="3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1F1A022">
            <w:pPr>
              <w:spacing w:before="0" w:after="0" w:line="240" w:lineRule="auto"/>
            </w:pPr>
            <w:r>
              <w:rPr>
                <w:rFonts w:ascii="Times New Roman" w:hAnsi="Times New Roman" w:eastAsia="Times New Roman" w:cs="Times New Roman"/>
                <w:color w:val="000000"/>
                <w:sz w:val="28"/>
                <w:szCs w:val="24"/>
              </w:rPr>
              <w:t>Хранение данных (S3-совместимое)</w:t>
            </w:r>
          </w:p>
        </w:tc>
        <w:tc>
          <w:tcPr>
            <w:tcW w:w="27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D991557">
            <w:pPr>
              <w:spacing w:before="0" w:after="0" w:line="240" w:lineRule="auto"/>
            </w:pPr>
            <w:r>
              <w:rPr>
                <w:rFonts w:ascii="Times New Roman" w:hAnsi="Times New Roman" w:eastAsia="Times New Roman" w:cs="Times New Roman"/>
                <w:color w:val="000000"/>
                <w:sz w:val="28"/>
                <w:szCs w:val="24"/>
              </w:rPr>
              <w:t>8</w:t>
            </w:r>
          </w:p>
        </w:tc>
        <w:tc>
          <w:tcPr>
            <w:tcW w:w="27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4D46E0B">
            <w:pPr>
              <w:spacing w:before="0" w:after="0" w:line="240" w:lineRule="auto"/>
            </w:pPr>
            <w:r>
              <w:rPr>
                <w:rFonts w:ascii="Times New Roman" w:hAnsi="Times New Roman" w:eastAsia="Times New Roman" w:cs="Times New Roman"/>
                <w:color w:val="000000"/>
                <w:sz w:val="28"/>
                <w:szCs w:val="24"/>
              </w:rPr>
              <w:t>5,3</w:t>
            </w:r>
          </w:p>
        </w:tc>
      </w:tr>
      <w:tr w14:paraId="1F6A2585">
        <w:tc>
          <w:tcPr>
            <w:tcW w:w="3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5490713">
            <w:pPr>
              <w:spacing w:before="0" w:after="0" w:line="240" w:lineRule="auto"/>
            </w:pPr>
            <w:r>
              <w:rPr>
                <w:rFonts w:ascii="Times New Roman" w:hAnsi="Times New Roman" w:eastAsia="Times New Roman" w:cs="Times New Roman"/>
                <w:color w:val="000000"/>
                <w:sz w:val="28"/>
                <w:szCs w:val="24"/>
              </w:rPr>
              <w:t>Амортизация ПО и ML-моделей</w:t>
            </w:r>
          </w:p>
        </w:tc>
        <w:tc>
          <w:tcPr>
            <w:tcW w:w="27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DA13532">
            <w:pPr>
              <w:spacing w:before="0" w:after="0" w:line="240" w:lineRule="auto"/>
            </w:pPr>
            <w:r>
              <w:rPr>
                <w:rFonts w:ascii="Times New Roman" w:hAnsi="Times New Roman" w:eastAsia="Times New Roman" w:cs="Times New Roman"/>
                <w:color w:val="000000"/>
                <w:sz w:val="28"/>
                <w:szCs w:val="24"/>
              </w:rPr>
              <w:t>35</w:t>
            </w:r>
          </w:p>
        </w:tc>
        <w:tc>
          <w:tcPr>
            <w:tcW w:w="27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C82C270">
            <w:pPr>
              <w:spacing w:before="0" w:after="0" w:line="240" w:lineRule="auto"/>
            </w:pPr>
            <w:r>
              <w:rPr>
                <w:rFonts w:ascii="Times New Roman" w:hAnsi="Times New Roman" w:eastAsia="Times New Roman" w:cs="Times New Roman"/>
                <w:color w:val="000000"/>
                <w:sz w:val="28"/>
                <w:szCs w:val="24"/>
              </w:rPr>
              <w:t>23,3</w:t>
            </w:r>
          </w:p>
        </w:tc>
      </w:tr>
      <w:tr w14:paraId="0F34DE32">
        <w:tc>
          <w:tcPr>
            <w:tcW w:w="3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62E2932">
            <w:pPr>
              <w:spacing w:before="0" w:after="0" w:line="240" w:lineRule="auto"/>
            </w:pPr>
            <w:r>
              <w:rPr>
                <w:rFonts w:ascii="Times New Roman" w:hAnsi="Times New Roman" w:eastAsia="Times New Roman" w:cs="Times New Roman"/>
                <w:color w:val="000000"/>
                <w:sz w:val="28"/>
                <w:szCs w:val="24"/>
              </w:rPr>
              <w:t>Трудозатраты поддержки (пропорц.)</w:t>
            </w:r>
          </w:p>
        </w:tc>
        <w:tc>
          <w:tcPr>
            <w:tcW w:w="27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3EF40BF">
            <w:pPr>
              <w:spacing w:before="0" w:after="0" w:line="240" w:lineRule="auto"/>
            </w:pPr>
            <w:r>
              <w:rPr>
                <w:rFonts w:ascii="Times New Roman" w:hAnsi="Times New Roman" w:eastAsia="Times New Roman" w:cs="Times New Roman"/>
                <w:color w:val="000000"/>
                <w:sz w:val="28"/>
                <w:szCs w:val="24"/>
              </w:rPr>
              <w:t>45</w:t>
            </w:r>
          </w:p>
        </w:tc>
        <w:tc>
          <w:tcPr>
            <w:tcW w:w="27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C93DA92">
            <w:pPr>
              <w:spacing w:before="0" w:after="0" w:line="240" w:lineRule="auto"/>
            </w:pPr>
            <w:r>
              <w:rPr>
                <w:rFonts w:ascii="Times New Roman" w:hAnsi="Times New Roman" w:eastAsia="Times New Roman" w:cs="Times New Roman"/>
                <w:color w:val="000000"/>
                <w:sz w:val="28"/>
                <w:szCs w:val="24"/>
              </w:rPr>
              <w:t>30,0</w:t>
            </w:r>
          </w:p>
        </w:tc>
      </w:tr>
      <w:tr w14:paraId="675634EF">
        <w:tc>
          <w:tcPr>
            <w:tcW w:w="3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A3CDEC1">
            <w:pPr>
              <w:spacing w:before="0" w:after="0" w:line="240" w:lineRule="auto"/>
            </w:pPr>
            <w:r>
              <w:rPr>
                <w:rFonts w:ascii="Times New Roman" w:hAnsi="Times New Roman" w:eastAsia="Times New Roman" w:cs="Times New Roman"/>
                <w:color w:val="000000"/>
                <w:sz w:val="28"/>
                <w:szCs w:val="24"/>
              </w:rPr>
              <w:t>Прочие (логирование, мониторинг)</w:t>
            </w:r>
          </w:p>
        </w:tc>
        <w:tc>
          <w:tcPr>
            <w:tcW w:w="27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C3A93F8">
            <w:pPr>
              <w:spacing w:before="0" w:after="0" w:line="240" w:lineRule="auto"/>
            </w:pPr>
            <w:r>
              <w:rPr>
                <w:rFonts w:ascii="Times New Roman" w:hAnsi="Times New Roman" w:eastAsia="Times New Roman" w:cs="Times New Roman"/>
                <w:color w:val="000000"/>
                <w:sz w:val="28"/>
                <w:szCs w:val="24"/>
              </w:rPr>
              <w:t>20</w:t>
            </w:r>
          </w:p>
        </w:tc>
        <w:tc>
          <w:tcPr>
            <w:tcW w:w="27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E4B3C54">
            <w:pPr>
              <w:spacing w:before="0" w:after="0" w:line="240" w:lineRule="auto"/>
            </w:pPr>
            <w:r>
              <w:rPr>
                <w:rFonts w:ascii="Times New Roman" w:hAnsi="Times New Roman" w:eastAsia="Times New Roman" w:cs="Times New Roman"/>
                <w:color w:val="000000"/>
                <w:sz w:val="28"/>
                <w:szCs w:val="24"/>
              </w:rPr>
              <w:t>13,4</w:t>
            </w:r>
          </w:p>
        </w:tc>
      </w:tr>
      <w:tr w14:paraId="60B6A833">
        <w:tc>
          <w:tcPr>
            <w:tcW w:w="3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139AD88">
            <w:pPr>
              <w:spacing w:before="0" w:after="0" w:line="240" w:lineRule="auto"/>
            </w:pPr>
            <w:r>
              <w:rPr>
                <w:rFonts w:ascii="Times New Roman" w:hAnsi="Times New Roman" w:eastAsia="Times New Roman" w:cs="Times New Roman"/>
                <w:bCs/>
                <w:color w:val="000000"/>
                <w:sz w:val="28"/>
                <w:szCs w:val="24"/>
              </w:rPr>
              <w:t>ИТОГО себестоимость сеанса</w:t>
            </w:r>
          </w:p>
        </w:tc>
        <w:tc>
          <w:tcPr>
            <w:tcW w:w="27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CC32C26">
            <w:pPr>
              <w:spacing w:before="0" w:after="0" w:line="240" w:lineRule="auto"/>
            </w:pPr>
            <w:r>
              <w:rPr>
                <w:rFonts w:ascii="Times New Roman" w:hAnsi="Times New Roman" w:eastAsia="Times New Roman" w:cs="Times New Roman"/>
                <w:bCs/>
                <w:color w:val="000000"/>
                <w:sz w:val="28"/>
                <w:szCs w:val="24"/>
              </w:rPr>
              <w:t>150</w:t>
            </w:r>
          </w:p>
        </w:tc>
        <w:tc>
          <w:tcPr>
            <w:tcW w:w="27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6817D73">
            <w:pPr>
              <w:spacing w:before="0" w:after="0" w:line="240" w:lineRule="auto"/>
            </w:pPr>
            <w:r>
              <w:rPr>
                <w:rFonts w:ascii="Times New Roman" w:hAnsi="Times New Roman" w:eastAsia="Times New Roman" w:cs="Times New Roman"/>
                <w:bCs/>
                <w:color w:val="000000"/>
                <w:sz w:val="28"/>
                <w:szCs w:val="24"/>
              </w:rPr>
              <w:t>100,0</w:t>
            </w:r>
          </w:p>
        </w:tc>
      </w:tr>
    </w:tbl>
    <w:p w14:paraId="5A5F9D71">
      <w:pPr>
        <w:spacing w:before="0" w:after="0" w:line="360" w:lineRule="auto"/>
      </w:pPr>
    </w:p>
    <w:p w14:paraId="2127EDFD">
      <w:pPr>
        <w:spacing w:before="0" w:after="0" w:line="360" w:lineRule="auto"/>
        <w:ind w:firstLine="708"/>
        <w:jc w:val="both"/>
      </w:pPr>
      <w:r>
        <w:rPr>
          <w:rFonts w:ascii="Times New Roman" w:hAnsi="Times New Roman" w:eastAsia="Times New Roman" w:cs="Times New Roman"/>
          <w:color w:val="000000"/>
          <w:sz w:val="28"/>
          <w:szCs w:val="28"/>
        </w:rPr>
        <w:t>Итак, себестоимость одного сеанса генерации — около 150 руб. При средней цене для конечного пользователя от 500 руб. (разовый платёж) до 1 200 руб. (в рамках подписки с лимитом сеансов) валовая маржа на единицу продукции — 70–87%. Это уровень успешных SaaS-компаний [18, 19]. Главный драйвер затрат — GPU-инференс; его стоимость снижается благодаря развитию облачных GPU-сервисов и появлению более эффективных архитектур нейронных сетей.</w:t>
      </w:r>
    </w:p>
    <w:p w14:paraId="13E1D901">
      <w:pPr>
        <w:spacing w:before="0" w:after="0" w:line="360" w:lineRule="auto"/>
        <w:ind w:firstLine="708"/>
        <w:jc w:val="both"/>
      </w:pPr>
      <w:r>
        <w:rPr>
          <w:rFonts w:ascii="Times New Roman" w:hAnsi="Times New Roman" w:eastAsia="Times New Roman" w:cs="Times New Roman"/>
          <w:color w:val="000000"/>
          <w:sz w:val="28"/>
          <w:szCs w:val="28"/>
        </w:rPr>
        <w:t>Юнит-экономику продукта я рассчитал по стандартной методологии SaaS-бизнеса: CAC, LTV, ARPU и показатели когортного анализа [20, 21]. Целевые показатели опираются на данные CustDev (7 глубинных интервью) и отраслевые бенчмарки. Результаты — в таблице 2.2.</w:t>
      </w:r>
    </w:p>
    <w:p w14:paraId="5A4EC9E3">
      <w:pPr>
        <w:spacing w:before="0" w:after="0" w:line="360" w:lineRule="auto"/>
        <w:jc w:val="left"/>
        <w:rPr>
          <w:i w:val="0"/>
          <w:iCs w:val="0"/>
        </w:rPr>
      </w:pPr>
      <w:r>
        <w:rPr>
          <w:rFonts w:ascii="Times New Roman" w:hAnsi="Times New Roman" w:eastAsia="Times New Roman" w:cs="Times New Roman"/>
          <w:i w:val="0"/>
          <w:iCs w:val="0"/>
          <w:color w:val="000000"/>
          <w:sz w:val="28"/>
          <w:szCs w:val="28"/>
        </w:rPr>
        <w:t>Таблица 2.2 — Показатели unit-экономики продукта «Эксперимент 619»</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13"/>
        <w:gridCol w:w="3013"/>
        <w:gridCol w:w="3000"/>
      </w:tblGrid>
      <w:tr w14:paraId="4A194182">
        <w:tc>
          <w:tcPr>
            <w:tcW w:w="3013"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1BA3F118">
            <w:pPr>
              <w:spacing w:before="0" w:after="0" w:line="240" w:lineRule="auto"/>
              <w:jc w:val="center"/>
            </w:pPr>
            <w:r>
              <w:rPr>
                <w:rFonts w:ascii="Times New Roman" w:hAnsi="Times New Roman" w:eastAsia="Times New Roman" w:cs="Times New Roman"/>
                <w:bCs/>
                <w:color w:val="000000"/>
                <w:sz w:val="28"/>
                <w:szCs w:val="24"/>
              </w:rPr>
              <w:t>Показатель</w:t>
            </w:r>
          </w:p>
        </w:tc>
        <w:tc>
          <w:tcPr>
            <w:tcW w:w="3013"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7B64E135">
            <w:pPr>
              <w:spacing w:before="0" w:after="0" w:line="240" w:lineRule="auto"/>
              <w:jc w:val="center"/>
            </w:pPr>
            <w:r>
              <w:rPr>
                <w:rFonts w:ascii="Times New Roman" w:hAnsi="Times New Roman" w:eastAsia="Times New Roman" w:cs="Times New Roman"/>
                <w:bCs/>
                <w:color w:val="000000"/>
                <w:sz w:val="28"/>
                <w:szCs w:val="24"/>
              </w:rPr>
              <w:t>Значение</w:t>
            </w:r>
          </w:p>
        </w:tc>
        <w:tc>
          <w:tcPr>
            <w:tcW w:w="30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6820B6FF">
            <w:pPr>
              <w:spacing w:before="0" w:after="0" w:line="240" w:lineRule="auto"/>
              <w:jc w:val="center"/>
            </w:pPr>
            <w:r>
              <w:rPr>
                <w:rFonts w:ascii="Times New Roman" w:hAnsi="Times New Roman" w:eastAsia="Times New Roman" w:cs="Times New Roman"/>
                <w:bCs/>
                <w:color w:val="000000"/>
                <w:sz w:val="28"/>
                <w:szCs w:val="24"/>
              </w:rPr>
              <w:t>Комментарий</w:t>
            </w:r>
          </w:p>
        </w:tc>
      </w:tr>
      <w:tr w14:paraId="506C0606">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5F2EF25">
            <w:pPr>
              <w:spacing w:before="0" w:after="0" w:line="240" w:lineRule="auto"/>
            </w:pPr>
            <w:r>
              <w:rPr>
                <w:rFonts w:ascii="Times New Roman" w:hAnsi="Times New Roman" w:eastAsia="Times New Roman" w:cs="Times New Roman"/>
                <w:color w:val="000000"/>
                <w:sz w:val="28"/>
                <w:szCs w:val="24"/>
              </w:rPr>
              <w:t>ARPU (мес.)</w:t>
            </w:r>
          </w:p>
        </w:tc>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3CD2CE5">
            <w:pPr>
              <w:spacing w:before="0" w:after="0" w:line="240" w:lineRule="auto"/>
            </w:pPr>
            <w:r>
              <w:rPr>
                <w:rFonts w:ascii="Times New Roman" w:hAnsi="Times New Roman" w:eastAsia="Times New Roman" w:cs="Times New Roman"/>
                <w:color w:val="000000"/>
                <w:sz w:val="28"/>
                <w:szCs w:val="24"/>
              </w:rPr>
              <w:t>12 000 руб.</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140077C">
            <w:pPr>
              <w:spacing w:before="0" w:after="0" w:line="240" w:lineRule="auto"/>
            </w:pPr>
            <w:r>
              <w:rPr>
                <w:rFonts w:ascii="Times New Roman" w:hAnsi="Times New Roman" w:eastAsia="Times New Roman" w:cs="Times New Roman"/>
                <w:color w:val="000000"/>
                <w:sz w:val="28"/>
                <w:szCs w:val="24"/>
              </w:rPr>
              <w:t>SaaS + доп. эффекты</w:t>
            </w:r>
          </w:p>
        </w:tc>
      </w:tr>
      <w:tr w14:paraId="61ADEFCC">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B2FF62F">
            <w:pPr>
              <w:spacing w:before="0" w:after="0" w:line="240" w:lineRule="auto"/>
            </w:pPr>
            <w:r>
              <w:rPr>
                <w:rFonts w:ascii="Times New Roman" w:hAnsi="Times New Roman" w:eastAsia="Times New Roman" w:cs="Times New Roman"/>
                <w:color w:val="000000"/>
                <w:sz w:val="28"/>
                <w:szCs w:val="24"/>
              </w:rPr>
              <w:t>CAC</w:t>
            </w:r>
          </w:p>
        </w:tc>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A045964">
            <w:pPr>
              <w:spacing w:before="0" w:after="0" w:line="240" w:lineRule="auto"/>
            </w:pPr>
            <w:r>
              <w:rPr>
                <w:rFonts w:ascii="Times New Roman" w:hAnsi="Times New Roman" w:eastAsia="Times New Roman" w:cs="Times New Roman"/>
                <w:color w:val="000000"/>
                <w:sz w:val="28"/>
                <w:szCs w:val="24"/>
              </w:rPr>
              <w:t>15 000 руб.</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3E635E1">
            <w:pPr>
              <w:spacing w:before="0" w:after="0" w:line="240" w:lineRule="auto"/>
            </w:pPr>
            <w:r>
              <w:rPr>
                <w:rFonts w:ascii="Times New Roman" w:hAnsi="Times New Roman" w:eastAsia="Times New Roman" w:cs="Times New Roman"/>
                <w:color w:val="000000"/>
                <w:sz w:val="28"/>
                <w:szCs w:val="24"/>
              </w:rPr>
              <w:t>Контекст + конференции</w:t>
            </w:r>
          </w:p>
        </w:tc>
      </w:tr>
      <w:tr w14:paraId="67CB2FA3">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8D55713">
            <w:pPr>
              <w:spacing w:before="0" w:after="0" w:line="240" w:lineRule="auto"/>
            </w:pPr>
            <w:r>
              <w:rPr>
                <w:rFonts w:ascii="Times New Roman" w:hAnsi="Times New Roman" w:eastAsia="Times New Roman" w:cs="Times New Roman"/>
                <w:color w:val="000000"/>
                <w:sz w:val="28"/>
                <w:szCs w:val="24"/>
              </w:rPr>
              <w:t>Средний срок жизни</w:t>
            </w:r>
          </w:p>
        </w:tc>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B7A584E">
            <w:pPr>
              <w:spacing w:before="0" w:after="0" w:line="240" w:lineRule="auto"/>
            </w:pPr>
            <w:r>
              <w:rPr>
                <w:rFonts w:ascii="Times New Roman" w:hAnsi="Times New Roman" w:eastAsia="Times New Roman" w:cs="Times New Roman"/>
                <w:color w:val="000000"/>
                <w:sz w:val="28"/>
                <w:szCs w:val="24"/>
              </w:rPr>
              <w:t>18 мес.</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F9A9175">
            <w:pPr>
              <w:spacing w:before="0" w:after="0" w:line="240" w:lineRule="auto"/>
            </w:pPr>
            <w:r>
              <w:rPr>
                <w:rFonts w:ascii="Times New Roman" w:hAnsi="Times New Roman" w:eastAsia="Times New Roman" w:cs="Times New Roman"/>
                <w:color w:val="000000"/>
                <w:sz w:val="28"/>
                <w:szCs w:val="24"/>
              </w:rPr>
              <w:t>Прогноз на основе CustDev</w:t>
            </w:r>
          </w:p>
        </w:tc>
      </w:tr>
      <w:tr w14:paraId="16B135BA">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8EF5D0C">
            <w:pPr>
              <w:spacing w:before="0" w:after="0" w:line="240" w:lineRule="auto"/>
            </w:pPr>
            <w:r>
              <w:rPr>
                <w:rFonts w:ascii="Times New Roman" w:hAnsi="Times New Roman" w:eastAsia="Times New Roman" w:cs="Times New Roman"/>
                <w:color w:val="000000"/>
                <w:sz w:val="28"/>
                <w:szCs w:val="24"/>
              </w:rPr>
              <w:t>LTV</w:t>
            </w:r>
          </w:p>
        </w:tc>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1D19797">
            <w:pPr>
              <w:spacing w:before="0" w:after="0" w:line="240" w:lineRule="auto"/>
            </w:pPr>
            <w:r>
              <w:rPr>
                <w:rFonts w:ascii="Times New Roman" w:hAnsi="Times New Roman" w:eastAsia="Times New Roman" w:cs="Times New Roman"/>
                <w:color w:val="000000"/>
                <w:sz w:val="28"/>
                <w:szCs w:val="24"/>
              </w:rPr>
              <w:t>216 000 руб.</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0B123A5">
            <w:pPr>
              <w:spacing w:before="0" w:after="0" w:line="240" w:lineRule="auto"/>
            </w:pPr>
            <w:r>
              <w:rPr>
                <w:rFonts w:ascii="Times New Roman" w:hAnsi="Times New Roman" w:eastAsia="Times New Roman" w:cs="Times New Roman"/>
                <w:color w:val="000000"/>
                <w:sz w:val="28"/>
                <w:szCs w:val="24"/>
              </w:rPr>
              <w:t>ARPU × срок жизни</w:t>
            </w:r>
          </w:p>
        </w:tc>
      </w:tr>
      <w:tr w14:paraId="329C6D4B">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766F0AC">
            <w:pPr>
              <w:spacing w:before="0" w:after="0" w:line="240" w:lineRule="auto"/>
            </w:pPr>
            <w:r>
              <w:rPr>
                <w:rFonts w:ascii="Times New Roman" w:hAnsi="Times New Roman" w:eastAsia="Times New Roman" w:cs="Times New Roman"/>
                <w:color w:val="000000"/>
                <w:sz w:val="28"/>
                <w:szCs w:val="24"/>
              </w:rPr>
              <w:t>LTV/CAC</w:t>
            </w:r>
          </w:p>
        </w:tc>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32BB0A1">
            <w:pPr>
              <w:spacing w:before="0" w:after="0" w:line="240" w:lineRule="auto"/>
            </w:pPr>
            <w:r>
              <w:rPr>
                <w:rFonts w:ascii="Times New Roman" w:hAnsi="Times New Roman" w:eastAsia="Times New Roman" w:cs="Times New Roman"/>
                <w:color w:val="000000"/>
                <w:sz w:val="28"/>
                <w:szCs w:val="24"/>
              </w:rPr>
              <w:t>14,4</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E23E888">
            <w:pPr>
              <w:spacing w:before="0" w:after="0" w:line="240" w:lineRule="auto"/>
            </w:pPr>
            <w:r>
              <w:rPr>
                <w:rFonts w:ascii="Times New Roman" w:hAnsi="Times New Roman" w:eastAsia="Times New Roman" w:cs="Times New Roman"/>
                <w:color w:val="000000"/>
                <w:sz w:val="28"/>
                <w:szCs w:val="24"/>
              </w:rPr>
              <w:t>Порог &gt; 3 [18]</w:t>
            </w:r>
          </w:p>
        </w:tc>
      </w:tr>
      <w:tr w14:paraId="44334F04">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6199F74">
            <w:pPr>
              <w:spacing w:before="0" w:after="0" w:line="240" w:lineRule="auto"/>
            </w:pPr>
            <w:r>
              <w:rPr>
                <w:rFonts w:ascii="Times New Roman" w:hAnsi="Times New Roman" w:eastAsia="Times New Roman" w:cs="Times New Roman"/>
                <w:color w:val="000000"/>
                <w:sz w:val="28"/>
                <w:szCs w:val="24"/>
              </w:rPr>
              <w:t>CAC Payback</w:t>
            </w:r>
          </w:p>
        </w:tc>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006EA61">
            <w:pPr>
              <w:spacing w:before="0" w:after="0" w:line="240" w:lineRule="auto"/>
            </w:pPr>
            <w:r>
              <w:rPr>
                <w:rFonts w:ascii="Times New Roman" w:hAnsi="Times New Roman" w:eastAsia="Times New Roman" w:cs="Times New Roman"/>
                <w:color w:val="000000"/>
                <w:sz w:val="28"/>
                <w:szCs w:val="24"/>
              </w:rPr>
              <w:t>1,25 мес.</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45A386B">
            <w:pPr>
              <w:spacing w:before="0" w:after="0" w:line="240" w:lineRule="auto"/>
            </w:pPr>
            <w:r>
              <w:rPr>
                <w:rFonts w:ascii="Times New Roman" w:hAnsi="Times New Roman" w:eastAsia="Times New Roman" w:cs="Times New Roman"/>
                <w:color w:val="000000"/>
                <w:sz w:val="28"/>
                <w:szCs w:val="24"/>
              </w:rPr>
              <w:t>Быстрая окупаемость</w:t>
            </w:r>
          </w:p>
        </w:tc>
      </w:tr>
      <w:tr w14:paraId="3768D46E">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F6B26E3">
            <w:pPr>
              <w:spacing w:before="0" w:after="0" w:line="240" w:lineRule="auto"/>
            </w:pPr>
            <w:r>
              <w:rPr>
                <w:rFonts w:ascii="Times New Roman" w:hAnsi="Times New Roman" w:eastAsia="Times New Roman" w:cs="Times New Roman"/>
                <w:color w:val="000000"/>
                <w:sz w:val="28"/>
                <w:szCs w:val="24"/>
              </w:rPr>
              <w:t>Gross Margin</w:t>
            </w:r>
          </w:p>
        </w:tc>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CBFDBE2">
            <w:pPr>
              <w:spacing w:before="0" w:after="0" w:line="240" w:lineRule="auto"/>
            </w:pPr>
            <w:r>
              <w:rPr>
                <w:rFonts w:ascii="Times New Roman" w:hAnsi="Times New Roman" w:eastAsia="Times New Roman" w:cs="Times New Roman"/>
                <w:color w:val="000000"/>
                <w:sz w:val="28"/>
                <w:szCs w:val="24"/>
              </w:rPr>
              <w:t>87%</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7634C08">
            <w:pPr>
              <w:spacing w:before="0" w:after="0" w:line="240" w:lineRule="auto"/>
            </w:pPr>
            <w:r>
              <w:rPr>
                <w:rFonts w:ascii="Times New Roman" w:hAnsi="Times New Roman" w:eastAsia="Times New Roman" w:cs="Times New Roman"/>
                <w:color w:val="000000"/>
                <w:sz w:val="28"/>
                <w:szCs w:val="24"/>
              </w:rPr>
              <w:t>Характерно для SaaS</w:t>
            </w:r>
          </w:p>
        </w:tc>
      </w:tr>
      <w:tr w14:paraId="76EE0429">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BAA4DD0">
            <w:pPr>
              <w:spacing w:before="0" w:after="0" w:line="240" w:lineRule="auto"/>
            </w:pPr>
            <w:r>
              <w:rPr>
                <w:rFonts w:ascii="Times New Roman" w:hAnsi="Times New Roman" w:eastAsia="Times New Roman" w:cs="Times New Roman"/>
                <w:color w:val="000000"/>
                <w:sz w:val="28"/>
                <w:szCs w:val="24"/>
              </w:rPr>
              <w:t>Monthly Churn (прогноз)</w:t>
            </w:r>
          </w:p>
        </w:tc>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F77F3D6">
            <w:pPr>
              <w:spacing w:before="0" w:after="0" w:line="240" w:lineRule="auto"/>
            </w:pPr>
            <w:r>
              <w:rPr>
                <w:rFonts w:ascii="Times New Roman" w:hAnsi="Times New Roman" w:eastAsia="Times New Roman" w:cs="Times New Roman"/>
                <w:color w:val="000000"/>
                <w:sz w:val="28"/>
                <w:szCs w:val="24"/>
              </w:rPr>
              <w:t>5,5%</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7D23954">
            <w:pPr>
              <w:spacing w:before="0" w:after="0" w:line="240" w:lineRule="auto"/>
            </w:pPr>
            <w:r>
              <w:rPr>
                <w:rFonts w:ascii="Times New Roman" w:hAnsi="Times New Roman" w:eastAsia="Times New Roman" w:cs="Times New Roman"/>
                <w:color w:val="000000"/>
                <w:sz w:val="28"/>
                <w:szCs w:val="24"/>
              </w:rPr>
              <w:t>Консервативная оценка</w:t>
            </w:r>
          </w:p>
        </w:tc>
      </w:tr>
    </w:tbl>
    <w:p w14:paraId="24227F06">
      <w:pPr>
        <w:spacing w:before="0" w:after="0" w:line="360" w:lineRule="auto"/>
      </w:pPr>
    </w:p>
    <w:p w14:paraId="5A6FD2D5">
      <w:pPr>
        <w:spacing w:before="0" w:after="0" w:line="360" w:lineRule="auto"/>
        <w:ind w:firstLine="708"/>
        <w:jc w:val="both"/>
      </w:pPr>
      <w:r>
        <w:rPr>
          <w:rFonts w:ascii="Times New Roman" w:hAnsi="Times New Roman" w:eastAsia="Times New Roman" w:cs="Times New Roman"/>
          <w:color w:val="000000"/>
          <w:sz w:val="28"/>
          <w:szCs w:val="28"/>
        </w:rPr>
        <w:t>Показатель LTV/CAC = 14,4 значительно превышает пороговое значение 3:1 — этот ориентир для устойчивого SaaS-бизнеса используют аналитики Bessemer Venture Partners и KeyBanc Capital Markets [18, 19]. Высокое соотношение объясняется двумя факторами: невысокой стоимостью привлечения (B2B-продажи через отраслевые выставки и прямые контакты) и высоким ARPU за счёт гибридной монетизации. Однако стоит учитывать, что на ранних стадиях развития стартапа фактические показатели могут существенно отличаться от прогнозных вследствие малого размера выборки и отсутствия статистически значимых когортных данных [20].</w:t>
      </w:r>
    </w:p>
    <w:p w14:paraId="0EF8246D">
      <w:pPr>
        <w:spacing w:before="0" w:after="0" w:line="360" w:lineRule="auto"/>
        <w:ind w:firstLine="708"/>
        <w:jc w:val="both"/>
      </w:pPr>
      <w:r>
        <w:rPr>
          <w:rFonts w:ascii="Times New Roman" w:hAnsi="Times New Roman" w:eastAsia="Times New Roman" w:cs="Times New Roman"/>
          <w:color w:val="000000"/>
          <w:sz w:val="28"/>
          <w:szCs w:val="28"/>
        </w:rPr>
        <w:t>Анализ чувствительности показывает: даже если CAC удвоится до 30 000 руб., а средний срок жизни клиента сократится до 12 месяцев, LTV/CAC всё равно останется на уровне 4,8 — выше порогового значения. Критический сценарий — CAC = 45 000 руб. при сроке жизни 8 месяцев: LTV/CAC опускается до 2,1, ниже порога устойчивости. Этот анализ показывает запас прочности бизнес-модели и определяет границы допустимых отклонений от целевых параметров [21].</w:t>
      </w:r>
    </w:p>
    <w:p w14:paraId="609A246A">
      <w:pPr>
        <w:spacing w:before="0" w:after="0" w:line="360" w:lineRule="auto"/>
        <w:ind w:firstLine="708"/>
        <w:jc w:val="both"/>
      </w:pPr>
      <w:r>
        <w:rPr>
          <w:rFonts w:ascii="Times New Roman" w:hAnsi="Times New Roman" w:eastAsia="Times New Roman" w:cs="Times New Roman"/>
          <w:color w:val="000000"/>
          <w:sz w:val="28"/>
          <w:szCs w:val="28"/>
        </w:rPr>
        <w:t>Помимо абсолютных показателей юнит-экономики, важен ещё CAC Payback Period — срок окупаемости затрат на привлечение клиента. При ARPU = 12 000 руб./мес. и Gross Margin = 87% ежемесячный вклад клиента в покрытие CAC — 10 440 руб. Соответственно, CAC Payback = 15 000 / 10 440 ≈ 1,4 месяца. Это очень короткий срок окупаемости — он позволяет реинвестировать средства в рост на раннем этапе без внешнего финансирования [19, 22].</w:t>
      </w:r>
    </w:p>
    <w:p w14:paraId="1473E6E7">
      <w:pPr>
        <w:spacing w:before="0" w:after="0" w:line="360" w:lineRule="auto"/>
        <w:ind w:firstLine="708"/>
        <w:jc w:val="both"/>
      </w:pPr>
      <w:r>
        <w:rPr>
          <w:rFonts w:ascii="Times New Roman" w:hAnsi="Times New Roman" w:eastAsia="Times New Roman" w:cs="Times New Roman"/>
          <w:color w:val="000000"/>
          <w:sz w:val="28"/>
          <w:szCs w:val="28"/>
        </w:rPr>
        <w:t>Отдельного внимания заслуживает структура выручки по источникам. Согласно разработанной модели монетизации, планируется следующее распределение: SaaS-подписка — 60% выручки; продажа дополнительных библиотек эффектов — 15%; проектные услуги по интеграции — 20%; партнёрские комиссии от AV-интеграторов — 5%. Диверсификация источников дохода снижает зависимость от единственного канала и повышает устойчивость бизнес-модели к рыночным колебаниям [17, 23].</w:t>
      </w:r>
    </w:p>
    <w:p w14:paraId="6BDCDBB9">
      <w:pPr>
        <w:spacing w:before="0" w:after="0" w:line="360" w:lineRule="auto"/>
        <w:jc w:val="center"/>
      </w:pPr>
      <w:r>
        <w:rPr>
          <w:rFonts w:ascii="Times New Roman" w:hAnsi="Times New Roman" w:eastAsia="Times New Roman" w:cs="Times New Roman"/>
          <w:color w:val="000000"/>
          <w:sz w:val="28"/>
        </w:rPr>
        <w:drawing>
          <wp:inline distT="0" distB="0" distL="114300" distR="114300">
            <wp:extent cx="4319905" cy="3345815"/>
            <wp:effectExtent l="0" t="0" r="23495" b="6985"/>
            <wp:docPr id="236853974" name="Picture 236853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53974" name="Picture 236853974"/>
                    <pic:cNvPicPr>
                      <a:picLocks noChangeAspect="1"/>
                    </pic:cNvPicPr>
                  </pic:nvPicPr>
                  <pic:blipFill>
                    <a:blip r:embed="rId10"/>
                    <a:stretch>
                      <a:fillRect/>
                    </a:stretch>
                  </pic:blipFill>
                  <pic:spPr>
                    <a:xfrm>
                      <a:off x="0" y="0"/>
                      <a:ext cx="4320000" cy="3346420"/>
                    </a:xfrm>
                    <a:prstGeom prst="rect">
                      <a:avLst/>
                    </a:prstGeom>
                  </pic:spPr>
                </pic:pic>
              </a:graphicData>
            </a:graphic>
          </wp:inline>
        </w:drawing>
      </w:r>
    </w:p>
    <w:p w14:paraId="4E569A3D">
      <w:pPr>
        <w:spacing w:before="0" w:after="0" w:line="360" w:lineRule="auto"/>
        <w:jc w:val="center"/>
      </w:pPr>
      <w:r>
        <w:rPr>
          <w:rFonts w:ascii="Times New Roman" w:hAnsi="Times New Roman" w:eastAsia="Times New Roman" w:cs="Times New Roman"/>
          <w:color w:val="000000"/>
          <w:sz w:val="28"/>
          <w:szCs w:val="28"/>
        </w:rPr>
        <w:t>Рисунок 2.1 — Структура выручки стартапа «Эксперимент 619» по источникам дохода</w:t>
      </w:r>
    </w:p>
    <w:p w14:paraId="3D6DF114">
      <w:pPr>
        <w:spacing w:before="0" w:after="0" w:line="360" w:lineRule="auto"/>
        <w:ind w:firstLine="708"/>
        <w:jc w:val="both"/>
      </w:pPr>
      <w:r>
        <w:rPr>
          <w:rFonts w:ascii="Times New Roman" w:hAnsi="Times New Roman" w:eastAsia="Times New Roman" w:cs="Times New Roman"/>
          <w:color w:val="000000"/>
          <w:sz w:val="28"/>
          <w:szCs w:val="28"/>
        </w:rPr>
        <w:t>Важным аспектом экономики производства является стоимость поддержки и обновления библиотеки эффектов. На текущем этапе библиотека включает 12 базовых визуальных эффектов, реализованных средствами свёрточных фильтров. Расширение библиотеки до 50+ эффектов запланировано в рамках дорожной карты развития продукта и потребует привлечения одного дополнительного специалиста по компьютерному зрению (ФОТ ~120 000 руб./мес.). Данные затраты учтены в финансовой модели как инвестиции в развитие продукта [5].</w:t>
      </w:r>
    </w:p>
    <w:p w14:paraId="3DC658D8">
      <w:pPr>
        <w:pStyle w:val="3"/>
        <w:spacing w:before="0" w:after="0" w:line="360" w:lineRule="auto"/>
        <w:ind w:firstLine="708"/>
        <w:jc w:val="both"/>
      </w:pPr>
      <w:bookmarkStart w:id="10" w:name="_Toc693224936"/>
      <w:r>
        <w:rPr>
          <w:rFonts w:ascii="Times New Roman" w:hAnsi="Times New Roman" w:eastAsia="Times New Roman" w:cs="Times New Roman"/>
          <w:b/>
          <w:color w:val="000000"/>
          <w:sz w:val="28"/>
          <w:szCs w:val="28"/>
        </w:rPr>
        <w:t>2.2 Производственная модель и масштабирование</w:t>
      </w:r>
      <w:bookmarkEnd w:id="10"/>
    </w:p>
    <w:p w14:paraId="7D4B225E">
      <w:pPr>
        <w:spacing w:before="0" w:after="0" w:line="360" w:lineRule="auto"/>
        <w:ind w:firstLine="708"/>
        <w:jc w:val="both"/>
      </w:pPr>
      <w:r>
        <w:rPr>
          <w:rFonts w:ascii="Times New Roman" w:hAnsi="Times New Roman" w:eastAsia="Times New Roman" w:cs="Times New Roman"/>
          <w:color w:val="000000"/>
          <w:sz w:val="28"/>
          <w:szCs w:val="28"/>
        </w:rPr>
        <w:t>Производственная модель стартапа «Эксперимент 619» описывает архитектуру предоставления услуги, инфраструктурные требования и подходы к масштабированию при росте клиентской базы. В этом разделе я сравню два альтернативных сценария развёртывания — облачную модель (Cloud) и гибридную модель (Hybrid) — и оценю экономическую целесообразность каждого [24, 25].</w:t>
      </w:r>
    </w:p>
    <w:p w14:paraId="4672706D">
      <w:pPr>
        <w:spacing w:before="0" w:after="0" w:line="360" w:lineRule="auto"/>
        <w:ind w:firstLine="708"/>
        <w:jc w:val="both"/>
      </w:pPr>
      <w:r>
        <w:rPr>
          <w:rFonts w:ascii="Times New Roman" w:hAnsi="Times New Roman" w:eastAsia="Times New Roman" w:cs="Times New Roman"/>
          <w:color w:val="000000"/>
          <w:sz w:val="28"/>
          <w:szCs w:val="28"/>
        </w:rPr>
        <w:t>Облачная модель предполагает, что вся вычислительная инфраструктура размещается на платформах облачных провайдеров — Yandex Cloud, Selectel, VK Cloud. Главное преимущество модели: не нужны капитальные затраты на оборудование, а ресурсы можно масштабировать динамически. Ключевой элемент архитектуры — GPU-инференс-сервер, который обрабатывает запросы пользователей на генерацию карт глубины. На инстансах с GPU NVIDIA A100/H100 один час вычислений стоит 200–400 руб. С учётом среднего времени обработки запроса (13 минут) и планируемой нагрузки (300–500 сеансов в день при выходе на 210 подписчиков) ежемесячные затраты на GPU-инференс — 126–252 тыс. руб. [24, 26].</w:t>
      </w:r>
    </w:p>
    <w:p w14:paraId="2F4FDE3D">
      <w:pPr>
        <w:spacing w:before="0" w:after="0" w:line="360" w:lineRule="auto"/>
        <w:ind w:firstLine="708"/>
        <w:jc w:val="both"/>
      </w:pPr>
      <w:r>
        <w:rPr>
          <w:rFonts w:ascii="Times New Roman" w:hAnsi="Times New Roman" w:eastAsia="Times New Roman" w:cs="Times New Roman"/>
          <w:color w:val="000000"/>
          <w:sz w:val="28"/>
          <w:szCs w:val="28"/>
        </w:rPr>
        <w:t>Гибридная модель предполагает покупку собственного GPU-сервера (от 800 тыс. до 1,5 млн руб.) для базовой нагрузки и использование облачных ресурсов для пиковых обращений. Эта модель снижает операционные затраты при стабильной нагрузке, но требует значительных первоначальных инвестиций и расходов на обслуживание инфраструктуры. Сравнение двух моделей — в таблице 2.3.</w:t>
      </w:r>
    </w:p>
    <w:p w14:paraId="260D9F6E">
      <w:pPr>
        <w:spacing w:before="0" w:after="0" w:line="360" w:lineRule="auto"/>
        <w:jc w:val="left"/>
        <w:rPr>
          <w:i w:val="0"/>
          <w:iCs w:val="0"/>
        </w:rPr>
      </w:pPr>
      <w:r>
        <w:rPr>
          <w:rFonts w:ascii="Times New Roman" w:hAnsi="Times New Roman" w:eastAsia="Times New Roman" w:cs="Times New Roman"/>
          <w:i w:val="0"/>
          <w:iCs w:val="0"/>
          <w:color w:val="000000"/>
          <w:sz w:val="28"/>
          <w:szCs w:val="28"/>
        </w:rPr>
        <w:t>Таблица 2.3 — Сравнение облачной и гибридной моделей развёртывания</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13"/>
        <w:gridCol w:w="3013"/>
        <w:gridCol w:w="3000"/>
      </w:tblGrid>
      <w:tr w14:paraId="1A1FE131">
        <w:tc>
          <w:tcPr>
            <w:tcW w:w="3013"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73AA0D8F">
            <w:pPr>
              <w:spacing w:before="0" w:after="0" w:line="240" w:lineRule="auto"/>
              <w:jc w:val="center"/>
            </w:pPr>
            <w:r>
              <w:rPr>
                <w:rFonts w:ascii="Times New Roman" w:hAnsi="Times New Roman" w:eastAsia="Times New Roman" w:cs="Times New Roman"/>
                <w:bCs/>
                <w:color w:val="000000"/>
                <w:sz w:val="28"/>
                <w:szCs w:val="24"/>
              </w:rPr>
              <w:t>Критерий</w:t>
            </w:r>
          </w:p>
        </w:tc>
        <w:tc>
          <w:tcPr>
            <w:tcW w:w="3013"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5DD7158B">
            <w:pPr>
              <w:spacing w:before="0" w:after="0" w:line="240" w:lineRule="auto"/>
              <w:jc w:val="center"/>
            </w:pPr>
            <w:r>
              <w:rPr>
                <w:rFonts w:ascii="Times New Roman" w:hAnsi="Times New Roman" w:eastAsia="Times New Roman" w:cs="Times New Roman"/>
                <w:bCs/>
                <w:color w:val="000000"/>
                <w:sz w:val="28"/>
                <w:szCs w:val="24"/>
              </w:rPr>
              <w:t>Облачная модель</w:t>
            </w:r>
          </w:p>
        </w:tc>
        <w:tc>
          <w:tcPr>
            <w:tcW w:w="30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1F62533C">
            <w:pPr>
              <w:spacing w:before="0" w:after="0" w:line="240" w:lineRule="auto"/>
              <w:jc w:val="center"/>
            </w:pPr>
            <w:r>
              <w:rPr>
                <w:rFonts w:ascii="Times New Roman" w:hAnsi="Times New Roman" w:eastAsia="Times New Roman" w:cs="Times New Roman"/>
                <w:bCs/>
                <w:color w:val="000000"/>
                <w:sz w:val="28"/>
                <w:szCs w:val="24"/>
              </w:rPr>
              <w:t>Гибридная модель</w:t>
            </w:r>
          </w:p>
        </w:tc>
      </w:tr>
      <w:tr w14:paraId="14DC26C2">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40ED7B6">
            <w:pPr>
              <w:spacing w:before="0" w:after="0" w:line="240" w:lineRule="auto"/>
            </w:pPr>
            <w:r>
              <w:rPr>
                <w:rFonts w:ascii="Times New Roman" w:hAnsi="Times New Roman" w:eastAsia="Times New Roman" w:cs="Times New Roman"/>
                <w:color w:val="000000"/>
                <w:sz w:val="28"/>
                <w:szCs w:val="24"/>
              </w:rPr>
              <w:t>CAPEX</w:t>
            </w:r>
          </w:p>
        </w:tc>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87642D3">
            <w:pPr>
              <w:spacing w:before="0" w:after="0" w:line="240" w:lineRule="auto"/>
            </w:pPr>
            <w:r>
              <w:rPr>
                <w:rFonts w:ascii="Times New Roman" w:hAnsi="Times New Roman" w:eastAsia="Times New Roman" w:cs="Times New Roman"/>
                <w:color w:val="000000"/>
                <w:sz w:val="28"/>
                <w:szCs w:val="24"/>
              </w:rPr>
              <w:t>0 руб.</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BEE6D19">
            <w:pPr>
              <w:spacing w:before="0" w:after="0" w:line="240" w:lineRule="auto"/>
            </w:pPr>
            <w:r>
              <w:rPr>
                <w:rFonts w:ascii="Times New Roman" w:hAnsi="Times New Roman" w:eastAsia="Times New Roman" w:cs="Times New Roman"/>
                <w:color w:val="000000"/>
                <w:sz w:val="28"/>
                <w:szCs w:val="24"/>
              </w:rPr>
              <w:t>800 тыс. — 1,5 млн руб.</w:t>
            </w:r>
          </w:p>
        </w:tc>
      </w:tr>
      <w:tr w14:paraId="3811AA77">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CC7AFAD">
            <w:pPr>
              <w:spacing w:before="0" w:after="0" w:line="240" w:lineRule="auto"/>
            </w:pPr>
            <w:r>
              <w:rPr>
                <w:rFonts w:ascii="Times New Roman" w:hAnsi="Times New Roman" w:eastAsia="Times New Roman" w:cs="Times New Roman"/>
                <w:color w:val="000000"/>
                <w:sz w:val="28"/>
                <w:szCs w:val="24"/>
              </w:rPr>
              <w:t>OPEX (мес., GPU)</w:t>
            </w:r>
          </w:p>
        </w:tc>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3AB5976">
            <w:pPr>
              <w:spacing w:before="0" w:after="0" w:line="240" w:lineRule="auto"/>
            </w:pPr>
            <w:r>
              <w:rPr>
                <w:rFonts w:ascii="Times New Roman" w:hAnsi="Times New Roman" w:eastAsia="Times New Roman" w:cs="Times New Roman"/>
                <w:color w:val="000000"/>
                <w:sz w:val="28"/>
                <w:szCs w:val="24"/>
              </w:rPr>
              <w:t>126–252 тыс. руб.</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F93E700">
            <w:pPr>
              <w:spacing w:before="0" w:after="0" w:line="240" w:lineRule="auto"/>
            </w:pPr>
            <w:r>
              <w:rPr>
                <w:rFonts w:ascii="Times New Roman" w:hAnsi="Times New Roman" w:eastAsia="Times New Roman" w:cs="Times New Roman"/>
                <w:color w:val="000000"/>
                <w:sz w:val="28"/>
                <w:szCs w:val="24"/>
              </w:rPr>
              <w:t>40–80 тыс. руб.</w:t>
            </w:r>
          </w:p>
        </w:tc>
      </w:tr>
      <w:tr w14:paraId="1E406157">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8C56B4D">
            <w:pPr>
              <w:spacing w:before="0" w:after="0" w:line="240" w:lineRule="auto"/>
            </w:pPr>
            <w:r>
              <w:rPr>
                <w:rFonts w:ascii="Times New Roman" w:hAnsi="Times New Roman" w:eastAsia="Times New Roman" w:cs="Times New Roman"/>
                <w:color w:val="000000"/>
                <w:sz w:val="28"/>
                <w:szCs w:val="24"/>
              </w:rPr>
              <w:t>Масштабируемость</w:t>
            </w:r>
          </w:p>
        </w:tc>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8B23B2B">
            <w:pPr>
              <w:spacing w:before="0" w:after="0" w:line="240" w:lineRule="auto"/>
            </w:pPr>
            <w:r>
              <w:rPr>
                <w:rFonts w:ascii="Times New Roman" w:hAnsi="Times New Roman" w:eastAsia="Times New Roman" w:cs="Times New Roman"/>
                <w:color w:val="000000"/>
                <w:sz w:val="28"/>
                <w:szCs w:val="24"/>
              </w:rPr>
              <w:t>Высокая (эластичная)</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894C46E">
            <w:pPr>
              <w:spacing w:before="0" w:after="0" w:line="240" w:lineRule="auto"/>
            </w:pPr>
            <w:r>
              <w:rPr>
                <w:rFonts w:ascii="Times New Roman" w:hAnsi="Times New Roman" w:eastAsia="Times New Roman" w:cs="Times New Roman"/>
                <w:color w:val="000000"/>
                <w:sz w:val="28"/>
                <w:szCs w:val="24"/>
              </w:rPr>
              <w:t>Ограничена ёмкостью</w:t>
            </w:r>
          </w:p>
        </w:tc>
      </w:tr>
      <w:tr w14:paraId="274FFECE">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6E314FB">
            <w:pPr>
              <w:spacing w:before="0" w:after="0" w:line="240" w:lineRule="auto"/>
            </w:pPr>
            <w:r>
              <w:rPr>
                <w:rFonts w:ascii="Times New Roman" w:hAnsi="Times New Roman" w:eastAsia="Times New Roman" w:cs="Times New Roman"/>
                <w:color w:val="000000"/>
                <w:sz w:val="28"/>
                <w:szCs w:val="24"/>
              </w:rPr>
              <w:t>Время развёртывания</w:t>
            </w:r>
          </w:p>
        </w:tc>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0A8BADF">
            <w:pPr>
              <w:spacing w:before="0" w:after="0" w:line="240" w:lineRule="auto"/>
            </w:pPr>
            <w:r>
              <w:rPr>
                <w:rFonts w:ascii="Times New Roman" w:hAnsi="Times New Roman" w:eastAsia="Times New Roman" w:cs="Times New Roman"/>
                <w:color w:val="000000"/>
                <w:sz w:val="28"/>
                <w:szCs w:val="24"/>
              </w:rPr>
              <w:t>1–2 дня</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415E71D">
            <w:pPr>
              <w:spacing w:before="0" w:after="0" w:line="240" w:lineRule="auto"/>
            </w:pPr>
            <w:r>
              <w:rPr>
                <w:rFonts w:ascii="Times New Roman" w:hAnsi="Times New Roman" w:eastAsia="Times New Roman" w:cs="Times New Roman"/>
                <w:color w:val="000000"/>
                <w:sz w:val="28"/>
                <w:szCs w:val="24"/>
              </w:rPr>
              <w:t>2–4 недели</w:t>
            </w:r>
          </w:p>
        </w:tc>
      </w:tr>
      <w:tr w14:paraId="4036AB86">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2EEF250">
            <w:pPr>
              <w:spacing w:before="0" w:after="0" w:line="240" w:lineRule="auto"/>
            </w:pPr>
            <w:r>
              <w:rPr>
                <w:rFonts w:ascii="Times New Roman" w:hAnsi="Times New Roman" w:eastAsia="Times New Roman" w:cs="Times New Roman"/>
                <w:color w:val="000000"/>
                <w:sz w:val="28"/>
                <w:szCs w:val="24"/>
              </w:rPr>
              <w:t>Точка безубыточности</w:t>
            </w:r>
          </w:p>
        </w:tc>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3D2B9DB">
            <w:pPr>
              <w:spacing w:before="0" w:after="0" w:line="240" w:lineRule="auto"/>
            </w:pPr>
            <w:r>
              <w:rPr>
                <w:rFonts w:ascii="Times New Roman" w:hAnsi="Times New Roman" w:eastAsia="Times New Roman" w:cs="Times New Roman"/>
                <w:color w:val="000000"/>
                <w:sz w:val="28"/>
                <w:szCs w:val="24"/>
              </w:rPr>
              <w:t>~8 мес.</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630FBC0">
            <w:pPr>
              <w:spacing w:before="0" w:after="0" w:line="240" w:lineRule="auto"/>
            </w:pPr>
            <w:r>
              <w:rPr>
                <w:rFonts w:ascii="Times New Roman" w:hAnsi="Times New Roman" w:eastAsia="Times New Roman" w:cs="Times New Roman"/>
                <w:color w:val="000000"/>
                <w:sz w:val="28"/>
                <w:szCs w:val="24"/>
              </w:rPr>
              <w:t>~14 мес.</w:t>
            </w:r>
          </w:p>
        </w:tc>
      </w:tr>
      <w:tr w14:paraId="42880049">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C5F050E">
            <w:pPr>
              <w:spacing w:before="0" w:after="0" w:line="240" w:lineRule="auto"/>
            </w:pPr>
            <w:r>
              <w:rPr>
                <w:rFonts w:ascii="Times New Roman" w:hAnsi="Times New Roman" w:eastAsia="Times New Roman" w:cs="Times New Roman"/>
                <w:color w:val="000000"/>
                <w:sz w:val="28"/>
                <w:szCs w:val="24"/>
              </w:rPr>
              <w:t>Рекомендация</w:t>
            </w:r>
          </w:p>
        </w:tc>
        <w:tc>
          <w:tcPr>
            <w:tcW w:w="30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451A79A">
            <w:pPr>
              <w:spacing w:before="0" w:after="0" w:line="240" w:lineRule="auto"/>
            </w:pPr>
            <w:r>
              <w:rPr>
                <w:rFonts w:ascii="Times New Roman" w:hAnsi="Times New Roman" w:eastAsia="Times New Roman" w:cs="Times New Roman"/>
                <w:color w:val="000000"/>
                <w:sz w:val="28"/>
                <w:szCs w:val="24"/>
              </w:rPr>
              <w:t>Стартовый этап (0–500 клиентов)</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B979DA8">
            <w:pPr>
              <w:spacing w:before="0" w:after="0" w:line="240" w:lineRule="auto"/>
            </w:pPr>
            <w:r>
              <w:rPr>
                <w:rFonts w:ascii="Times New Roman" w:hAnsi="Times New Roman" w:eastAsia="Times New Roman" w:cs="Times New Roman"/>
                <w:color w:val="000000"/>
                <w:sz w:val="28"/>
                <w:szCs w:val="24"/>
              </w:rPr>
              <w:t>Рост (500+ клиентов)</w:t>
            </w:r>
          </w:p>
        </w:tc>
      </w:tr>
    </w:tbl>
    <w:p w14:paraId="767FCA95">
      <w:pPr>
        <w:spacing w:before="0" w:after="0" w:line="360" w:lineRule="auto"/>
      </w:pPr>
    </w:p>
    <w:p w14:paraId="1F8B9CB5">
      <w:pPr>
        <w:spacing w:before="0" w:after="0" w:line="360" w:lineRule="auto"/>
        <w:ind w:firstLine="708"/>
        <w:jc w:val="both"/>
      </w:pPr>
      <w:r>
        <w:rPr>
          <w:rFonts w:ascii="Times New Roman" w:hAnsi="Times New Roman" w:eastAsia="Times New Roman" w:cs="Times New Roman"/>
          <w:color w:val="000000"/>
          <w:sz w:val="28"/>
          <w:szCs w:val="28"/>
        </w:rPr>
        <w:t>По итогам анализа я выбрал старт с облачной модели — она требует минимальных первоначальных инвестиций и даёт максимальную гибкость. Переход на гибридную модель целесообразен после набора устойчивой базы из 500+ активных подписчиков: тогда экономия на OPEX компенсирует CAPEX за 8–10 месяцев [24, 26].</w:t>
      </w:r>
    </w:p>
    <w:p w14:paraId="4A0798DB">
      <w:pPr>
        <w:spacing w:before="0" w:after="0" w:line="360" w:lineRule="auto"/>
        <w:ind w:firstLine="708"/>
        <w:jc w:val="both"/>
      </w:pPr>
      <w:r>
        <w:rPr>
          <w:rFonts w:ascii="Times New Roman" w:hAnsi="Times New Roman" w:eastAsia="Times New Roman" w:cs="Times New Roman"/>
          <w:color w:val="000000"/>
          <w:sz w:val="28"/>
          <w:szCs w:val="28"/>
        </w:rPr>
        <w:t>Масштабирование продукта пройдёт в несколько этапов. Первый (0–6 месяцев после запуска): привлечение первых 50 платных подписчиков через прямые B2B-продажи и участие в отраслевых мероприятиях. На этом этапе нагрузка на инфраструктуру минимальна (50–100 сеансов в день), и хватает одного GPU-инстанса. Второй этап (6–18 месяцев): рост до 210 подписчиков — точка безубыточности. Здесь потребуется увеличить пул GPU-инстансов до 2–3 единиц и внедрить систему очередей для балансировки нагрузки [25].</w:t>
      </w:r>
    </w:p>
    <w:p w14:paraId="207FDFE1">
      <w:pPr>
        <w:spacing w:before="0" w:after="0" w:line="360" w:lineRule="auto"/>
        <w:ind w:firstLine="708"/>
        <w:jc w:val="both"/>
      </w:pPr>
      <w:r>
        <w:rPr>
          <w:rFonts w:ascii="Times New Roman" w:hAnsi="Times New Roman" w:eastAsia="Times New Roman" w:cs="Times New Roman"/>
          <w:color w:val="000000"/>
          <w:sz w:val="28"/>
          <w:szCs w:val="28"/>
        </w:rPr>
        <w:t>Третий этап (18–36 месяцев) предполагает рост до 500+ подписчиков и переход на гибридную модель. На данном этапе планируется реализация микросервисной архитектуры с выделением GPU-инференса, управления библиотекой эффектов и модуля калибровки проекции в независимые сервисы. Это позволит масштабировать каждый компонент автономно, обеспечивая оптимальное соотношение производительности и затрат [25, 26].</w:t>
      </w:r>
    </w:p>
    <w:p w14:paraId="64BC77CE">
      <w:pPr>
        <w:spacing w:before="0" w:after="0" w:line="360" w:lineRule="auto"/>
        <w:ind w:firstLine="708"/>
        <w:jc w:val="both"/>
      </w:pPr>
      <w:r>
        <w:rPr>
          <w:rFonts w:ascii="Times New Roman" w:hAnsi="Times New Roman" w:eastAsia="Times New Roman" w:cs="Times New Roman"/>
          <w:color w:val="000000"/>
          <w:sz w:val="28"/>
          <w:szCs w:val="28"/>
        </w:rPr>
        <w:t>Отдельным направлением масштабирования является географическое расширение. Российский рынок рассматривается как первичный (year 1–2), после чего планируется выход на рынки стран СНГ (year 2–3) и MENA-региона (year 3–4). Географическое расширение потребует локализации интерфейса, адаптации маркетинговых материалов и развёртывания дополнительных GPU-инстансов в соответствующих регионах для обеспечения приемлемой латентности [23].</w:t>
      </w:r>
    </w:p>
    <w:p w14:paraId="2D4CF51A">
      <w:pPr>
        <w:spacing w:before="0" w:after="0" w:line="360" w:lineRule="auto"/>
        <w:ind w:firstLine="708"/>
        <w:jc w:val="both"/>
      </w:pPr>
      <w:r>
        <w:rPr>
          <w:rFonts w:ascii="Times New Roman" w:hAnsi="Times New Roman" w:eastAsia="Times New Roman" w:cs="Times New Roman"/>
          <w:color w:val="000000"/>
          <w:sz w:val="28"/>
          <w:szCs w:val="28"/>
        </w:rPr>
        <w:t>Производственная модель также учитывает аспект обеспечения качества. Каждый новый эффект проходит трёхэтапную валидацию: автоматическое тестирование на наборе из 100 эталонных изображений; экспертная оценка визуального качества (внутренняя команда); бета-тестирование с привлечением 5–10 пилотных клиентов. Данный процесс обеспечивает контроль качества продукта при масштабировании библиотеки эффектов и минимизирует риск негативного пользовательского опыта [5].</w:t>
      </w:r>
    </w:p>
    <w:p w14:paraId="7C63A30F">
      <w:pPr>
        <w:spacing w:before="0" w:after="0" w:line="360" w:lineRule="auto"/>
        <w:ind w:firstLine="708"/>
        <w:jc w:val="both"/>
      </w:pPr>
      <w:r>
        <w:rPr>
          <w:rFonts w:ascii="Times New Roman" w:hAnsi="Times New Roman" w:eastAsia="Times New Roman" w:cs="Times New Roman"/>
          <w:color w:val="000000"/>
          <w:sz w:val="28"/>
          <w:szCs w:val="28"/>
        </w:rPr>
        <w:t>Существенным элементом производственной модели является техническая поддержка пользователей. На начальном этапе (до 100 клиентов) поддержка осуществляется силами команды разработки. При росте базы свыше 100 клиентов планируется выделение одного специалиста технической поддержки (ФОТ ~80 000 руб./мес.), а при превышении 300 клиентов — внедрение тикет-системы и базы знаний для самообслуживания, что позволит обслуживать до 1 000 клиентов без пропорционального роста штата [24].</w:t>
      </w:r>
    </w:p>
    <w:p w14:paraId="157374A2">
      <w:pPr>
        <w:pStyle w:val="3"/>
        <w:spacing w:before="0" w:after="0" w:line="360" w:lineRule="auto"/>
        <w:ind w:firstLine="708"/>
        <w:jc w:val="both"/>
      </w:pPr>
      <w:bookmarkStart w:id="11" w:name="_Toc932714377"/>
      <w:r>
        <w:rPr>
          <w:rFonts w:ascii="Times New Roman" w:hAnsi="Times New Roman" w:eastAsia="Times New Roman" w:cs="Times New Roman"/>
          <w:b/>
          <w:color w:val="000000"/>
          <w:sz w:val="28"/>
          <w:szCs w:val="28"/>
        </w:rPr>
        <w:t>2.3 Финансовая модель и стратегия финансирования</w:t>
      </w:r>
      <w:bookmarkEnd w:id="11"/>
    </w:p>
    <w:p w14:paraId="094E19D6">
      <w:pPr>
        <w:spacing w:before="0" w:after="0" w:line="360" w:lineRule="auto"/>
        <w:ind w:firstLine="708"/>
        <w:jc w:val="both"/>
      </w:pPr>
      <w:r>
        <w:rPr>
          <w:rFonts w:ascii="Times New Roman" w:hAnsi="Times New Roman" w:eastAsia="Times New Roman" w:cs="Times New Roman"/>
          <w:color w:val="000000"/>
          <w:sz w:val="28"/>
          <w:szCs w:val="28"/>
        </w:rPr>
        <w:t>Финансовая модель проекта «Эксперимент 619» построена на горизонте 36 месяцев (3 года) и включает три сценария: базовый, оптимистичный и пессимистичный. Я использовал метод дисконтированных денежных потоков (DCF), чтобы оценить ключевые инвестиционные показатели — NPV, IRR, срок окупаемости и точку безубыточности [27, 28].</w:t>
      </w:r>
    </w:p>
    <w:p w14:paraId="1441D5F3">
      <w:pPr>
        <w:spacing w:before="0" w:after="0" w:line="360" w:lineRule="auto"/>
        <w:ind w:firstLine="708"/>
        <w:jc w:val="both"/>
      </w:pPr>
      <w:r>
        <w:rPr>
          <w:rFonts w:ascii="Times New Roman" w:hAnsi="Times New Roman" w:eastAsia="Times New Roman" w:cs="Times New Roman"/>
          <w:color w:val="000000"/>
          <w:sz w:val="28"/>
          <w:szCs w:val="28"/>
        </w:rPr>
        <w:t>Исходные допущения финансовой модели основаны на результатах анализа рынка (глава 1), расчётах unit-экономики (раздел 2.1) и параметрах производственной модели (раздел 2.2). Ключевые входные параметры представлены в таблице 2.4.</w:t>
      </w:r>
    </w:p>
    <w:p w14:paraId="3CB98F63">
      <w:pPr>
        <w:spacing w:before="0" w:after="0" w:line="360" w:lineRule="auto"/>
        <w:jc w:val="left"/>
        <w:rPr>
          <w:i w:val="0"/>
          <w:iCs w:val="0"/>
        </w:rPr>
      </w:pPr>
      <w:r>
        <w:rPr>
          <w:rFonts w:ascii="Times New Roman" w:hAnsi="Times New Roman" w:eastAsia="Times New Roman" w:cs="Times New Roman"/>
          <w:i w:val="0"/>
          <w:iCs w:val="0"/>
          <w:color w:val="000000"/>
          <w:sz w:val="28"/>
          <w:szCs w:val="28"/>
        </w:rPr>
        <w:t>Таблица 2.4 — Ключевые параметры финансовой модели</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52140A62">
        <w:tc>
          <w:tcPr>
            <w:tcW w:w="4513"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35BEA713">
            <w:pPr>
              <w:spacing w:before="0" w:after="0" w:line="240" w:lineRule="auto"/>
              <w:jc w:val="center"/>
            </w:pPr>
            <w:r>
              <w:rPr>
                <w:rFonts w:ascii="Times New Roman" w:hAnsi="Times New Roman" w:eastAsia="Times New Roman" w:cs="Times New Roman"/>
                <w:bCs/>
                <w:color w:val="000000"/>
                <w:sz w:val="28"/>
                <w:szCs w:val="24"/>
              </w:rPr>
              <w:t>Параметр</w:t>
            </w:r>
          </w:p>
        </w:tc>
        <w:tc>
          <w:tcPr>
            <w:tcW w:w="4513"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6E1C6322">
            <w:pPr>
              <w:spacing w:before="0" w:after="0" w:line="240" w:lineRule="auto"/>
              <w:jc w:val="center"/>
            </w:pPr>
            <w:r>
              <w:rPr>
                <w:rFonts w:ascii="Times New Roman" w:hAnsi="Times New Roman" w:eastAsia="Times New Roman" w:cs="Times New Roman"/>
                <w:bCs/>
                <w:color w:val="000000"/>
                <w:sz w:val="28"/>
                <w:szCs w:val="24"/>
              </w:rPr>
              <w:t>Значение (базовый сценарий)</w:t>
            </w:r>
          </w:p>
        </w:tc>
      </w:tr>
      <w:tr w14:paraId="0FBDAF2B">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5DF3554">
            <w:pPr>
              <w:spacing w:before="0" w:after="0" w:line="240" w:lineRule="auto"/>
            </w:pPr>
            <w:r>
              <w:rPr>
                <w:rFonts w:ascii="Times New Roman" w:hAnsi="Times New Roman" w:eastAsia="Times New Roman" w:cs="Times New Roman"/>
                <w:color w:val="000000"/>
                <w:sz w:val="28"/>
                <w:szCs w:val="24"/>
              </w:rPr>
              <w:t>Стоимость подписки (базовая)</w:t>
            </w:r>
          </w:p>
        </w:tc>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F0DCEA7">
            <w:pPr>
              <w:spacing w:before="0" w:after="0" w:line="240" w:lineRule="auto"/>
            </w:pPr>
            <w:r>
              <w:rPr>
                <w:rFonts w:ascii="Times New Roman" w:hAnsi="Times New Roman" w:eastAsia="Times New Roman" w:cs="Times New Roman"/>
                <w:color w:val="000000"/>
                <w:sz w:val="28"/>
                <w:szCs w:val="24"/>
              </w:rPr>
              <w:t>5 000 руб./мес.</w:t>
            </w:r>
          </w:p>
        </w:tc>
      </w:tr>
      <w:tr w14:paraId="1D66A858">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AF5B792">
            <w:pPr>
              <w:spacing w:before="0" w:after="0" w:line="240" w:lineRule="auto"/>
            </w:pPr>
            <w:r>
              <w:rPr>
                <w:rFonts w:ascii="Times New Roman" w:hAnsi="Times New Roman" w:eastAsia="Times New Roman" w:cs="Times New Roman"/>
                <w:color w:val="000000"/>
                <w:sz w:val="28"/>
                <w:szCs w:val="24"/>
              </w:rPr>
              <w:t>Стоимость подписки (PRO)</w:t>
            </w:r>
          </w:p>
        </w:tc>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F9049A9">
            <w:pPr>
              <w:spacing w:before="0" w:after="0" w:line="240" w:lineRule="auto"/>
            </w:pPr>
            <w:r>
              <w:rPr>
                <w:rFonts w:ascii="Times New Roman" w:hAnsi="Times New Roman" w:eastAsia="Times New Roman" w:cs="Times New Roman"/>
                <w:color w:val="000000"/>
                <w:sz w:val="28"/>
                <w:szCs w:val="24"/>
              </w:rPr>
              <w:t>15 000 руб./мес.</w:t>
            </w:r>
          </w:p>
        </w:tc>
      </w:tr>
      <w:tr w14:paraId="28883C02">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6550A8B">
            <w:pPr>
              <w:spacing w:before="0" w:after="0" w:line="240" w:lineRule="auto"/>
            </w:pPr>
            <w:r>
              <w:rPr>
                <w:rFonts w:ascii="Times New Roman" w:hAnsi="Times New Roman" w:eastAsia="Times New Roman" w:cs="Times New Roman"/>
                <w:color w:val="000000"/>
                <w:sz w:val="28"/>
                <w:szCs w:val="24"/>
              </w:rPr>
              <w:t>Средний ARPU</w:t>
            </w:r>
          </w:p>
        </w:tc>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782306B">
            <w:pPr>
              <w:spacing w:before="0" w:after="0" w:line="240" w:lineRule="auto"/>
            </w:pPr>
            <w:r>
              <w:rPr>
                <w:rFonts w:ascii="Times New Roman" w:hAnsi="Times New Roman" w:eastAsia="Times New Roman" w:cs="Times New Roman"/>
                <w:color w:val="000000"/>
                <w:sz w:val="28"/>
                <w:szCs w:val="24"/>
              </w:rPr>
              <w:t>12 000 руб./мес.</w:t>
            </w:r>
          </w:p>
        </w:tc>
      </w:tr>
      <w:tr w14:paraId="6E241BB7">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D72E8FA">
            <w:pPr>
              <w:spacing w:before="0" w:after="0" w:line="240" w:lineRule="auto"/>
            </w:pPr>
            <w:r>
              <w:rPr>
                <w:rFonts w:ascii="Times New Roman" w:hAnsi="Times New Roman" w:eastAsia="Times New Roman" w:cs="Times New Roman"/>
                <w:color w:val="000000"/>
                <w:sz w:val="28"/>
                <w:szCs w:val="24"/>
              </w:rPr>
              <w:t>Темп привлечения (мес. 1–6)</w:t>
            </w:r>
          </w:p>
        </w:tc>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C6086E8">
            <w:pPr>
              <w:spacing w:before="0" w:after="0" w:line="240" w:lineRule="auto"/>
            </w:pPr>
            <w:r>
              <w:rPr>
                <w:rFonts w:ascii="Times New Roman" w:hAnsi="Times New Roman" w:eastAsia="Times New Roman" w:cs="Times New Roman"/>
                <w:color w:val="000000"/>
                <w:sz w:val="28"/>
                <w:szCs w:val="24"/>
              </w:rPr>
              <w:t>+8 клиентов/мес.</w:t>
            </w:r>
          </w:p>
        </w:tc>
      </w:tr>
      <w:tr w14:paraId="37558D4B">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A48267A">
            <w:pPr>
              <w:spacing w:before="0" w:after="0" w:line="240" w:lineRule="auto"/>
            </w:pPr>
            <w:r>
              <w:rPr>
                <w:rFonts w:ascii="Times New Roman" w:hAnsi="Times New Roman" w:eastAsia="Times New Roman" w:cs="Times New Roman"/>
                <w:color w:val="000000"/>
                <w:sz w:val="28"/>
                <w:szCs w:val="24"/>
              </w:rPr>
              <w:t>Темп привлечения (мес. 7–18)</w:t>
            </w:r>
          </w:p>
        </w:tc>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CF8FED9">
            <w:pPr>
              <w:spacing w:before="0" w:after="0" w:line="240" w:lineRule="auto"/>
            </w:pPr>
            <w:r>
              <w:rPr>
                <w:rFonts w:ascii="Times New Roman" w:hAnsi="Times New Roman" w:eastAsia="Times New Roman" w:cs="Times New Roman"/>
                <w:color w:val="000000"/>
                <w:sz w:val="28"/>
                <w:szCs w:val="24"/>
              </w:rPr>
              <w:t>+15 клиентов/мес.</w:t>
            </w:r>
          </w:p>
        </w:tc>
      </w:tr>
      <w:tr w14:paraId="184213B3">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81A5481">
            <w:pPr>
              <w:spacing w:before="0" w:after="0" w:line="240" w:lineRule="auto"/>
            </w:pPr>
            <w:r>
              <w:rPr>
                <w:rFonts w:ascii="Times New Roman" w:hAnsi="Times New Roman" w:eastAsia="Times New Roman" w:cs="Times New Roman"/>
                <w:color w:val="000000"/>
                <w:sz w:val="28"/>
                <w:szCs w:val="24"/>
              </w:rPr>
              <w:t>Темп привлечения (мес. 19–36)</w:t>
            </w:r>
          </w:p>
        </w:tc>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528C608">
            <w:pPr>
              <w:spacing w:before="0" w:after="0" w:line="240" w:lineRule="auto"/>
            </w:pPr>
            <w:r>
              <w:rPr>
                <w:rFonts w:ascii="Times New Roman" w:hAnsi="Times New Roman" w:eastAsia="Times New Roman" w:cs="Times New Roman"/>
                <w:color w:val="000000"/>
                <w:sz w:val="28"/>
                <w:szCs w:val="24"/>
              </w:rPr>
              <w:t>+25 клиентов/мес.</w:t>
            </w:r>
          </w:p>
        </w:tc>
      </w:tr>
      <w:tr w14:paraId="450DACDA">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9FA77FE">
            <w:pPr>
              <w:spacing w:before="0" w:after="0" w:line="240" w:lineRule="auto"/>
            </w:pPr>
            <w:r>
              <w:rPr>
                <w:rFonts w:ascii="Times New Roman" w:hAnsi="Times New Roman" w:eastAsia="Times New Roman" w:cs="Times New Roman"/>
                <w:color w:val="000000"/>
                <w:sz w:val="28"/>
                <w:szCs w:val="24"/>
              </w:rPr>
              <w:t>Monthly Churn</w:t>
            </w:r>
          </w:p>
        </w:tc>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8DA2D6E">
            <w:pPr>
              <w:spacing w:before="0" w:after="0" w:line="240" w:lineRule="auto"/>
            </w:pPr>
            <w:r>
              <w:rPr>
                <w:rFonts w:ascii="Times New Roman" w:hAnsi="Times New Roman" w:eastAsia="Times New Roman" w:cs="Times New Roman"/>
                <w:color w:val="000000"/>
                <w:sz w:val="28"/>
                <w:szCs w:val="24"/>
              </w:rPr>
              <w:t>5,5%</w:t>
            </w:r>
          </w:p>
        </w:tc>
      </w:tr>
      <w:tr w14:paraId="3938A855">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8AD0382">
            <w:pPr>
              <w:spacing w:before="0" w:after="0" w:line="240" w:lineRule="auto"/>
            </w:pPr>
            <w:r>
              <w:rPr>
                <w:rFonts w:ascii="Times New Roman" w:hAnsi="Times New Roman" w:eastAsia="Times New Roman" w:cs="Times New Roman"/>
                <w:color w:val="000000"/>
                <w:sz w:val="28"/>
                <w:szCs w:val="24"/>
              </w:rPr>
              <w:t>ФОТ команды (Year 1)</w:t>
            </w:r>
          </w:p>
        </w:tc>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06C63AC">
            <w:pPr>
              <w:spacing w:before="0" w:after="0" w:line="240" w:lineRule="auto"/>
            </w:pPr>
            <w:r>
              <w:rPr>
                <w:rFonts w:ascii="Times New Roman" w:hAnsi="Times New Roman" w:eastAsia="Times New Roman" w:cs="Times New Roman"/>
                <w:color w:val="000000"/>
                <w:sz w:val="28"/>
                <w:szCs w:val="24"/>
              </w:rPr>
              <w:t>480 000 руб./мес.</w:t>
            </w:r>
          </w:p>
        </w:tc>
      </w:tr>
      <w:tr w14:paraId="34952640">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D9E9F77">
            <w:pPr>
              <w:spacing w:before="0" w:after="0" w:line="240" w:lineRule="auto"/>
            </w:pPr>
            <w:r>
              <w:rPr>
                <w:rFonts w:ascii="Times New Roman" w:hAnsi="Times New Roman" w:eastAsia="Times New Roman" w:cs="Times New Roman"/>
                <w:color w:val="000000"/>
                <w:sz w:val="28"/>
                <w:szCs w:val="24"/>
              </w:rPr>
              <w:t>ФОТ команды (Year 2–3)</w:t>
            </w:r>
          </w:p>
        </w:tc>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9588939">
            <w:pPr>
              <w:spacing w:before="0" w:after="0" w:line="240" w:lineRule="auto"/>
            </w:pPr>
            <w:r>
              <w:rPr>
                <w:rFonts w:ascii="Times New Roman" w:hAnsi="Times New Roman" w:eastAsia="Times New Roman" w:cs="Times New Roman"/>
                <w:color w:val="000000"/>
                <w:sz w:val="28"/>
                <w:szCs w:val="24"/>
              </w:rPr>
              <w:t>850 000 руб./мес.</w:t>
            </w:r>
          </w:p>
        </w:tc>
      </w:tr>
      <w:tr w14:paraId="22D2A26A">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8E93738">
            <w:pPr>
              <w:spacing w:before="0" w:after="0" w:line="240" w:lineRule="auto"/>
            </w:pPr>
            <w:r>
              <w:rPr>
                <w:rFonts w:ascii="Times New Roman" w:hAnsi="Times New Roman" w:eastAsia="Times New Roman" w:cs="Times New Roman"/>
                <w:color w:val="000000"/>
                <w:sz w:val="28"/>
                <w:szCs w:val="24"/>
              </w:rPr>
              <w:t>Маркетинг и продажи (Year 1)</w:t>
            </w:r>
          </w:p>
        </w:tc>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5F8549C">
            <w:pPr>
              <w:spacing w:before="0" w:after="0" w:line="240" w:lineRule="auto"/>
            </w:pPr>
            <w:r>
              <w:rPr>
                <w:rFonts w:ascii="Times New Roman" w:hAnsi="Times New Roman" w:eastAsia="Times New Roman" w:cs="Times New Roman"/>
                <w:color w:val="000000"/>
                <w:sz w:val="28"/>
                <w:szCs w:val="24"/>
              </w:rPr>
              <w:t>150 000 руб./мес.</w:t>
            </w:r>
          </w:p>
        </w:tc>
      </w:tr>
      <w:tr w14:paraId="7E50D01E">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5AD89C3">
            <w:pPr>
              <w:spacing w:before="0" w:after="0" w:line="240" w:lineRule="auto"/>
            </w:pPr>
            <w:r>
              <w:rPr>
                <w:rFonts w:ascii="Times New Roman" w:hAnsi="Times New Roman" w:eastAsia="Times New Roman" w:cs="Times New Roman"/>
                <w:color w:val="000000"/>
                <w:sz w:val="28"/>
                <w:szCs w:val="24"/>
              </w:rPr>
              <w:t>Маркетинг и продажи (Year 2–3)</w:t>
            </w:r>
          </w:p>
        </w:tc>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D8ABBBA">
            <w:pPr>
              <w:spacing w:before="0" w:after="0" w:line="240" w:lineRule="auto"/>
            </w:pPr>
            <w:r>
              <w:rPr>
                <w:rFonts w:ascii="Times New Roman" w:hAnsi="Times New Roman" w:eastAsia="Times New Roman" w:cs="Times New Roman"/>
                <w:color w:val="000000"/>
                <w:sz w:val="28"/>
                <w:szCs w:val="24"/>
              </w:rPr>
              <w:t>350 000 руб./мес.</w:t>
            </w:r>
          </w:p>
        </w:tc>
      </w:tr>
      <w:tr w14:paraId="4E24E2F4">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D4D1158">
            <w:pPr>
              <w:spacing w:before="0" w:after="0" w:line="240" w:lineRule="auto"/>
            </w:pPr>
            <w:r>
              <w:rPr>
                <w:rFonts w:ascii="Times New Roman" w:hAnsi="Times New Roman" w:eastAsia="Times New Roman" w:cs="Times New Roman"/>
                <w:color w:val="000000"/>
                <w:sz w:val="28"/>
                <w:szCs w:val="24"/>
              </w:rPr>
              <w:t>Ставка дисконтирования</w:t>
            </w:r>
          </w:p>
        </w:tc>
        <w:tc>
          <w:tcPr>
            <w:tcW w:w="45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09F6651">
            <w:pPr>
              <w:spacing w:before="0" w:after="0" w:line="240" w:lineRule="auto"/>
            </w:pPr>
            <w:r>
              <w:rPr>
                <w:rFonts w:ascii="Times New Roman" w:hAnsi="Times New Roman" w:eastAsia="Times New Roman" w:cs="Times New Roman"/>
                <w:color w:val="000000"/>
                <w:sz w:val="28"/>
                <w:szCs w:val="24"/>
              </w:rPr>
              <w:t>20% годовых</w:t>
            </w:r>
          </w:p>
        </w:tc>
      </w:tr>
    </w:tbl>
    <w:p w14:paraId="782386F3">
      <w:pPr>
        <w:spacing w:before="0" w:after="0" w:line="360" w:lineRule="auto"/>
      </w:pPr>
    </w:p>
    <w:p w14:paraId="05FD1017">
      <w:pPr>
        <w:spacing w:before="0" w:after="0" w:line="360" w:lineRule="auto"/>
        <w:ind w:firstLine="708"/>
        <w:jc w:val="both"/>
      </w:pPr>
      <w:r>
        <w:rPr>
          <w:rFonts w:ascii="Times New Roman" w:hAnsi="Times New Roman" w:eastAsia="Times New Roman" w:cs="Times New Roman"/>
          <w:color w:val="000000"/>
          <w:sz w:val="28"/>
          <w:szCs w:val="28"/>
        </w:rPr>
        <w:t>Структура расходов проекта включает четыре основные категории: фонд оплаты труда (ФОТ), инфраструктурные затраты (GPU, хостинг), маркетинг и продажи, прочие расходы (юридические, бухгалтерские, административные). На первый год ФОТ составляет основную статью расходов — 66% от совокупных затрат, что характерно для технологических стартапов на ранней стадии [27]. Состав команды на старте включает: CTO / ML-инженер (основатель), backend-разработчик, frontend-разработчик и маркетолог (частичная занятость).</w:t>
      </w:r>
    </w:p>
    <w:p w14:paraId="10C57B8F">
      <w:pPr>
        <w:spacing w:before="0" w:after="0" w:line="360" w:lineRule="auto"/>
        <w:ind w:firstLine="708"/>
        <w:jc w:val="both"/>
      </w:pPr>
      <w:r>
        <w:rPr>
          <w:rFonts w:ascii="Times New Roman" w:hAnsi="Times New Roman" w:eastAsia="Times New Roman" w:cs="Times New Roman"/>
          <w:color w:val="000000"/>
          <w:sz w:val="28"/>
          <w:szCs w:val="28"/>
        </w:rPr>
        <w:t>Прогноз выручки и расходов по базовому сценарию представлен в таблице 2.5. Модель учитывает помесячную динамику привлечения клиентов с учётом оттока (churn), что позволяет построить реалистичную кривую роста выручки.</w:t>
      </w:r>
    </w:p>
    <w:p w14:paraId="50992090">
      <w:pPr>
        <w:spacing w:before="0" w:after="0" w:line="360" w:lineRule="auto"/>
        <w:jc w:val="left"/>
        <w:rPr>
          <w:i w:val="0"/>
          <w:iCs w:val="0"/>
        </w:rPr>
      </w:pPr>
      <w:r>
        <w:rPr>
          <w:rFonts w:ascii="Times New Roman" w:hAnsi="Times New Roman" w:eastAsia="Times New Roman" w:cs="Times New Roman"/>
          <w:i w:val="0"/>
          <w:iCs w:val="0"/>
          <w:color w:val="000000"/>
          <w:sz w:val="28"/>
          <w:szCs w:val="28"/>
        </w:rPr>
        <w:t>Таблица 2.5 — Прогноз финансовых показателей (базовый сценарий)</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06FA3D6B">
        <w:tc>
          <w:tcPr>
            <w:tcW w:w="2256"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1D832130">
            <w:pPr>
              <w:spacing w:before="0" w:after="0" w:line="240" w:lineRule="auto"/>
              <w:jc w:val="center"/>
            </w:pPr>
            <w:r>
              <w:rPr>
                <w:rFonts w:ascii="Times New Roman" w:hAnsi="Times New Roman" w:eastAsia="Times New Roman" w:cs="Times New Roman"/>
                <w:bCs/>
                <w:color w:val="000000"/>
                <w:sz w:val="28"/>
                <w:szCs w:val="24"/>
              </w:rPr>
              <w:t>Показатель</w:t>
            </w:r>
          </w:p>
        </w:tc>
        <w:tc>
          <w:tcPr>
            <w:tcW w:w="2256"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4A9CDEFE">
            <w:pPr>
              <w:tabs>
                <w:tab w:val="center" w:pos="1108"/>
                <w:tab w:val="right" w:pos="2096"/>
              </w:tabs>
              <w:spacing w:before="0" w:after="0" w:line="240" w:lineRule="auto"/>
              <w:jc w:val="left"/>
              <w:rPr>
                <w:rFonts w:hint="default"/>
                <w:lang w:val="ru-RU"/>
              </w:rPr>
            </w:pPr>
            <w:r>
              <w:rPr>
                <w:rFonts w:cs="Times New Roman"/>
                <w:bCs/>
                <w:color w:val="000000"/>
                <w:sz w:val="28"/>
                <w:szCs w:val="24"/>
                <w:lang w:val="ru-RU"/>
              </w:rPr>
              <w:tab/>
            </w:r>
            <w:r>
              <w:rPr>
                <w:rFonts w:hint="default" w:cs="Times New Roman"/>
                <w:bCs/>
                <w:color w:val="000000"/>
                <w:sz w:val="28"/>
                <w:szCs w:val="24"/>
                <w:lang w:val="ru-RU"/>
              </w:rPr>
              <w:t xml:space="preserve">1 </w:t>
            </w:r>
            <w:r>
              <w:rPr>
                <w:rFonts w:cs="Times New Roman"/>
                <w:bCs/>
                <w:color w:val="000000"/>
                <w:sz w:val="28"/>
                <w:szCs w:val="24"/>
                <w:lang w:val="ru-RU"/>
              </w:rPr>
              <w:t>Год</w:t>
            </w:r>
            <w:r>
              <w:rPr>
                <w:rFonts w:hint="default" w:cs="Times New Roman"/>
                <w:bCs/>
                <w:color w:val="000000"/>
                <w:sz w:val="28"/>
                <w:szCs w:val="24"/>
                <w:lang w:val="ru-RU"/>
              </w:rPr>
              <w:t xml:space="preserve"> </w:t>
            </w:r>
          </w:p>
        </w:tc>
        <w:tc>
          <w:tcPr>
            <w:tcW w:w="2257"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7F2384B8">
            <w:pPr>
              <w:spacing w:before="0" w:after="0" w:line="240" w:lineRule="auto"/>
              <w:jc w:val="center"/>
              <w:rPr>
                <w:rFonts w:hint="default"/>
                <w:lang w:val="ru-RU"/>
              </w:rPr>
            </w:pPr>
            <w:r>
              <w:rPr>
                <w:rFonts w:hint="default" w:cs="Times New Roman"/>
                <w:bCs/>
                <w:color w:val="000000"/>
                <w:sz w:val="28"/>
                <w:szCs w:val="24"/>
                <w:lang w:val="ru-RU"/>
              </w:rPr>
              <w:t xml:space="preserve">2 </w:t>
            </w:r>
            <w:r>
              <w:rPr>
                <w:rFonts w:cs="Times New Roman"/>
                <w:bCs/>
                <w:color w:val="000000"/>
                <w:sz w:val="28"/>
                <w:szCs w:val="24"/>
                <w:lang w:val="ru-RU"/>
              </w:rPr>
              <w:t>Год</w:t>
            </w:r>
            <w:r>
              <w:rPr>
                <w:rFonts w:hint="default" w:cs="Times New Roman"/>
                <w:bCs/>
                <w:color w:val="000000"/>
                <w:sz w:val="28"/>
                <w:szCs w:val="24"/>
                <w:lang w:val="ru-RU"/>
              </w:rPr>
              <w:t xml:space="preserve"> </w:t>
            </w:r>
          </w:p>
        </w:tc>
        <w:tc>
          <w:tcPr>
            <w:tcW w:w="2257"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10A78DDE">
            <w:pPr>
              <w:spacing w:before="0" w:after="0" w:line="240" w:lineRule="auto"/>
              <w:jc w:val="center"/>
              <w:rPr>
                <w:rFonts w:hint="default"/>
                <w:lang w:val="ru-RU"/>
              </w:rPr>
            </w:pPr>
            <w:r>
              <w:rPr>
                <w:rFonts w:hint="default" w:cs="Times New Roman"/>
                <w:bCs/>
                <w:color w:val="000000"/>
                <w:sz w:val="28"/>
                <w:szCs w:val="24"/>
                <w:lang w:val="ru-RU"/>
              </w:rPr>
              <w:t xml:space="preserve">3 </w:t>
            </w:r>
            <w:r>
              <w:rPr>
                <w:rFonts w:cs="Times New Roman"/>
                <w:bCs/>
                <w:color w:val="000000"/>
                <w:sz w:val="28"/>
                <w:szCs w:val="24"/>
                <w:lang w:val="ru-RU"/>
              </w:rPr>
              <w:t>Год</w:t>
            </w:r>
          </w:p>
        </w:tc>
      </w:tr>
      <w:tr w14:paraId="7451CC48">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912D516">
            <w:pPr>
              <w:spacing w:before="0" w:after="0" w:line="240" w:lineRule="auto"/>
            </w:pPr>
            <w:r>
              <w:rPr>
                <w:rFonts w:ascii="Times New Roman" w:hAnsi="Times New Roman" w:eastAsia="Times New Roman" w:cs="Times New Roman"/>
                <w:color w:val="000000"/>
                <w:sz w:val="28"/>
                <w:szCs w:val="24"/>
              </w:rPr>
              <w:t>Кол-во подписчиков (конец года)</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2859511">
            <w:pPr>
              <w:spacing w:before="0" w:after="0" w:line="240" w:lineRule="auto"/>
            </w:pPr>
            <w:r>
              <w:rPr>
                <w:rFonts w:ascii="Times New Roman" w:hAnsi="Times New Roman" w:eastAsia="Times New Roman" w:cs="Times New Roman"/>
                <w:color w:val="000000"/>
                <w:sz w:val="28"/>
                <w:szCs w:val="24"/>
              </w:rPr>
              <w:t>72</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9B4927C">
            <w:pPr>
              <w:spacing w:before="0" w:after="0" w:line="240" w:lineRule="auto"/>
            </w:pPr>
            <w:r>
              <w:rPr>
                <w:rFonts w:ascii="Times New Roman" w:hAnsi="Times New Roman" w:eastAsia="Times New Roman" w:cs="Times New Roman"/>
                <w:color w:val="000000"/>
                <w:sz w:val="28"/>
                <w:szCs w:val="24"/>
              </w:rPr>
              <w:t>215</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F644256">
            <w:pPr>
              <w:spacing w:before="0" w:after="0" w:line="240" w:lineRule="auto"/>
            </w:pPr>
            <w:r>
              <w:rPr>
                <w:rFonts w:ascii="Times New Roman" w:hAnsi="Times New Roman" w:eastAsia="Times New Roman" w:cs="Times New Roman"/>
                <w:color w:val="000000"/>
                <w:sz w:val="28"/>
                <w:szCs w:val="24"/>
              </w:rPr>
              <w:t>480</w:t>
            </w:r>
          </w:p>
        </w:tc>
      </w:tr>
      <w:tr w14:paraId="700DA11F">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116EDDB">
            <w:pPr>
              <w:spacing w:before="0" w:after="0" w:line="240" w:lineRule="auto"/>
            </w:pPr>
            <w:r>
              <w:rPr>
                <w:rFonts w:ascii="Times New Roman" w:hAnsi="Times New Roman" w:eastAsia="Times New Roman" w:cs="Times New Roman"/>
                <w:color w:val="000000"/>
                <w:sz w:val="28"/>
                <w:szCs w:val="24"/>
              </w:rPr>
              <w:t>Выручка, тыс. руб.</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7AF9C3C">
            <w:pPr>
              <w:spacing w:before="0" w:after="0" w:line="240" w:lineRule="auto"/>
            </w:pPr>
            <w:r>
              <w:rPr>
                <w:rFonts w:ascii="Times New Roman" w:hAnsi="Times New Roman" w:eastAsia="Times New Roman" w:cs="Times New Roman"/>
                <w:color w:val="000000"/>
                <w:sz w:val="28"/>
                <w:szCs w:val="24"/>
              </w:rPr>
              <w:t>5 184</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709940C">
            <w:pPr>
              <w:spacing w:before="0" w:after="0" w:line="240" w:lineRule="auto"/>
            </w:pPr>
            <w:r>
              <w:rPr>
                <w:rFonts w:ascii="Times New Roman" w:hAnsi="Times New Roman" w:eastAsia="Times New Roman" w:cs="Times New Roman"/>
                <w:color w:val="000000"/>
                <w:sz w:val="28"/>
                <w:szCs w:val="24"/>
              </w:rPr>
              <w:t>18 360</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5816508">
            <w:pPr>
              <w:spacing w:before="0" w:after="0" w:line="240" w:lineRule="auto"/>
            </w:pPr>
            <w:r>
              <w:rPr>
                <w:rFonts w:ascii="Times New Roman" w:hAnsi="Times New Roman" w:eastAsia="Times New Roman" w:cs="Times New Roman"/>
                <w:color w:val="000000"/>
                <w:sz w:val="28"/>
                <w:szCs w:val="24"/>
              </w:rPr>
              <w:t>43 200</w:t>
            </w:r>
          </w:p>
        </w:tc>
      </w:tr>
      <w:tr w14:paraId="1FA70C92">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5EB0B76">
            <w:pPr>
              <w:spacing w:before="0" w:after="0" w:line="240" w:lineRule="auto"/>
            </w:pPr>
            <w:r>
              <w:rPr>
                <w:rFonts w:ascii="Times New Roman" w:hAnsi="Times New Roman" w:eastAsia="Times New Roman" w:cs="Times New Roman"/>
                <w:color w:val="000000"/>
                <w:sz w:val="28"/>
                <w:szCs w:val="24"/>
              </w:rPr>
              <w:t>OPEX, тыс. руб.</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523889B">
            <w:pPr>
              <w:spacing w:before="0" w:after="0" w:line="240" w:lineRule="auto"/>
            </w:pPr>
            <w:r>
              <w:rPr>
                <w:rFonts w:ascii="Times New Roman" w:hAnsi="Times New Roman" w:eastAsia="Times New Roman" w:cs="Times New Roman"/>
                <w:color w:val="000000"/>
                <w:sz w:val="28"/>
                <w:szCs w:val="24"/>
              </w:rPr>
              <w:t>8 760</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F3C7AE0">
            <w:pPr>
              <w:spacing w:before="0" w:after="0" w:line="240" w:lineRule="auto"/>
            </w:pPr>
            <w:r>
              <w:rPr>
                <w:rFonts w:ascii="Times New Roman" w:hAnsi="Times New Roman" w:eastAsia="Times New Roman" w:cs="Times New Roman"/>
                <w:color w:val="000000"/>
                <w:sz w:val="28"/>
                <w:szCs w:val="24"/>
              </w:rPr>
              <w:t>15 600</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E42B1AD">
            <w:pPr>
              <w:spacing w:before="0" w:after="0" w:line="240" w:lineRule="auto"/>
            </w:pPr>
            <w:r>
              <w:rPr>
                <w:rFonts w:ascii="Times New Roman" w:hAnsi="Times New Roman" w:eastAsia="Times New Roman" w:cs="Times New Roman"/>
                <w:color w:val="000000"/>
                <w:sz w:val="28"/>
                <w:szCs w:val="24"/>
              </w:rPr>
              <w:t>21 600</w:t>
            </w:r>
          </w:p>
        </w:tc>
      </w:tr>
      <w:tr w14:paraId="112B9AD5">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69A04E5">
            <w:pPr>
              <w:spacing w:before="0" w:after="0" w:line="240" w:lineRule="auto"/>
            </w:pPr>
            <w:r>
              <w:rPr>
                <w:rFonts w:ascii="Times New Roman" w:hAnsi="Times New Roman" w:eastAsia="Times New Roman" w:cs="Times New Roman"/>
                <w:color w:val="000000"/>
                <w:sz w:val="28"/>
                <w:szCs w:val="24"/>
              </w:rPr>
              <w:t>EBITDA, тыс. руб.</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DBAA673">
            <w:pPr>
              <w:spacing w:before="0" w:after="0" w:line="240" w:lineRule="auto"/>
            </w:pPr>
            <w:r>
              <w:rPr>
                <w:rFonts w:ascii="Times New Roman" w:hAnsi="Times New Roman" w:eastAsia="Times New Roman" w:cs="Times New Roman"/>
                <w:color w:val="000000"/>
                <w:sz w:val="28"/>
                <w:szCs w:val="24"/>
              </w:rPr>
              <w:t>-3 576</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C905AC6">
            <w:pPr>
              <w:spacing w:before="0" w:after="0" w:line="240" w:lineRule="auto"/>
            </w:pPr>
            <w:r>
              <w:rPr>
                <w:rFonts w:ascii="Times New Roman" w:hAnsi="Times New Roman" w:eastAsia="Times New Roman" w:cs="Times New Roman"/>
                <w:color w:val="000000"/>
                <w:sz w:val="28"/>
                <w:szCs w:val="24"/>
              </w:rPr>
              <w:t>2 760</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8F74556">
            <w:pPr>
              <w:spacing w:before="0" w:after="0" w:line="240" w:lineRule="auto"/>
            </w:pPr>
            <w:r>
              <w:rPr>
                <w:rFonts w:ascii="Times New Roman" w:hAnsi="Times New Roman" w:eastAsia="Times New Roman" w:cs="Times New Roman"/>
                <w:color w:val="000000"/>
                <w:sz w:val="28"/>
                <w:szCs w:val="24"/>
              </w:rPr>
              <w:t>21 600</w:t>
            </w:r>
          </w:p>
        </w:tc>
      </w:tr>
      <w:tr w14:paraId="644C6683">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0DFA5C2">
            <w:pPr>
              <w:spacing w:before="0" w:after="0" w:line="240" w:lineRule="auto"/>
            </w:pPr>
            <w:r>
              <w:rPr>
                <w:rFonts w:ascii="Times New Roman" w:hAnsi="Times New Roman" w:eastAsia="Times New Roman" w:cs="Times New Roman"/>
                <w:color w:val="000000"/>
                <w:sz w:val="28"/>
                <w:szCs w:val="24"/>
              </w:rPr>
              <w:t>Накопл. денежный поток</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EE6EF26">
            <w:pPr>
              <w:spacing w:before="0" w:after="0" w:line="240" w:lineRule="auto"/>
            </w:pPr>
            <w:r>
              <w:rPr>
                <w:rFonts w:ascii="Times New Roman" w:hAnsi="Times New Roman" w:eastAsia="Times New Roman" w:cs="Times New Roman"/>
                <w:color w:val="000000"/>
                <w:sz w:val="28"/>
                <w:szCs w:val="24"/>
              </w:rPr>
              <w:t>-3 576</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C715F51">
            <w:pPr>
              <w:spacing w:before="0" w:after="0" w:line="240" w:lineRule="auto"/>
            </w:pPr>
            <w:r>
              <w:rPr>
                <w:rFonts w:ascii="Times New Roman" w:hAnsi="Times New Roman" w:eastAsia="Times New Roman" w:cs="Times New Roman"/>
                <w:color w:val="000000"/>
                <w:sz w:val="28"/>
                <w:szCs w:val="24"/>
              </w:rPr>
              <w:t>-816</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4629073">
            <w:pPr>
              <w:spacing w:before="0" w:after="0" w:line="240" w:lineRule="auto"/>
            </w:pPr>
            <w:r>
              <w:rPr>
                <w:rFonts w:ascii="Times New Roman" w:hAnsi="Times New Roman" w:eastAsia="Times New Roman" w:cs="Times New Roman"/>
                <w:color w:val="000000"/>
                <w:sz w:val="28"/>
                <w:szCs w:val="24"/>
              </w:rPr>
              <w:t>20 784</w:t>
            </w:r>
          </w:p>
        </w:tc>
      </w:tr>
    </w:tbl>
    <w:p w14:paraId="6205AE84">
      <w:pPr>
        <w:spacing w:before="0" w:after="0" w:line="360" w:lineRule="auto"/>
      </w:pPr>
    </w:p>
    <w:p w14:paraId="0F04F29F">
      <w:pPr>
        <w:spacing w:before="0" w:after="0" w:line="360" w:lineRule="auto"/>
        <w:ind w:firstLine="708"/>
        <w:jc w:val="both"/>
      </w:pPr>
      <w:r>
        <w:rPr>
          <w:rFonts w:ascii="Times New Roman" w:hAnsi="Times New Roman" w:eastAsia="Times New Roman" w:cs="Times New Roman"/>
          <w:color w:val="000000"/>
          <w:sz w:val="28"/>
          <w:szCs w:val="28"/>
        </w:rPr>
        <w:t>В базовом сценарии проект выходит на операционную прибыль (положительную EBITDA) на 14-м месяце — это совпадает с достижением базы в ~210 платных подписчиков. Точка безубыточности (BEP) по накопленному денежному потоку приходится на 26-й месяц. К концу третьего года накопленный положительный денежный поток составляет 20,8 млн руб. [27, 28].</w:t>
      </w:r>
    </w:p>
    <w:p w14:paraId="4BDC6A1E">
      <w:pPr>
        <w:spacing w:before="0" w:after="0" w:line="360" w:lineRule="auto"/>
        <w:ind w:firstLine="708"/>
        <w:jc w:val="both"/>
      </w:pPr>
      <w:r>
        <w:rPr>
          <w:rFonts w:ascii="Times New Roman" w:hAnsi="Times New Roman" w:eastAsia="Times New Roman" w:cs="Times New Roman"/>
          <w:color w:val="000000"/>
          <w:sz w:val="28"/>
          <w:szCs w:val="28"/>
        </w:rPr>
        <w:t>Оптимистичный сценарий предполагает ускоренное привлечение клиентов (+50% к базовому темпу) и сниженный churn (4% в месяц). В данном сценарии BEP по EBITDA достигается на 10-м месяце, а накопленный денежный поток к концу третьего года составляет 38,2 млн руб. Пессимистичный сценарий предполагает замедленное привлечение (−30% к базовому темпу) и повышенный churn (7% в месяц). В этом случае BEP по EBITDA достигается на 22-м месяце, а накопленный денежный поток к концу третьего года составляет 5,4 млн руб. [28].</w:t>
      </w:r>
    </w:p>
    <w:p w14:paraId="61DFEF1E">
      <w:pPr>
        <w:spacing w:before="0" w:after="0" w:line="360" w:lineRule="auto"/>
        <w:ind w:firstLine="708"/>
        <w:jc w:val="both"/>
      </w:pPr>
      <w:r>
        <w:rPr>
          <w:rFonts w:ascii="Times New Roman" w:hAnsi="Times New Roman" w:eastAsia="Times New Roman" w:cs="Times New Roman"/>
          <w:color w:val="000000"/>
          <w:sz w:val="28"/>
          <w:szCs w:val="28"/>
        </w:rPr>
        <w:t>Потребность в инвестициях я рассчитал по максимальному накопленному отрицательному денежному потоку базового сценария — с учётом резерва 30%. Максимальная «долина смерти» — 3,6 млн руб. на 14-м месяце. С резервом потребность в финансировании составляет 4,7 млн руб. В оптимистичном сценарии она снижается до 2,8 млн руб., в пессимистичном — растёт до 7,2 млн руб. [27].</w:t>
      </w:r>
    </w:p>
    <w:p w14:paraId="66E53327">
      <w:pPr>
        <w:spacing w:before="0" w:after="0" w:line="360" w:lineRule="auto"/>
        <w:ind w:firstLine="708"/>
        <w:jc w:val="both"/>
      </w:pPr>
      <w:r>
        <w:rPr>
          <w:rFonts w:ascii="Times New Roman" w:hAnsi="Times New Roman" w:eastAsia="Times New Roman" w:cs="Times New Roman"/>
          <w:color w:val="000000"/>
          <w:sz w:val="28"/>
          <w:szCs w:val="28"/>
        </w:rPr>
        <w:t>Стратегия финансирования проекта — поэтапная, со средствами из разных источников. На первом этапе (pre-seed, 0–6 месяцев) задействуются грант Фонда содействия инновациям (программа «Студенческий стартап», 1 млн руб.) и собственные средства основателя (500 тыс. руб.). На втором этапе (seed, 6–12 месяцев) подключаются ангельские инвестиции — 3–5 млн руб. в обмен на 10–15% долю в капитале компании. На третьем этапе (раунд A, 18–24 месяца) идёт венчурное финансирование на 15–25 млн руб. — для выхода на рынки СНГ и MENA [29, 30].</w:t>
      </w:r>
    </w:p>
    <w:p w14:paraId="01E85688">
      <w:pPr>
        <w:spacing w:before="0" w:after="0" w:line="360" w:lineRule="auto"/>
        <w:ind w:firstLine="708"/>
        <w:jc w:val="both"/>
      </w:pPr>
      <w:r>
        <w:rPr>
          <w:rFonts w:ascii="Times New Roman" w:hAnsi="Times New Roman" w:eastAsia="Times New Roman" w:cs="Times New Roman"/>
          <w:color w:val="000000"/>
          <w:sz w:val="28"/>
          <w:szCs w:val="28"/>
        </w:rPr>
        <w:t>Выбор стратегии финансирования обусловлен спецификой deep-tech стартапов, для которых характерны длительный цикл разработки и высокая неопределённость рыночного спроса. Поэтапное привлечение средств позволяет снизить размывание доли основателя и обеспечить валидацию бизнес-модели между раундами. Грант ФСИ как инструмент безвозмездного финансирования особенно ценен на начальном этапе, поскольку позволяет сохранить полный контроль над компанией до привлечения коммерческих инвестиций [29].</w:t>
      </w:r>
    </w:p>
    <w:p w14:paraId="494C6072">
      <w:pPr>
        <w:spacing w:before="0" w:after="0" w:line="360" w:lineRule="auto"/>
        <w:ind w:firstLine="708"/>
        <w:jc w:val="both"/>
      </w:pPr>
      <w:r>
        <w:rPr>
          <w:rFonts w:ascii="Times New Roman" w:hAnsi="Times New Roman" w:eastAsia="Times New Roman" w:cs="Times New Roman"/>
          <w:color w:val="000000"/>
          <w:sz w:val="28"/>
          <w:szCs w:val="28"/>
        </w:rPr>
        <w:t>Инвестиционная оценка по методу DCF на горизонте 36 месяцев при ставке дисконтирования 20% даёт такие результаты: NPV базового сценария — 18,7 млн руб., IRR — 87%, дисконтированный срок окупаемости — 28 месяцев. Эти показатели говорят о высокой инвестиционной привлекательности проекта и совпадают с ожиданиями венчурных инвесторов на российском рынке [28, 30].</w:t>
      </w:r>
    </w:p>
    <w:p w14:paraId="121CC25F">
      <w:pPr>
        <w:spacing w:before="0" w:after="0" w:line="360" w:lineRule="auto"/>
        <w:ind w:firstLine="708"/>
        <w:jc w:val="both"/>
      </w:pPr>
      <w:r>
        <w:rPr>
          <w:rFonts w:ascii="Times New Roman" w:hAnsi="Times New Roman" w:eastAsia="Times New Roman" w:cs="Times New Roman"/>
          <w:color w:val="000000"/>
          <w:sz w:val="28"/>
          <w:szCs w:val="28"/>
        </w:rPr>
        <w:t>Дополнительным критерием инвестиционной привлекательности является показатель Revenue Multiple. При прогнозируемой годовой выручке Year 3 в размере 43,2 млн руб. и привлечении seed-раунда при оценке компании в 30–40 млн руб. (pre-money) мультипликатор Revenue составляет 0,7–0,9x, что создаёт привлекательную точку входа для инвесторов с потенциалом роста оценки до 3–5x ARR при достижении product-market fit и масштабировании [30].</w:t>
      </w:r>
    </w:p>
    <w:p w14:paraId="74596F87">
      <w:pPr>
        <w:spacing w:before="0" w:after="0" w:line="360" w:lineRule="auto"/>
        <w:ind w:firstLine="708"/>
        <w:jc w:val="both"/>
      </w:pPr>
      <w:r>
        <w:rPr>
          <w:rFonts w:ascii="Times New Roman" w:hAnsi="Times New Roman" w:eastAsia="Times New Roman" w:cs="Times New Roman"/>
          <w:color w:val="000000"/>
          <w:sz w:val="28"/>
          <w:szCs w:val="28"/>
        </w:rPr>
        <w:t>Таким образом, финансовая модель проекта «Эксперимент 619» подтверждает экономическую целесообразность коммерциализации продукта при всех рассмотренных сценариях. Ключевыми условиями успеха являются обеспечение целевого темпа привлечения клиентов (не менее 8 в месяц на первом этапе) и удержание churn на уровне не более 7% в месяц.</w:t>
      </w:r>
    </w:p>
    <w:p w14:paraId="26189704">
      <w:pPr>
        <w:spacing w:before="0" w:after="0" w:line="360" w:lineRule="auto"/>
        <w:ind w:firstLine="708"/>
        <w:jc w:val="both"/>
      </w:pPr>
      <w:r>
        <w:rPr>
          <w:rFonts w:ascii="Times New Roman" w:hAnsi="Times New Roman" w:eastAsia="Times New Roman" w:cs="Times New Roman"/>
          <w:color w:val="000000"/>
          <w:sz w:val="28"/>
          <w:szCs w:val="28"/>
        </w:rPr>
        <w:t>Важным элементом финансовой модели является учёт налоговой нагрузки. Стартап планирует применение упрощённой системы налогообложения (УСН) с объектом «доходы минус расходы» и ставкой 15%. Данный режим налогообложения является оптимальным для технологических стартапов на ранней стадии, поскольку позволяет учитывать расходы на оплату труда, аренду серверных мощностей и маркетинг при определении налогооблагаемой базы. При переходе годовой выручки через порог 250 млн руб. планируется переход на общую систему налогообложения с применением льгот для IT-компаний (пониженная ставка страховых взносов 7,6% вместо 30%) [27, 28].</w:t>
      </w:r>
    </w:p>
    <w:p w14:paraId="1866296E">
      <w:pPr>
        <w:spacing w:before="0" w:after="0" w:line="360" w:lineRule="auto"/>
        <w:ind w:firstLine="708"/>
        <w:jc w:val="both"/>
      </w:pPr>
      <w:r>
        <w:rPr>
          <w:rFonts w:ascii="Times New Roman" w:hAnsi="Times New Roman" w:eastAsia="Times New Roman" w:cs="Times New Roman"/>
          <w:color w:val="000000"/>
          <w:sz w:val="28"/>
          <w:szCs w:val="28"/>
        </w:rPr>
        <w:t>Дополнительным аспектом финансового планирования является валютный риск. При текущей модели все расходы и доходы номинированы в рублях, что минимизирует валютный риск. Однако при выходе на международные рынки (этап масштабирования) потребуется хеджирование валютных рисков через формирование мультивалютной структуры ценообразования и использование форвардных контрактов для фиксации курса оплаты облачных GPU-сервисов [28].</w:t>
      </w:r>
    </w:p>
    <w:p w14:paraId="2250248C">
      <w:pPr>
        <w:spacing w:before="0" w:after="0" w:line="360" w:lineRule="auto"/>
        <w:ind w:firstLine="708"/>
        <w:jc w:val="both"/>
      </w:pPr>
      <w:r>
        <w:rPr>
          <w:rFonts w:ascii="Times New Roman" w:hAnsi="Times New Roman" w:eastAsia="Times New Roman" w:cs="Times New Roman"/>
          <w:color w:val="000000"/>
          <w:sz w:val="28"/>
          <w:szCs w:val="28"/>
        </w:rPr>
        <w:t>Сравнительный анализ подходов к оценке стоимости стартапа показывает следующие результаты. По методу DCF (описан выше) post-money оценка на стадии seed составляет 35–45 млн руб. По методу сопоставимых компаний (Revenue Multiple 3–5x на ARR Year 2) оценка составляет 55–92 млн руб. По методу Беркуса (Berkus Method), учитывающему стадию развития, наличие MVP, размер рынка и команду, оценка составляет 25–40 млн руб. Консервативная оценка для seed-раунда принимается на уровне 30–40 млн руб. pre-money [30].</w:t>
      </w:r>
    </w:p>
    <w:p w14:paraId="7796E28D">
      <w:pPr>
        <w:spacing w:before="0" w:after="0" w:line="360" w:lineRule="auto"/>
        <w:ind w:firstLine="708"/>
        <w:jc w:val="both"/>
      </w:pPr>
      <w:r>
        <w:rPr>
          <w:rFonts w:ascii="Times New Roman" w:hAnsi="Times New Roman" w:eastAsia="Times New Roman" w:cs="Times New Roman"/>
          <w:color w:val="000000"/>
          <w:sz w:val="28"/>
          <w:szCs w:val="28"/>
        </w:rPr>
        <w:t>Стратегия выхода (exit strategy) для инвесторов предусматривает два основных сценария. Первый сценарий — стратегическое поглощение крупным игроком рынка AV-оборудования или ивент-технологий (горизонт 5–7 лет, ожидаемый мультипликатор 5–8x ARR). Второй сценарий — продолжение независимого развития с выплатой дивидендов после достижения устойчивой прибыльности (горизонт 3–5 лет). Выбор сценария будет определяться рыночной конъюнктурой и стратегическими предпочтениями основателя и инвесторов [29, 30].</w:t>
      </w:r>
    </w:p>
    <w:p w14:paraId="727E374D">
      <w:pPr>
        <w:spacing w:before="0" w:after="0" w:line="360" w:lineRule="auto"/>
        <w:ind w:firstLine="708"/>
        <w:jc w:val="both"/>
      </w:pPr>
      <w:r>
        <w:rPr>
          <w:rFonts w:ascii="Times New Roman" w:hAnsi="Times New Roman" w:eastAsia="Times New Roman" w:cs="Times New Roman"/>
          <w:color w:val="000000"/>
          <w:sz w:val="28"/>
          <w:szCs w:val="28"/>
        </w:rPr>
        <w:t>Особое внимание в финансовой модели уделено формированию операционного резерва. Рекомендуемый размер операционного резерва для технологического стартапа составляет 3–6 месяцев операционных расходов. На первый год деятельности операционные расходы составляют ~730 тыс. руб./мес., что определяет целевой размер резерва в 2,2–4,4 млн руб. Формирование резерва планируется из средств seed-раунда и операционной прибыли после достижения BEP [27].</w:t>
      </w:r>
    </w:p>
    <w:p w14:paraId="6F1C7D61">
      <w:pPr>
        <w:spacing w:before="0" w:after="0" w:line="360" w:lineRule="auto"/>
        <w:ind w:firstLine="708"/>
        <w:jc w:val="both"/>
      </w:pPr>
      <w:r>
        <w:rPr>
          <w:rFonts w:ascii="Times New Roman" w:hAnsi="Times New Roman" w:eastAsia="Times New Roman" w:cs="Times New Roman"/>
          <w:color w:val="000000"/>
          <w:sz w:val="28"/>
          <w:szCs w:val="28"/>
        </w:rPr>
        <w:t>Метрики операционной эффективности, подлежащие мониторингу на постоянной основе, включают: MRR (Monthly Recurring Revenue) — целевой рост 10–15% month-over-month на стадии роста; Net Revenue Retention (NRR) — целевой показатель 110%+ за счёт апселлинга PRO-подписки и дополнительных библиотек эффектов; Gross Margin — целевой показатель не ниже 80%; Rule of 40 (темп роста + маржа EBITDA &gt; 40%) — критерий достижения на стадии масштабирования [18, 22].</w:t>
      </w:r>
    </w:p>
    <w:p w14:paraId="3302EE8C">
      <w:pPr>
        <w:spacing w:before="0" w:after="0" w:line="360" w:lineRule="auto"/>
        <w:ind w:firstLine="708"/>
        <w:jc w:val="both"/>
      </w:pPr>
      <w:r>
        <w:rPr>
          <w:rFonts w:ascii="Times New Roman" w:hAnsi="Times New Roman" w:eastAsia="Times New Roman" w:cs="Times New Roman"/>
          <w:color w:val="000000"/>
          <w:sz w:val="28"/>
          <w:szCs w:val="28"/>
        </w:rPr>
        <w:t>Модель управленческого учёта предусматривает ежемесячную подготовку управленческой отчётности, включающей: отчёт о прибылях и убытках (P&amp;L); отчёт о движении денежных средств (Cash Flow); дашборд ключевых SaaS-метрик (MRR, Churn, CAC, LTV, NRR). Данные отчёты обеспечивают оперативный контроль финансового состояния и позволяют своевременно корректировать стратегию при отклонении фактических показателей от плановых [27, 31].</w:t>
      </w:r>
    </w:p>
    <w:p w14:paraId="12863187">
      <w:pPr>
        <w:spacing w:before="0" w:after="0" w:line="360" w:lineRule="auto"/>
        <w:ind w:firstLine="708"/>
        <w:jc w:val="both"/>
      </w:pPr>
      <w:r>
        <w:rPr>
          <w:rFonts w:ascii="Times New Roman" w:hAnsi="Times New Roman" w:eastAsia="Times New Roman" w:cs="Times New Roman"/>
          <w:color w:val="000000"/>
          <w:sz w:val="28"/>
          <w:szCs w:val="28"/>
        </w:rPr>
        <w:t>Бюджет маркетинга и продаж структурирован по каналам привлечения. На первый год распределение маркетингового бюджета (1,8 млн руб.) выглядит следующим образом: контекстная реклама (Яндекс.Директ) — 35% (630 тыс. руб.); участие в выставках и конференциях (3–4 мероприятия) — 30% (540 тыс. руб.); контент-маркетинг и SEO — 20% (360 тыс. руб.); партнёрские программы — 15% (270 тыс. руб.). Эффективность каждого канала отслеживается через CRM-систему с атрибуцией лидов до конверсии в платящего клиента [23, 32].</w:t>
      </w:r>
    </w:p>
    <w:p w14:paraId="4126B227">
      <w:pPr>
        <w:spacing w:before="0" w:after="0" w:line="360" w:lineRule="auto"/>
        <w:ind w:firstLine="708"/>
        <w:jc w:val="both"/>
      </w:pPr>
      <w:r>
        <w:rPr>
          <w:rFonts w:ascii="Times New Roman" w:hAnsi="Times New Roman" w:eastAsia="Times New Roman" w:cs="Times New Roman"/>
          <w:color w:val="000000"/>
          <w:sz w:val="28"/>
          <w:szCs w:val="28"/>
        </w:rPr>
        <w:t>Ценовая эластичность спроса была оценена в ходе CustDev-интервью путём теста Ван Вестендорпа (Price Sensitivity Meter). Результаты показали, что оптимальная ценовая точка (OPP) для базовой подписки составляет 4 500–5 500 руб./мес., а для PRO-подписки — 13 000–17 000 руб./мес. Установленные тарифы (5 000 и 15 000 руб./мес. соответственно) находятся внутри этих диапазонов, что минимизирует риск ценового отторжения и максимизирует конверсию [17].</w:t>
      </w:r>
    </w:p>
    <w:p w14:paraId="048D5F28">
      <w:pPr>
        <w:spacing w:before="0" w:after="0" w:line="360" w:lineRule="auto"/>
        <w:ind w:firstLine="708"/>
        <w:jc w:val="both"/>
      </w:pPr>
      <w:r>
        <w:rPr>
          <w:rFonts w:ascii="Times New Roman" w:hAnsi="Times New Roman" w:eastAsia="Times New Roman" w:cs="Times New Roman"/>
          <w:color w:val="000000"/>
          <w:sz w:val="28"/>
          <w:szCs w:val="28"/>
        </w:rPr>
        <w:t>Отдельным элементом финансовой модели является амортизация затрат на разработку MVP. Совокупные затраты на создание прототипа составили порядка 1,2 млн руб. (трудозатраты основателя за 8 месяцев, аренда GPU для обучения модели, тестирование). Данные затраты капитализированы как нематериальные активы и амортизируются линейным методом на срок 3 года, что обеспечивает уменьшение налогооблагаемой базы на 400 тыс. руб. в год при применении УСН [27].</w:t>
      </w:r>
    </w:p>
    <w:p w14:paraId="3E8844F8">
      <w:pPr>
        <w:pStyle w:val="3"/>
        <w:spacing w:before="0" w:after="0" w:line="360" w:lineRule="auto"/>
        <w:ind w:firstLine="708"/>
        <w:jc w:val="left"/>
      </w:pPr>
      <w:bookmarkStart w:id="12" w:name="_Toc1647394786"/>
      <w:r>
        <w:rPr>
          <w:rFonts w:ascii="Times New Roman" w:hAnsi="Times New Roman" w:eastAsia="Times New Roman" w:cs="Times New Roman"/>
          <w:b/>
          <w:color w:val="000000"/>
          <w:sz w:val="28"/>
          <w:szCs w:val="28"/>
        </w:rPr>
        <w:t>Выводы по главе 2</w:t>
      </w:r>
      <w:bookmarkEnd w:id="12"/>
    </w:p>
    <w:p w14:paraId="0CCAA3DB">
      <w:pPr>
        <w:spacing w:before="0" w:after="0" w:line="360" w:lineRule="auto"/>
        <w:ind w:firstLine="708"/>
        <w:jc w:val="both"/>
      </w:pPr>
      <w:r>
        <w:rPr>
          <w:rFonts w:ascii="Times New Roman" w:hAnsi="Times New Roman" w:eastAsia="Times New Roman" w:cs="Times New Roman"/>
          <w:color w:val="000000"/>
          <w:sz w:val="28"/>
          <w:szCs w:val="28"/>
        </w:rPr>
        <w:t>Экономический анализ и финансовое моделирование привели к следующим результатам.</w:t>
      </w:r>
    </w:p>
    <w:p w14:paraId="54FCC028">
      <w:pPr>
        <w:spacing w:before="0" w:after="0" w:line="360" w:lineRule="auto"/>
        <w:ind w:firstLine="708"/>
        <w:jc w:val="both"/>
      </w:pPr>
      <w:r>
        <w:rPr>
          <w:rFonts w:ascii="Times New Roman" w:hAnsi="Times New Roman" w:eastAsia="Times New Roman" w:cs="Times New Roman"/>
          <w:color w:val="000000"/>
          <w:sz w:val="28"/>
          <w:szCs w:val="28"/>
        </w:rPr>
        <w:t>Себестоимость одного сеанса генерации видеомэппинга — 150 руб. при валовой марже 87%. Это уровень успешных SaaS-компаний. Главный драйвер затрат — GPU-инференс (28% себестоимости); его стоимость со временем снижается.</w:t>
      </w:r>
    </w:p>
    <w:p w14:paraId="7F648FD3">
      <w:pPr>
        <w:spacing w:before="0" w:after="0" w:line="360" w:lineRule="auto"/>
        <w:ind w:firstLine="708"/>
        <w:jc w:val="both"/>
      </w:pPr>
      <w:r>
        <w:rPr>
          <w:rFonts w:ascii="Times New Roman" w:hAnsi="Times New Roman" w:eastAsia="Times New Roman" w:cs="Times New Roman"/>
          <w:color w:val="000000"/>
          <w:sz w:val="28"/>
          <w:szCs w:val="28"/>
        </w:rPr>
        <w:t>Показатели юнит-экономики продукта говорят о высокой коммерческой привлекательности: LTV/CAC = 14,4 (при пороге &gt; 3), CAC Payback = 1,4 месяца. Анализ чувствительности подтверждает запас прочности модели: критический сценарий (LTV/CAC &lt; 3) возможен только при одновременном утроении CAC и сокращении срока жизни клиента вдвое.</w:t>
      </w:r>
    </w:p>
    <w:p w14:paraId="4FEE94ED">
      <w:pPr>
        <w:spacing w:before="0" w:after="0" w:line="360" w:lineRule="auto"/>
        <w:ind w:firstLine="708"/>
        <w:jc w:val="both"/>
      </w:pPr>
      <w:r>
        <w:rPr>
          <w:rFonts w:ascii="Times New Roman" w:hAnsi="Times New Roman" w:eastAsia="Times New Roman" w:cs="Times New Roman"/>
          <w:color w:val="000000"/>
          <w:sz w:val="28"/>
          <w:szCs w:val="28"/>
        </w:rPr>
        <w:t>Облачная модель развёртывания подходит для стартового этапа (0–500 клиентов), гибридная — для стадии роста (500+ клиентов). Переход между моделями оптимизирует соотношение CAPEX и OPEX.</w:t>
      </w:r>
    </w:p>
    <w:p w14:paraId="0ED42AEE">
      <w:pPr>
        <w:spacing w:before="0" w:after="0" w:line="360" w:lineRule="auto"/>
        <w:ind w:firstLine="708"/>
        <w:jc w:val="both"/>
      </w:pPr>
      <w:r>
        <w:rPr>
          <w:rFonts w:ascii="Times New Roman" w:hAnsi="Times New Roman" w:eastAsia="Times New Roman" w:cs="Times New Roman"/>
          <w:color w:val="000000"/>
          <w:sz w:val="28"/>
          <w:szCs w:val="28"/>
        </w:rPr>
        <w:t>Финансовая модель на горизонте 36 месяцев даёт NPV = 18,7 млн руб. при IRR = 87% в базовом сценарии. Потребность в инвестициях — 4,7 млн руб., точка безубыточности по EBITDA — 14-й месяц. Поэтапная стратегия финансирования (грант ФСИ → ангельские инвестиции → раунд A) минимизирует размывание доли основателя.</w:t>
      </w:r>
    </w:p>
    <w:p w14:paraId="277881AF">
      <w:pPr>
        <w:spacing w:before="0" w:after="0" w:line="360" w:lineRule="auto"/>
      </w:pPr>
      <w:r>
        <w:rPr>
          <w:rFonts w:ascii="Times New Roman" w:hAnsi="Times New Roman" w:eastAsia="Times New Roman" w:cs="Times New Roman"/>
          <w:color w:val="000000"/>
          <w:sz w:val="28"/>
        </w:rPr>
        <w:br w:type="page"/>
      </w:r>
    </w:p>
    <w:p w14:paraId="435AE56F">
      <w:pPr>
        <w:pStyle w:val="2"/>
        <w:pageBreakBefore/>
        <w:spacing w:before="0" w:after="0" w:line="360" w:lineRule="auto"/>
        <w:jc w:val="both"/>
      </w:pPr>
      <w:bookmarkStart w:id="13" w:name="_Toc257507531"/>
      <w:r>
        <w:rPr>
          <w:rFonts w:ascii="Times New Roman" w:hAnsi="Times New Roman" w:eastAsia="Times New Roman" w:cs="Times New Roman"/>
          <w:b/>
          <w:color w:val="000000"/>
          <w:sz w:val="28"/>
          <w:szCs w:val="28"/>
        </w:rPr>
        <w:t>3 ОЦЕНКА ЭФФЕКТИВНОСТИ И СТРАТЕГИЯ КОММЕРЦИАЛИЗАЦИИ</w:t>
      </w:r>
      <w:bookmarkEnd w:id="13"/>
    </w:p>
    <w:p w14:paraId="6D6C6ABF">
      <w:pPr>
        <w:spacing w:before="0" w:after="0" w:line="360" w:lineRule="auto"/>
        <w:ind w:firstLine="708"/>
        <w:jc w:val="both"/>
      </w:pPr>
      <w:r>
        <w:rPr>
          <w:rFonts w:ascii="Times New Roman" w:hAnsi="Times New Roman" w:eastAsia="Times New Roman" w:cs="Times New Roman"/>
          <w:color w:val="000000"/>
          <w:sz w:val="28"/>
          <w:szCs w:val="28"/>
        </w:rPr>
        <w:t>В третьей главе я оцениваю экономическую эффективность проекта и собираю стратегию коммерциализации. Сначала считаю классические инвестиционные показатели (NPV, IRR, DPP, PI) по трём сценариям, провожу анализ чувствительности и стресс-тест Монте-Карло. Затем описываю трёхэтапную стратегию выхода на рынок (Hunting, Showcase, Community), дорожную карту 2022–2027 годов с целевыми уровнями TRL, тарифную линейку и конкурентную карту. В завершение разбираю риски с интегральной оценкой и формулирую рекомендации по практической реализации. Глава 3 связывает аналитический и финансовый блок диссертации с конкретными действиями по выводу продукта на рынок.</w:t>
      </w:r>
    </w:p>
    <w:p w14:paraId="11209C88">
      <w:pPr>
        <w:pStyle w:val="3"/>
        <w:spacing w:before="0" w:after="0" w:line="360" w:lineRule="auto"/>
        <w:ind w:firstLine="708"/>
        <w:jc w:val="both"/>
      </w:pPr>
      <w:bookmarkStart w:id="14" w:name="_Toc749524812"/>
      <w:r>
        <w:rPr>
          <w:rFonts w:ascii="Times New Roman" w:hAnsi="Times New Roman" w:eastAsia="Times New Roman" w:cs="Times New Roman"/>
          <w:b/>
          <w:color w:val="000000"/>
          <w:sz w:val="28"/>
          <w:szCs w:val="28"/>
        </w:rPr>
        <w:t>3.1 Оценка экономической эффективности проекта</w:t>
      </w:r>
      <w:bookmarkEnd w:id="14"/>
    </w:p>
    <w:p w14:paraId="2B21D2A4">
      <w:pPr>
        <w:spacing w:before="0" w:after="0" w:line="360" w:lineRule="auto"/>
        <w:ind w:firstLine="708"/>
        <w:jc w:val="both"/>
      </w:pPr>
      <w:r>
        <w:rPr>
          <w:rFonts w:ascii="Times New Roman" w:hAnsi="Times New Roman" w:eastAsia="Times New Roman" w:cs="Times New Roman"/>
          <w:color w:val="000000"/>
          <w:sz w:val="28"/>
          <w:szCs w:val="28"/>
        </w:rPr>
        <w:t>Экономическую эффективность проекта «Эксперимент 619» я оценил по классическим инвестиционным критериям: чистой приведённой стоимости (NPV), внутренней норме доходности (IRR), дисконтированному сроку окупаемости (DPP) и индексу рентабельности инвестиций (PI). Расчёт опирается на параметры финансовой модели из раздела 2.3. Ставка дисконтирования — 20% годовых; она отражает премию за риск, типичную для российских технологических стартапов ранней стадии [27, 28].</w:t>
      </w:r>
    </w:p>
    <w:p w14:paraId="4B9AB11F">
      <w:pPr>
        <w:spacing w:before="0" w:after="0" w:line="360" w:lineRule="auto"/>
        <w:ind w:firstLine="708"/>
        <w:jc w:val="both"/>
      </w:pPr>
      <w:r>
        <w:rPr>
          <w:rFonts w:ascii="Times New Roman" w:hAnsi="Times New Roman" w:eastAsia="Times New Roman" w:cs="Times New Roman"/>
          <w:color w:val="000000"/>
          <w:sz w:val="28"/>
          <w:szCs w:val="28"/>
        </w:rPr>
        <w:t>Чистая приведённая стоимость (NPV) рассчитана по формуле: NPV = Σ(CFt / (1 + r)^t) − I₀, где CFt — свободный денежный поток в периоде t, r — ставка дисконтирования, I₀ — первоначальные инвестиции. Результаты расчёта по трём сценариям представлены в таблице 3.1.</w:t>
      </w:r>
    </w:p>
    <w:p w14:paraId="0889E069">
      <w:pPr>
        <w:spacing w:before="0" w:after="0" w:line="360" w:lineRule="auto"/>
        <w:jc w:val="left"/>
        <w:rPr>
          <w:i w:val="0"/>
          <w:iCs w:val="0"/>
        </w:rPr>
      </w:pPr>
      <w:r>
        <w:rPr>
          <w:rFonts w:ascii="Times New Roman" w:hAnsi="Times New Roman" w:eastAsia="Times New Roman" w:cs="Times New Roman"/>
          <w:i w:val="0"/>
          <w:iCs w:val="0"/>
          <w:color w:val="000000"/>
          <w:sz w:val="28"/>
          <w:szCs w:val="28"/>
        </w:rPr>
        <w:t>Таблица 3.1 — Сводные инвестиционные показатели проекта</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6EBDD4B8">
        <w:tc>
          <w:tcPr>
            <w:tcW w:w="2256"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2C72D012">
            <w:pPr>
              <w:spacing w:before="0" w:after="0" w:line="240" w:lineRule="auto"/>
              <w:jc w:val="center"/>
            </w:pPr>
            <w:r>
              <w:rPr>
                <w:rFonts w:ascii="Times New Roman" w:hAnsi="Times New Roman" w:eastAsia="Times New Roman" w:cs="Times New Roman"/>
                <w:bCs/>
                <w:color w:val="000000"/>
                <w:sz w:val="28"/>
                <w:szCs w:val="24"/>
              </w:rPr>
              <w:t>Показатель</w:t>
            </w:r>
          </w:p>
        </w:tc>
        <w:tc>
          <w:tcPr>
            <w:tcW w:w="2256"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4BA517A8">
            <w:pPr>
              <w:spacing w:before="0" w:after="0" w:line="240" w:lineRule="auto"/>
              <w:jc w:val="center"/>
            </w:pPr>
            <w:r>
              <w:rPr>
                <w:rFonts w:ascii="Times New Roman" w:hAnsi="Times New Roman" w:eastAsia="Times New Roman" w:cs="Times New Roman"/>
                <w:bCs/>
                <w:color w:val="000000"/>
                <w:sz w:val="28"/>
                <w:szCs w:val="24"/>
              </w:rPr>
              <w:t>Пессимистичный</w:t>
            </w:r>
          </w:p>
        </w:tc>
        <w:tc>
          <w:tcPr>
            <w:tcW w:w="2257"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17896F0F">
            <w:pPr>
              <w:spacing w:before="0" w:after="0" w:line="240" w:lineRule="auto"/>
              <w:jc w:val="center"/>
            </w:pPr>
            <w:r>
              <w:rPr>
                <w:rFonts w:ascii="Times New Roman" w:hAnsi="Times New Roman" w:eastAsia="Times New Roman" w:cs="Times New Roman"/>
                <w:bCs/>
                <w:color w:val="000000"/>
                <w:sz w:val="28"/>
                <w:szCs w:val="24"/>
              </w:rPr>
              <w:t>Базовый</w:t>
            </w:r>
          </w:p>
        </w:tc>
        <w:tc>
          <w:tcPr>
            <w:tcW w:w="2257"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0E7662ED">
            <w:pPr>
              <w:spacing w:before="0" w:after="0" w:line="240" w:lineRule="auto"/>
              <w:jc w:val="center"/>
            </w:pPr>
            <w:r>
              <w:rPr>
                <w:rFonts w:ascii="Times New Roman" w:hAnsi="Times New Roman" w:eastAsia="Times New Roman" w:cs="Times New Roman"/>
                <w:bCs/>
                <w:color w:val="000000"/>
                <w:sz w:val="28"/>
                <w:szCs w:val="24"/>
              </w:rPr>
              <w:t>Оптимистичный</w:t>
            </w:r>
          </w:p>
        </w:tc>
      </w:tr>
      <w:tr w14:paraId="6EAFE83D">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39680A6">
            <w:pPr>
              <w:spacing w:before="0" w:after="0" w:line="240" w:lineRule="auto"/>
            </w:pPr>
            <w:r>
              <w:rPr>
                <w:rFonts w:ascii="Times New Roman" w:hAnsi="Times New Roman" w:eastAsia="Times New Roman" w:cs="Times New Roman"/>
                <w:color w:val="000000"/>
                <w:sz w:val="28"/>
                <w:szCs w:val="24"/>
              </w:rPr>
              <w:t>NPV, млн руб.</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FD1FFB3">
            <w:pPr>
              <w:spacing w:before="0" w:after="0" w:line="240" w:lineRule="auto"/>
            </w:pPr>
            <w:r>
              <w:rPr>
                <w:rFonts w:ascii="Times New Roman" w:hAnsi="Times New Roman" w:eastAsia="Times New Roman" w:cs="Times New Roman"/>
                <w:color w:val="000000"/>
                <w:sz w:val="28"/>
                <w:szCs w:val="24"/>
              </w:rPr>
              <w:t>3,2</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64B53FC">
            <w:pPr>
              <w:spacing w:before="0" w:after="0" w:line="240" w:lineRule="auto"/>
            </w:pPr>
            <w:r>
              <w:rPr>
                <w:rFonts w:ascii="Times New Roman" w:hAnsi="Times New Roman" w:eastAsia="Times New Roman" w:cs="Times New Roman"/>
                <w:color w:val="000000"/>
                <w:sz w:val="28"/>
                <w:szCs w:val="24"/>
              </w:rPr>
              <w:t>18,7</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2E1E235">
            <w:pPr>
              <w:spacing w:before="0" w:after="0" w:line="240" w:lineRule="auto"/>
            </w:pPr>
            <w:r>
              <w:rPr>
                <w:rFonts w:ascii="Times New Roman" w:hAnsi="Times New Roman" w:eastAsia="Times New Roman" w:cs="Times New Roman"/>
                <w:color w:val="000000"/>
                <w:sz w:val="28"/>
                <w:szCs w:val="24"/>
              </w:rPr>
              <w:t>32,4</w:t>
            </w:r>
          </w:p>
        </w:tc>
      </w:tr>
      <w:tr w14:paraId="1FCE1030">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D6D55F5">
            <w:pPr>
              <w:spacing w:before="0" w:after="0" w:line="240" w:lineRule="auto"/>
            </w:pPr>
            <w:r>
              <w:rPr>
                <w:rFonts w:ascii="Times New Roman" w:hAnsi="Times New Roman" w:eastAsia="Times New Roman" w:cs="Times New Roman"/>
                <w:color w:val="000000"/>
                <w:sz w:val="28"/>
                <w:szCs w:val="24"/>
              </w:rPr>
              <w:t>IRR, %</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6878421">
            <w:pPr>
              <w:spacing w:before="0" w:after="0" w:line="240" w:lineRule="auto"/>
            </w:pPr>
            <w:r>
              <w:rPr>
                <w:rFonts w:ascii="Times New Roman" w:hAnsi="Times New Roman" w:eastAsia="Times New Roman" w:cs="Times New Roman"/>
                <w:color w:val="000000"/>
                <w:sz w:val="28"/>
                <w:szCs w:val="24"/>
              </w:rPr>
              <w:t>38</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7E49DA8">
            <w:pPr>
              <w:spacing w:before="0" w:after="0" w:line="240" w:lineRule="auto"/>
            </w:pPr>
            <w:r>
              <w:rPr>
                <w:rFonts w:ascii="Times New Roman" w:hAnsi="Times New Roman" w:eastAsia="Times New Roman" w:cs="Times New Roman"/>
                <w:color w:val="000000"/>
                <w:sz w:val="28"/>
                <w:szCs w:val="24"/>
              </w:rPr>
              <w:t>87</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88134A9">
            <w:pPr>
              <w:spacing w:before="0" w:after="0" w:line="240" w:lineRule="auto"/>
            </w:pPr>
            <w:r>
              <w:rPr>
                <w:rFonts w:ascii="Times New Roman" w:hAnsi="Times New Roman" w:eastAsia="Times New Roman" w:cs="Times New Roman"/>
                <w:color w:val="000000"/>
                <w:sz w:val="28"/>
                <w:szCs w:val="24"/>
              </w:rPr>
              <w:t>142</w:t>
            </w:r>
          </w:p>
        </w:tc>
      </w:tr>
      <w:tr w14:paraId="2100109B">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F4FBE48">
            <w:pPr>
              <w:spacing w:before="0" w:after="0" w:line="240" w:lineRule="auto"/>
            </w:pPr>
            <w:r>
              <w:rPr>
                <w:rFonts w:ascii="Times New Roman" w:hAnsi="Times New Roman" w:eastAsia="Times New Roman" w:cs="Times New Roman"/>
                <w:color w:val="000000"/>
                <w:sz w:val="28"/>
                <w:szCs w:val="24"/>
              </w:rPr>
              <w:t>DPP, мес.</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1439683">
            <w:pPr>
              <w:spacing w:before="0" w:after="0" w:line="240" w:lineRule="auto"/>
            </w:pPr>
            <w:r>
              <w:rPr>
                <w:rFonts w:ascii="Times New Roman" w:hAnsi="Times New Roman" w:eastAsia="Times New Roman" w:cs="Times New Roman"/>
                <w:color w:val="000000"/>
                <w:sz w:val="28"/>
                <w:szCs w:val="24"/>
              </w:rPr>
              <w:t>34</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8F20EEF">
            <w:pPr>
              <w:spacing w:before="0" w:after="0" w:line="240" w:lineRule="auto"/>
            </w:pPr>
            <w:r>
              <w:rPr>
                <w:rFonts w:ascii="Times New Roman" w:hAnsi="Times New Roman" w:eastAsia="Times New Roman" w:cs="Times New Roman"/>
                <w:color w:val="000000"/>
                <w:sz w:val="28"/>
                <w:szCs w:val="24"/>
              </w:rPr>
              <w:t>28</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933BDAB">
            <w:pPr>
              <w:spacing w:before="0" w:after="0" w:line="240" w:lineRule="auto"/>
            </w:pPr>
            <w:r>
              <w:rPr>
                <w:rFonts w:ascii="Times New Roman" w:hAnsi="Times New Roman" w:eastAsia="Times New Roman" w:cs="Times New Roman"/>
                <w:color w:val="000000"/>
                <w:sz w:val="28"/>
                <w:szCs w:val="24"/>
              </w:rPr>
              <w:t>18</w:t>
            </w:r>
          </w:p>
        </w:tc>
      </w:tr>
      <w:tr w14:paraId="737EF2AB">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A89C8BA">
            <w:pPr>
              <w:spacing w:before="0" w:after="0" w:line="240" w:lineRule="auto"/>
            </w:pPr>
            <w:r>
              <w:rPr>
                <w:rFonts w:ascii="Times New Roman" w:hAnsi="Times New Roman" w:eastAsia="Times New Roman" w:cs="Times New Roman"/>
                <w:color w:val="000000"/>
                <w:sz w:val="28"/>
                <w:szCs w:val="24"/>
              </w:rPr>
              <w:t>PI (индекс рентабельности)</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2E646D0">
            <w:pPr>
              <w:spacing w:before="0" w:after="0" w:line="240" w:lineRule="auto"/>
            </w:pPr>
            <w:r>
              <w:rPr>
                <w:rFonts w:ascii="Times New Roman" w:hAnsi="Times New Roman" w:eastAsia="Times New Roman" w:cs="Times New Roman"/>
                <w:color w:val="000000"/>
                <w:sz w:val="28"/>
                <w:szCs w:val="24"/>
              </w:rPr>
              <w:t>1,7</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73758BA">
            <w:pPr>
              <w:spacing w:before="0" w:after="0" w:line="240" w:lineRule="auto"/>
            </w:pPr>
            <w:r>
              <w:rPr>
                <w:rFonts w:ascii="Times New Roman" w:hAnsi="Times New Roman" w:eastAsia="Times New Roman" w:cs="Times New Roman"/>
                <w:color w:val="000000"/>
                <w:sz w:val="28"/>
                <w:szCs w:val="24"/>
              </w:rPr>
              <w:t>5,0</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153B622">
            <w:pPr>
              <w:spacing w:before="0" w:after="0" w:line="240" w:lineRule="auto"/>
            </w:pPr>
            <w:r>
              <w:rPr>
                <w:rFonts w:ascii="Times New Roman" w:hAnsi="Times New Roman" w:eastAsia="Times New Roman" w:cs="Times New Roman"/>
                <w:color w:val="000000"/>
                <w:sz w:val="28"/>
                <w:szCs w:val="24"/>
              </w:rPr>
              <w:t>9,6</w:t>
            </w:r>
          </w:p>
        </w:tc>
      </w:tr>
      <w:tr w14:paraId="1ECCF54F">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8306C6D">
            <w:pPr>
              <w:spacing w:before="0" w:after="0" w:line="240" w:lineRule="auto"/>
            </w:pPr>
            <w:r>
              <w:rPr>
                <w:rFonts w:ascii="Times New Roman" w:hAnsi="Times New Roman" w:eastAsia="Times New Roman" w:cs="Times New Roman"/>
                <w:color w:val="000000"/>
                <w:sz w:val="28"/>
                <w:szCs w:val="24"/>
              </w:rPr>
              <w:t>BEP (EBITDA), мес.</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4BC776D">
            <w:pPr>
              <w:spacing w:before="0" w:after="0" w:line="240" w:lineRule="auto"/>
            </w:pPr>
            <w:r>
              <w:rPr>
                <w:rFonts w:ascii="Times New Roman" w:hAnsi="Times New Roman" w:eastAsia="Times New Roman" w:cs="Times New Roman"/>
                <w:color w:val="000000"/>
                <w:sz w:val="28"/>
                <w:szCs w:val="24"/>
              </w:rPr>
              <w:t>22</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D3E64AA">
            <w:pPr>
              <w:spacing w:before="0" w:after="0" w:line="240" w:lineRule="auto"/>
            </w:pPr>
            <w:r>
              <w:rPr>
                <w:rFonts w:ascii="Times New Roman" w:hAnsi="Times New Roman" w:eastAsia="Times New Roman" w:cs="Times New Roman"/>
                <w:color w:val="000000"/>
                <w:sz w:val="28"/>
                <w:szCs w:val="24"/>
              </w:rPr>
              <w:t>14</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DA8C652">
            <w:pPr>
              <w:spacing w:before="0" w:after="0" w:line="240" w:lineRule="auto"/>
            </w:pPr>
            <w:r>
              <w:rPr>
                <w:rFonts w:ascii="Times New Roman" w:hAnsi="Times New Roman" w:eastAsia="Times New Roman" w:cs="Times New Roman"/>
                <w:color w:val="000000"/>
                <w:sz w:val="28"/>
                <w:szCs w:val="24"/>
              </w:rPr>
              <w:t>10</w:t>
            </w:r>
          </w:p>
        </w:tc>
      </w:tr>
      <w:tr w14:paraId="6F96B86B">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7EB900C">
            <w:pPr>
              <w:spacing w:before="0" w:after="0" w:line="240" w:lineRule="auto"/>
            </w:pPr>
            <w:r>
              <w:rPr>
                <w:rFonts w:ascii="Times New Roman" w:hAnsi="Times New Roman" w:eastAsia="Times New Roman" w:cs="Times New Roman"/>
                <w:color w:val="000000"/>
                <w:sz w:val="28"/>
                <w:szCs w:val="24"/>
              </w:rPr>
              <w:t>Инвестиции, млн руб.</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301E69D">
            <w:pPr>
              <w:spacing w:before="0" w:after="0" w:line="240" w:lineRule="auto"/>
            </w:pPr>
            <w:r>
              <w:rPr>
                <w:rFonts w:ascii="Times New Roman" w:hAnsi="Times New Roman" w:eastAsia="Times New Roman" w:cs="Times New Roman"/>
                <w:color w:val="000000"/>
                <w:sz w:val="28"/>
                <w:szCs w:val="24"/>
              </w:rPr>
              <w:t>7,2</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AF8EF19">
            <w:pPr>
              <w:spacing w:before="0" w:after="0" w:line="240" w:lineRule="auto"/>
            </w:pPr>
            <w:r>
              <w:rPr>
                <w:rFonts w:ascii="Times New Roman" w:hAnsi="Times New Roman" w:eastAsia="Times New Roman" w:cs="Times New Roman"/>
                <w:color w:val="000000"/>
                <w:sz w:val="28"/>
                <w:szCs w:val="24"/>
              </w:rPr>
              <w:t>4,7</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AF978A9">
            <w:pPr>
              <w:spacing w:before="0" w:after="0" w:line="240" w:lineRule="auto"/>
            </w:pPr>
            <w:r>
              <w:rPr>
                <w:rFonts w:ascii="Times New Roman" w:hAnsi="Times New Roman" w:eastAsia="Times New Roman" w:cs="Times New Roman"/>
                <w:color w:val="000000"/>
                <w:sz w:val="28"/>
                <w:szCs w:val="24"/>
              </w:rPr>
              <w:t>2,8</w:t>
            </w:r>
          </w:p>
        </w:tc>
      </w:tr>
    </w:tbl>
    <w:p w14:paraId="042DD696">
      <w:pPr>
        <w:spacing w:before="0" w:after="0" w:line="360" w:lineRule="auto"/>
      </w:pPr>
    </w:p>
    <w:p w14:paraId="6D8DF9C1">
      <w:pPr>
        <w:spacing w:before="0" w:after="0" w:line="360" w:lineRule="auto"/>
        <w:ind w:firstLine="708"/>
        <w:jc w:val="both"/>
      </w:pPr>
      <w:r>
        <w:rPr>
          <w:rFonts w:ascii="Times New Roman" w:hAnsi="Times New Roman" w:eastAsia="Times New Roman" w:cs="Times New Roman"/>
          <w:color w:val="000000"/>
          <w:sz w:val="28"/>
          <w:szCs w:val="28"/>
        </w:rPr>
        <w:t>Во всех трёх сценариях NPV положителен — а значит, реализация проекта экономически целесообразна. В базовом сценарии NPV = 18,7 млн руб.: проект создаёт значительную экономическую ценность при сравнительно небольших первоначальных инвестициях (4,7 млн руб.). Индекс рентабельности PI = 5,0 показывает, что каждый рубль инвестиций генерирует 5 рублей чистой приведённой стоимости, что является привлекательным показателем для венчурных инвесторов [28, 31].</w:t>
      </w:r>
    </w:p>
    <w:p w14:paraId="7AB342F7">
      <w:pPr>
        <w:spacing w:before="0" w:after="0" w:line="360" w:lineRule="auto"/>
        <w:ind w:firstLine="708"/>
        <w:jc w:val="both"/>
      </w:pPr>
      <w:r>
        <w:rPr>
          <w:rFonts w:ascii="Times New Roman" w:hAnsi="Times New Roman" w:eastAsia="Times New Roman" w:cs="Times New Roman"/>
          <w:color w:val="000000"/>
          <w:sz w:val="28"/>
          <w:szCs w:val="28"/>
        </w:rPr>
        <w:t>Внутренняя норма доходности (IRR) в базовом сценарии — 87%. Это существенно выше ставки дисконтирования (20%) и среднерыночной доходности альтернативных инвестиций. Такое высокое значение IRR объясняется масштабируемостью SaaS-модели: маржинальные затраты на обслуживание каждого нового клиента невелики (себестоимость сеанса — 150 руб. при ARPU 12 000 руб./мес.). Здесь работает выраженный эффект операционного рычага [27, 31].</w:t>
      </w:r>
    </w:p>
    <w:p w14:paraId="4A1D06A0">
      <w:pPr>
        <w:spacing w:before="0" w:after="0" w:line="360" w:lineRule="auto"/>
        <w:ind w:firstLine="708"/>
        <w:jc w:val="both"/>
      </w:pPr>
      <w:r>
        <w:rPr>
          <w:rFonts w:ascii="Times New Roman" w:hAnsi="Times New Roman" w:eastAsia="Times New Roman" w:cs="Times New Roman"/>
          <w:color w:val="000000"/>
          <w:sz w:val="28"/>
          <w:szCs w:val="28"/>
        </w:rPr>
        <w:t>Дисконтированный срок окупаемости (DPP) в базовом сценарии — 28 месяцев. Это укладывается в типичный горизонт для стартапов ранней стадии (24–36 месяцев). Стоит отметить, что недисконтированный срок окупаемости существенно короче — 22 месяца. При высокой ставке дисконтирования временная стоимость денег заметно увеличивает этот показатель [28].</w:t>
      </w:r>
    </w:p>
    <w:p w14:paraId="5693FC91">
      <w:pPr>
        <w:spacing w:before="0" w:after="0" w:line="360" w:lineRule="auto"/>
        <w:ind w:firstLine="708"/>
        <w:jc w:val="both"/>
      </w:pPr>
      <w:r>
        <w:rPr>
          <w:rFonts w:ascii="Times New Roman" w:hAnsi="Times New Roman" w:eastAsia="Times New Roman" w:cs="Times New Roman"/>
          <w:color w:val="000000"/>
          <w:sz w:val="28"/>
          <w:szCs w:val="28"/>
        </w:rPr>
        <w:t>Чтобы проверить устойчивость инвестиционных показателей, я провёл анализ чувствительности по ключевым параметрам модели. Результаты — в таблице 3.2.</w:t>
      </w:r>
    </w:p>
    <w:p w14:paraId="064D3BB8">
      <w:pPr>
        <w:spacing w:before="0" w:after="0" w:line="360" w:lineRule="auto"/>
        <w:jc w:val="left"/>
        <w:rPr>
          <w:rFonts w:ascii="Times New Roman" w:hAnsi="Times New Roman" w:eastAsia="Times New Roman" w:cs="Times New Roman"/>
          <w:i w:val="0"/>
          <w:iCs w:val="0"/>
          <w:color w:val="000000"/>
          <w:sz w:val="28"/>
          <w:szCs w:val="28"/>
        </w:rPr>
      </w:pPr>
      <w:r>
        <w:rPr>
          <w:rFonts w:ascii="Times New Roman" w:hAnsi="Times New Roman" w:eastAsia="Times New Roman" w:cs="Times New Roman"/>
          <w:i w:val="0"/>
          <w:iCs w:val="0"/>
          <w:color w:val="000000"/>
          <w:sz w:val="28"/>
          <w:szCs w:val="28"/>
        </w:rPr>
        <w:t>Таблица 3.2 — Анализ чувствительности NPV к изменению ключевых параметров</w:t>
      </w:r>
    </w:p>
    <w:p w14:paraId="6E1463CC">
      <w:pPr>
        <w:spacing w:before="0" w:after="0" w:line="360" w:lineRule="auto"/>
        <w:jc w:val="left"/>
        <w:rPr>
          <w:rFonts w:ascii="Times New Roman" w:hAnsi="Times New Roman" w:eastAsia="Times New Roman" w:cs="Times New Roman"/>
          <w:i w:val="0"/>
          <w:iCs w:val="0"/>
          <w:color w:val="000000"/>
          <w:sz w:val="28"/>
          <w:szCs w:val="28"/>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56"/>
        <w:gridCol w:w="2135"/>
        <w:gridCol w:w="2135"/>
        <w:gridCol w:w="2000"/>
      </w:tblGrid>
      <w:tr w14:paraId="1D5FBE1E">
        <w:tc>
          <w:tcPr>
            <w:tcW w:w="2756"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5BF8AAAE">
            <w:pPr>
              <w:spacing w:before="0" w:after="0" w:line="240" w:lineRule="auto"/>
              <w:jc w:val="center"/>
            </w:pPr>
            <w:r>
              <w:rPr>
                <w:rFonts w:ascii="Times New Roman" w:hAnsi="Times New Roman" w:eastAsia="Times New Roman" w:cs="Times New Roman"/>
                <w:bCs/>
                <w:color w:val="000000"/>
                <w:sz w:val="28"/>
                <w:szCs w:val="24"/>
              </w:rPr>
              <w:t>Параметр</w:t>
            </w:r>
          </w:p>
        </w:tc>
        <w:tc>
          <w:tcPr>
            <w:tcW w:w="2135"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6DB8AED3">
            <w:pPr>
              <w:spacing w:before="0" w:after="0" w:line="240" w:lineRule="auto"/>
              <w:jc w:val="center"/>
            </w:pPr>
            <w:r>
              <w:rPr>
                <w:rFonts w:ascii="Times New Roman" w:hAnsi="Times New Roman" w:eastAsia="Times New Roman" w:cs="Times New Roman"/>
                <w:bCs/>
                <w:color w:val="000000"/>
                <w:sz w:val="28"/>
                <w:szCs w:val="24"/>
              </w:rPr>
              <w:t>−20%</w:t>
            </w:r>
          </w:p>
        </w:tc>
        <w:tc>
          <w:tcPr>
            <w:tcW w:w="2135"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6117B7C8">
            <w:pPr>
              <w:spacing w:before="0" w:after="0" w:line="240" w:lineRule="auto"/>
              <w:jc w:val="center"/>
            </w:pPr>
            <w:r>
              <w:rPr>
                <w:rFonts w:ascii="Times New Roman" w:hAnsi="Times New Roman" w:eastAsia="Times New Roman" w:cs="Times New Roman"/>
                <w:bCs/>
                <w:color w:val="000000"/>
                <w:sz w:val="28"/>
                <w:szCs w:val="24"/>
              </w:rPr>
              <w:t>Базовый</w:t>
            </w:r>
          </w:p>
        </w:tc>
        <w:tc>
          <w:tcPr>
            <w:tcW w:w="20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65F2597B">
            <w:pPr>
              <w:spacing w:before="0" w:after="0" w:line="240" w:lineRule="auto"/>
              <w:jc w:val="center"/>
            </w:pPr>
            <w:r>
              <w:rPr>
                <w:rFonts w:ascii="Times New Roman" w:hAnsi="Times New Roman" w:eastAsia="Times New Roman" w:cs="Times New Roman"/>
                <w:bCs/>
                <w:color w:val="000000"/>
                <w:sz w:val="28"/>
                <w:szCs w:val="24"/>
              </w:rPr>
              <w:t>+20%</w:t>
            </w:r>
          </w:p>
        </w:tc>
      </w:tr>
      <w:tr w14:paraId="6366E25C">
        <w:tc>
          <w:tcPr>
            <w:tcW w:w="27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D0D5717">
            <w:pPr>
              <w:spacing w:before="0" w:after="0" w:line="240" w:lineRule="auto"/>
            </w:pPr>
            <w:r>
              <w:rPr>
                <w:rFonts w:ascii="Times New Roman" w:hAnsi="Times New Roman" w:eastAsia="Times New Roman" w:cs="Times New Roman"/>
                <w:color w:val="000000"/>
                <w:sz w:val="28"/>
                <w:szCs w:val="24"/>
              </w:rPr>
              <w:t>ARPU</w:t>
            </w:r>
          </w:p>
        </w:tc>
        <w:tc>
          <w:tcPr>
            <w:tcW w:w="213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3D31787">
            <w:pPr>
              <w:spacing w:before="0" w:after="0" w:line="240" w:lineRule="auto"/>
            </w:pPr>
            <w:r>
              <w:rPr>
                <w:rFonts w:ascii="Times New Roman" w:hAnsi="Times New Roman" w:eastAsia="Times New Roman" w:cs="Times New Roman"/>
                <w:color w:val="000000"/>
                <w:sz w:val="28"/>
                <w:szCs w:val="24"/>
              </w:rPr>
              <w:t>11,2 млн</w:t>
            </w:r>
          </w:p>
        </w:tc>
        <w:tc>
          <w:tcPr>
            <w:tcW w:w="213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43A476B">
            <w:pPr>
              <w:spacing w:before="0" w:after="0" w:line="240" w:lineRule="auto"/>
            </w:pPr>
            <w:r>
              <w:rPr>
                <w:rFonts w:ascii="Times New Roman" w:hAnsi="Times New Roman" w:eastAsia="Times New Roman" w:cs="Times New Roman"/>
                <w:color w:val="000000"/>
                <w:sz w:val="28"/>
                <w:szCs w:val="24"/>
              </w:rPr>
              <w:t>18,7 млн</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AD2C89C">
            <w:pPr>
              <w:spacing w:before="0" w:after="0" w:line="240" w:lineRule="auto"/>
            </w:pPr>
            <w:r>
              <w:rPr>
                <w:rFonts w:ascii="Times New Roman" w:hAnsi="Times New Roman" w:eastAsia="Times New Roman" w:cs="Times New Roman"/>
                <w:color w:val="000000"/>
                <w:sz w:val="28"/>
                <w:szCs w:val="24"/>
              </w:rPr>
              <w:t>26,3 млн</w:t>
            </w:r>
          </w:p>
        </w:tc>
      </w:tr>
      <w:tr w14:paraId="0777C083">
        <w:tc>
          <w:tcPr>
            <w:tcW w:w="27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D06CD84">
            <w:pPr>
              <w:spacing w:before="0" w:after="0" w:line="240" w:lineRule="auto"/>
            </w:pPr>
            <w:r>
              <w:rPr>
                <w:rFonts w:ascii="Times New Roman" w:hAnsi="Times New Roman" w:eastAsia="Times New Roman" w:cs="Times New Roman"/>
                <w:color w:val="000000"/>
                <w:sz w:val="28"/>
                <w:szCs w:val="24"/>
              </w:rPr>
              <w:t>Темп привлечения</w:t>
            </w:r>
          </w:p>
        </w:tc>
        <w:tc>
          <w:tcPr>
            <w:tcW w:w="213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90748F4">
            <w:pPr>
              <w:spacing w:before="0" w:after="0" w:line="240" w:lineRule="auto"/>
            </w:pPr>
            <w:r>
              <w:rPr>
                <w:rFonts w:ascii="Times New Roman" w:hAnsi="Times New Roman" w:eastAsia="Times New Roman" w:cs="Times New Roman"/>
                <w:color w:val="000000"/>
                <w:sz w:val="28"/>
                <w:szCs w:val="24"/>
              </w:rPr>
              <w:t>9,8 млн</w:t>
            </w:r>
          </w:p>
        </w:tc>
        <w:tc>
          <w:tcPr>
            <w:tcW w:w="213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7865FD3">
            <w:pPr>
              <w:spacing w:before="0" w:after="0" w:line="240" w:lineRule="auto"/>
            </w:pPr>
            <w:r>
              <w:rPr>
                <w:rFonts w:ascii="Times New Roman" w:hAnsi="Times New Roman" w:eastAsia="Times New Roman" w:cs="Times New Roman"/>
                <w:color w:val="000000"/>
                <w:sz w:val="28"/>
                <w:szCs w:val="24"/>
              </w:rPr>
              <w:t>18,7 млн</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91721C7">
            <w:pPr>
              <w:spacing w:before="0" w:after="0" w:line="240" w:lineRule="auto"/>
            </w:pPr>
            <w:r>
              <w:rPr>
                <w:rFonts w:ascii="Times New Roman" w:hAnsi="Times New Roman" w:eastAsia="Times New Roman" w:cs="Times New Roman"/>
                <w:color w:val="000000"/>
                <w:sz w:val="28"/>
                <w:szCs w:val="24"/>
              </w:rPr>
              <w:t>28,1 млн</w:t>
            </w:r>
          </w:p>
        </w:tc>
      </w:tr>
      <w:tr w14:paraId="01B6E3AA">
        <w:tc>
          <w:tcPr>
            <w:tcW w:w="27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82126C0">
            <w:pPr>
              <w:spacing w:before="0" w:after="0" w:line="240" w:lineRule="auto"/>
            </w:pPr>
            <w:r>
              <w:rPr>
                <w:rFonts w:ascii="Times New Roman" w:hAnsi="Times New Roman" w:eastAsia="Times New Roman" w:cs="Times New Roman"/>
                <w:color w:val="000000"/>
                <w:sz w:val="28"/>
                <w:szCs w:val="24"/>
              </w:rPr>
              <w:t>Monthly Churn</w:t>
            </w:r>
          </w:p>
        </w:tc>
        <w:tc>
          <w:tcPr>
            <w:tcW w:w="213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AD86054">
            <w:pPr>
              <w:spacing w:before="0" w:after="0" w:line="240" w:lineRule="auto"/>
            </w:pPr>
            <w:r>
              <w:rPr>
                <w:rFonts w:ascii="Times New Roman" w:hAnsi="Times New Roman" w:eastAsia="Times New Roman" w:cs="Times New Roman"/>
                <w:color w:val="000000"/>
                <w:sz w:val="28"/>
                <w:szCs w:val="24"/>
              </w:rPr>
              <w:t>22,4 млн</w:t>
            </w:r>
          </w:p>
        </w:tc>
        <w:tc>
          <w:tcPr>
            <w:tcW w:w="213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9F4426A">
            <w:pPr>
              <w:spacing w:before="0" w:after="0" w:line="240" w:lineRule="auto"/>
            </w:pPr>
            <w:r>
              <w:rPr>
                <w:rFonts w:ascii="Times New Roman" w:hAnsi="Times New Roman" w:eastAsia="Times New Roman" w:cs="Times New Roman"/>
                <w:color w:val="000000"/>
                <w:sz w:val="28"/>
                <w:szCs w:val="24"/>
              </w:rPr>
              <w:t>18,7 млн</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AA4DCC9">
            <w:pPr>
              <w:spacing w:before="0" w:after="0" w:line="240" w:lineRule="auto"/>
            </w:pPr>
            <w:r>
              <w:rPr>
                <w:rFonts w:ascii="Times New Roman" w:hAnsi="Times New Roman" w:eastAsia="Times New Roman" w:cs="Times New Roman"/>
                <w:color w:val="000000"/>
                <w:sz w:val="28"/>
                <w:szCs w:val="24"/>
              </w:rPr>
              <w:t>14,9 млн</w:t>
            </w:r>
          </w:p>
        </w:tc>
      </w:tr>
      <w:tr w14:paraId="655432C1">
        <w:tc>
          <w:tcPr>
            <w:tcW w:w="27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0489FA9">
            <w:pPr>
              <w:spacing w:before="0" w:after="0" w:line="240" w:lineRule="auto"/>
            </w:pPr>
            <w:r>
              <w:rPr>
                <w:rFonts w:ascii="Times New Roman" w:hAnsi="Times New Roman" w:eastAsia="Times New Roman" w:cs="Times New Roman"/>
                <w:color w:val="000000"/>
                <w:sz w:val="28"/>
                <w:szCs w:val="24"/>
              </w:rPr>
              <w:t>ФОТ команды</w:t>
            </w:r>
          </w:p>
        </w:tc>
        <w:tc>
          <w:tcPr>
            <w:tcW w:w="213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D220B5C">
            <w:pPr>
              <w:spacing w:before="0" w:after="0" w:line="240" w:lineRule="auto"/>
            </w:pPr>
            <w:r>
              <w:rPr>
                <w:rFonts w:ascii="Times New Roman" w:hAnsi="Times New Roman" w:eastAsia="Times New Roman" w:cs="Times New Roman"/>
                <w:color w:val="000000"/>
                <w:sz w:val="28"/>
                <w:szCs w:val="24"/>
              </w:rPr>
              <w:t>22,1 млн</w:t>
            </w:r>
          </w:p>
        </w:tc>
        <w:tc>
          <w:tcPr>
            <w:tcW w:w="213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E1AA7A7">
            <w:pPr>
              <w:spacing w:before="0" w:after="0" w:line="240" w:lineRule="auto"/>
            </w:pPr>
            <w:r>
              <w:rPr>
                <w:rFonts w:ascii="Times New Roman" w:hAnsi="Times New Roman" w:eastAsia="Times New Roman" w:cs="Times New Roman"/>
                <w:color w:val="000000"/>
                <w:sz w:val="28"/>
                <w:szCs w:val="24"/>
              </w:rPr>
              <w:t>18,7 млн</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F9EACB3">
            <w:pPr>
              <w:spacing w:before="0" w:after="0" w:line="240" w:lineRule="auto"/>
            </w:pPr>
            <w:r>
              <w:rPr>
                <w:rFonts w:ascii="Times New Roman" w:hAnsi="Times New Roman" w:eastAsia="Times New Roman" w:cs="Times New Roman"/>
                <w:color w:val="000000"/>
                <w:sz w:val="28"/>
                <w:szCs w:val="24"/>
              </w:rPr>
              <w:t>15,3 млн</w:t>
            </w:r>
          </w:p>
        </w:tc>
      </w:tr>
      <w:tr w14:paraId="73E7522D">
        <w:tc>
          <w:tcPr>
            <w:tcW w:w="27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A2C0D3F">
            <w:pPr>
              <w:spacing w:before="0" w:after="0" w:line="240" w:lineRule="auto"/>
            </w:pPr>
            <w:r>
              <w:rPr>
                <w:rFonts w:ascii="Times New Roman" w:hAnsi="Times New Roman" w:eastAsia="Times New Roman" w:cs="Times New Roman"/>
                <w:color w:val="000000"/>
                <w:sz w:val="28"/>
                <w:szCs w:val="24"/>
              </w:rPr>
              <w:t>CAC</w:t>
            </w:r>
          </w:p>
        </w:tc>
        <w:tc>
          <w:tcPr>
            <w:tcW w:w="213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70522BF">
            <w:pPr>
              <w:spacing w:before="0" w:after="0" w:line="240" w:lineRule="auto"/>
            </w:pPr>
            <w:r>
              <w:rPr>
                <w:rFonts w:ascii="Times New Roman" w:hAnsi="Times New Roman" w:eastAsia="Times New Roman" w:cs="Times New Roman"/>
                <w:color w:val="000000"/>
                <w:sz w:val="28"/>
                <w:szCs w:val="24"/>
              </w:rPr>
              <w:t>19,8 млн</w:t>
            </w:r>
          </w:p>
        </w:tc>
        <w:tc>
          <w:tcPr>
            <w:tcW w:w="213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B12D2B3">
            <w:pPr>
              <w:spacing w:before="0" w:after="0" w:line="240" w:lineRule="auto"/>
            </w:pPr>
            <w:r>
              <w:rPr>
                <w:rFonts w:ascii="Times New Roman" w:hAnsi="Times New Roman" w:eastAsia="Times New Roman" w:cs="Times New Roman"/>
                <w:color w:val="000000"/>
                <w:sz w:val="28"/>
                <w:szCs w:val="24"/>
              </w:rPr>
              <w:t>18,7 млн</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C2A0AA5">
            <w:pPr>
              <w:spacing w:before="0" w:after="0" w:line="240" w:lineRule="auto"/>
            </w:pPr>
            <w:r>
              <w:rPr>
                <w:rFonts w:ascii="Times New Roman" w:hAnsi="Times New Roman" w:eastAsia="Times New Roman" w:cs="Times New Roman"/>
                <w:color w:val="000000"/>
                <w:sz w:val="28"/>
                <w:szCs w:val="24"/>
              </w:rPr>
              <w:t>17,6 млн</w:t>
            </w:r>
          </w:p>
        </w:tc>
      </w:tr>
    </w:tbl>
    <w:p w14:paraId="0C487A78">
      <w:pPr>
        <w:spacing w:before="0" w:after="0" w:line="360" w:lineRule="auto"/>
      </w:pPr>
    </w:p>
    <w:p w14:paraId="538EF348">
      <w:pPr>
        <w:spacing w:before="0" w:after="0" w:line="360" w:lineRule="auto"/>
        <w:ind w:firstLine="708"/>
        <w:jc w:val="both"/>
      </w:pPr>
      <w:r>
        <w:rPr>
          <w:rFonts w:ascii="Times New Roman" w:hAnsi="Times New Roman" w:eastAsia="Times New Roman" w:cs="Times New Roman"/>
          <w:color w:val="000000"/>
          <w:sz w:val="28"/>
          <w:szCs w:val="28"/>
        </w:rPr>
        <w:t>Анализ чувствительности демонстрирует, что наибольшее влияние на NPV оказывают показатели ARPU и темп привлечения клиентов — изменение каждого на 20% приводит к отклонению NPV на 40–50%. Churn и ФОТ оказывают умеренное влияние (20–25%), а CAC — наименьшее (6%), что объясняется небольшой абсолютной величиной затрат на привлечение в B2B-сегменте. Данные результаты указывают на приоритетность усилий по удержанию высокого ARPU и обеспечению темпа привлечения [31, 32].</w:t>
      </w:r>
    </w:p>
    <w:p w14:paraId="2E17F902">
      <w:pPr>
        <w:spacing w:before="0" w:after="0" w:line="360" w:lineRule="auto"/>
        <w:ind w:firstLine="708"/>
        <w:jc w:val="both"/>
      </w:pPr>
      <w:r>
        <w:rPr>
          <w:rFonts w:ascii="Times New Roman" w:hAnsi="Times New Roman" w:eastAsia="Times New Roman" w:cs="Times New Roman"/>
          <w:color w:val="000000"/>
          <w:sz w:val="28"/>
          <w:szCs w:val="28"/>
        </w:rPr>
        <w:t>Главный вывод анализа чувствительности: NPV остаётся положительным даже при одновременном ухудшении двух наиболее чувствительных параметров на 20% (NPV = 4,1 млн руб.). Это подтверждает устойчивость проекта к неблагоприятным рыночным условиям и его инвестиционную привлекательность [31].</w:t>
      </w:r>
    </w:p>
    <w:p w14:paraId="68B8921F">
      <w:pPr>
        <w:spacing w:before="0" w:after="0" w:line="360" w:lineRule="auto"/>
        <w:ind w:firstLine="708"/>
        <w:jc w:val="both"/>
      </w:pPr>
      <w:r>
        <w:rPr>
          <w:rFonts w:ascii="Times New Roman" w:hAnsi="Times New Roman" w:eastAsia="Times New Roman" w:cs="Times New Roman"/>
          <w:color w:val="000000"/>
          <w:sz w:val="28"/>
          <w:szCs w:val="28"/>
        </w:rPr>
        <w:t>Я отдельно оценил экономический эффект для конечных потребителей. Внедрение ПО «Эксперимент 619» сокращает время создания видеомэппинга с нескольких дней до 23 минут и снижает себестоимость в 4,3 раза. Для типичного ивент-агентства с тремя проектами в месяц экономия составляет около 450 тыс. руб. в месяц при стоимости подписки 15 000 руб./мес. Соотношение экономии к стоимости подписки — 30:1. Это убедительное ценностное предложение [4, 5].</w:t>
      </w:r>
    </w:p>
    <w:p w14:paraId="0BCAABA5">
      <w:pPr>
        <w:pStyle w:val="3"/>
        <w:spacing w:before="0" w:after="0" w:line="360" w:lineRule="auto"/>
        <w:ind w:firstLine="708"/>
        <w:jc w:val="both"/>
      </w:pPr>
      <w:bookmarkStart w:id="15" w:name="_Toc124441982"/>
      <w:r>
        <w:rPr>
          <w:rFonts w:ascii="Times New Roman" w:hAnsi="Times New Roman" w:eastAsia="Times New Roman" w:cs="Times New Roman"/>
          <w:b/>
          <w:color w:val="000000"/>
          <w:sz w:val="28"/>
          <w:szCs w:val="28"/>
        </w:rPr>
        <w:t>3.2 Стратегия выхода на рынок и масштабирования</w:t>
      </w:r>
      <w:bookmarkEnd w:id="15"/>
    </w:p>
    <w:p w14:paraId="7927A07F">
      <w:pPr>
        <w:spacing w:before="0" w:after="0" w:line="360" w:lineRule="auto"/>
        <w:ind w:firstLine="708"/>
        <w:jc w:val="both"/>
      </w:pPr>
      <w:r>
        <w:rPr>
          <w:rFonts w:ascii="Times New Roman" w:hAnsi="Times New Roman" w:eastAsia="Times New Roman" w:cs="Times New Roman"/>
          <w:color w:val="000000"/>
          <w:sz w:val="28"/>
          <w:szCs w:val="28"/>
        </w:rPr>
        <w:t>Стратегию выхода на рынок (Go-to-Market) для проекта «Эксперимент 619» я построил с учётом специфики B2B-продаж в сегменте event-tech и креативных технологий. Стратегия включает три последовательных этапа: пилотный запуск, органический рост и масштабирование. У каждого этапа свои цели, каналы привлечения и метрики успеха [23, 32].</w:t>
      </w:r>
    </w:p>
    <w:p w14:paraId="52686CFD">
      <w:pPr>
        <w:spacing w:before="0" w:after="0" w:line="360" w:lineRule="auto"/>
        <w:ind w:firstLine="708"/>
        <w:jc w:val="both"/>
      </w:pPr>
      <w:r>
        <w:rPr>
          <w:rFonts w:ascii="Times New Roman" w:hAnsi="Times New Roman" w:eastAsia="Times New Roman" w:cs="Times New Roman"/>
          <w:color w:val="000000"/>
          <w:sz w:val="28"/>
          <w:szCs w:val="28"/>
        </w:rPr>
        <w:t>Чтобы показать продуктовое позиционирование «Эксперимента 619» рядом с конкурентами, я построил конкурентную карту в двух координатах: по горизонтальной оси — цена годовой лицензии (тыс. руб.), по вертикальной — уровень автоматизации цикла (этап карты глубины и анимации). Карта приведена на рисунке 3.2; в её основе — сравнительный анализ таблицы 1.1 и материалы экспертных интервью с участниками рынка [4, 8, 9, 10].</w:t>
      </w:r>
    </w:p>
    <w:p w14:paraId="31C1C86D">
      <w:pPr>
        <w:spacing w:before="0" w:after="0" w:line="360" w:lineRule="auto"/>
        <w:jc w:val="center"/>
      </w:pPr>
      <w:r>
        <w:rPr>
          <w:rFonts w:ascii="Times New Roman" w:hAnsi="Times New Roman" w:eastAsia="Times New Roman" w:cs="Times New Roman"/>
          <w:color w:val="000000"/>
          <w:sz w:val="28"/>
        </w:rPr>
        <w:drawing>
          <wp:inline distT="0" distB="0" distL="114300" distR="114300">
            <wp:extent cx="5039995" cy="4472305"/>
            <wp:effectExtent l="0" t="0" r="14605" b="23495"/>
            <wp:docPr id="236853975" name="Picture 236853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53975" name="Picture 236853975"/>
                    <pic:cNvPicPr>
                      <a:picLocks noChangeAspect="1"/>
                    </pic:cNvPicPr>
                  </pic:nvPicPr>
                  <pic:blipFill>
                    <a:blip r:embed="rId11"/>
                    <a:stretch>
                      <a:fillRect/>
                    </a:stretch>
                  </pic:blipFill>
                  <pic:spPr>
                    <a:xfrm>
                      <a:off x="0" y="0"/>
                      <a:ext cx="5040000" cy="4472893"/>
                    </a:xfrm>
                    <a:prstGeom prst="rect">
                      <a:avLst/>
                    </a:prstGeom>
                  </pic:spPr>
                </pic:pic>
              </a:graphicData>
            </a:graphic>
          </wp:inline>
        </w:drawing>
      </w:r>
    </w:p>
    <w:p w14:paraId="145701F5">
      <w:pPr>
        <w:spacing w:before="0" w:after="0" w:line="360" w:lineRule="auto"/>
        <w:jc w:val="center"/>
      </w:pPr>
      <w:r>
        <w:rPr>
          <w:rFonts w:ascii="Times New Roman" w:hAnsi="Times New Roman" w:eastAsia="Times New Roman" w:cs="Times New Roman"/>
          <w:color w:val="000000"/>
          <w:sz w:val="28"/>
          <w:szCs w:val="28"/>
        </w:rPr>
        <w:t>Рисунок 3.1 — Конкурентная карта рынка ПО для видеомэппинга</w:t>
      </w:r>
    </w:p>
    <w:p w14:paraId="789FBB08">
      <w:pPr>
        <w:spacing w:before="0" w:after="0" w:line="360" w:lineRule="auto"/>
        <w:ind w:firstLine="708"/>
        <w:jc w:val="both"/>
      </w:pPr>
      <w:r>
        <w:rPr>
          <w:rFonts w:ascii="Times New Roman" w:hAnsi="Times New Roman" w:eastAsia="Times New Roman" w:cs="Times New Roman"/>
          <w:color w:val="000000"/>
          <w:sz w:val="28"/>
          <w:szCs w:val="28"/>
        </w:rPr>
        <w:t>Resolume Arena и MadMapper занимают правую верхнюю часть карты: высокая цена годовой лицензии (около 600 000 и 450 000 руб. соответственно по официальным каналам) и средний уровень автоматизации. Оба продукта вытягивают сложные сценарии многопроекторной сшивки, но 3D-модель не строят и анимационные эффекты автоматически не готовят. TouchDesigner — это среда визуального программирования; в ней любой пайплайн собирается вручную, поэтому продукт оказался в зоне максимальной гибкости и минимальной автоматизации. Blender — инструмент 3D-моделирования общего назначения; для задачи проекционного мэппинга он попадает в зону низкой цены и нулевой автоматизации. HeavyM — массовое решение с упрощённым интерфейсом и без ИИ-функциональности. «Эксперимент 619» располагается в верхнем левом квадранте: совокупная цена ниже (от 55 619 руб./мес. на базовом тарифе), а этапы карты глубины и генерации контента максимально автоматизированы. Такое позиционирование закрывает пробел рынка и дополнительно опирается на санкционные ограничения Resolume и MadMapper как барьер для возврата зарубежных конкурентов в РФ.</w:t>
      </w:r>
    </w:p>
    <w:p w14:paraId="004513E3">
      <w:pPr>
        <w:spacing w:before="0" w:after="0" w:line="360" w:lineRule="auto"/>
        <w:jc w:val="left"/>
        <w:rPr>
          <w:i w:val="0"/>
          <w:iCs w:val="0"/>
        </w:rPr>
      </w:pPr>
      <w:r>
        <w:rPr>
          <w:rFonts w:ascii="Times New Roman" w:hAnsi="Times New Roman" w:eastAsia="Times New Roman" w:cs="Times New Roman"/>
          <w:i w:val="0"/>
          <w:iCs w:val="0"/>
          <w:color w:val="000000"/>
          <w:sz w:val="28"/>
          <w:szCs w:val="28"/>
        </w:rPr>
        <w:t>Таблица 3.3 — Стратегия выхода на рынок: этапы и ключевые метрики</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2613"/>
        <w:gridCol w:w="2613"/>
      </w:tblGrid>
      <w:tr w14:paraId="7627F1D5">
        <w:tc>
          <w:tcPr>
            <w:tcW w:w="18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7518A6BB">
            <w:pPr>
              <w:spacing w:before="0" w:after="0" w:line="240" w:lineRule="auto"/>
              <w:jc w:val="center"/>
            </w:pPr>
            <w:r>
              <w:rPr>
                <w:rFonts w:ascii="Times New Roman" w:hAnsi="Times New Roman" w:eastAsia="Times New Roman" w:cs="Times New Roman"/>
                <w:bCs/>
                <w:color w:val="000000"/>
                <w:sz w:val="28"/>
                <w:szCs w:val="24"/>
              </w:rPr>
              <w:t>Этап</w:t>
            </w:r>
          </w:p>
        </w:tc>
        <w:tc>
          <w:tcPr>
            <w:tcW w:w="20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4DC147C6">
            <w:pPr>
              <w:spacing w:before="0" w:after="0" w:line="240" w:lineRule="auto"/>
              <w:jc w:val="center"/>
            </w:pPr>
            <w:r>
              <w:rPr>
                <w:rFonts w:ascii="Times New Roman" w:hAnsi="Times New Roman" w:eastAsia="Times New Roman" w:cs="Times New Roman"/>
                <w:bCs/>
                <w:color w:val="000000"/>
                <w:sz w:val="28"/>
                <w:szCs w:val="24"/>
              </w:rPr>
              <w:t>Период</w:t>
            </w:r>
          </w:p>
        </w:tc>
        <w:tc>
          <w:tcPr>
            <w:tcW w:w="2613"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0AEB581E">
            <w:pPr>
              <w:spacing w:before="0" w:after="0" w:line="240" w:lineRule="auto"/>
              <w:jc w:val="center"/>
            </w:pPr>
            <w:r>
              <w:rPr>
                <w:rFonts w:ascii="Times New Roman" w:hAnsi="Times New Roman" w:eastAsia="Times New Roman" w:cs="Times New Roman"/>
                <w:bCs/>
                <w:color w:val="000000"/>
                <w:sz w:val="28"/>
                <w:szCs w:val="24"/>
              </w:rPr>
              <w:t>Цель</w:t>
            </w:r>
          </w:p>
        </w:tc>
        <w:tc>
          <w:tcPr>
            <w:tcW w:w="2613"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01A01A92">
            <w:pPr>
              <w:spacing w:before="0" w:after="0" w:line="240" w:lineRule="auto"/>
              <w:jc w:val="center"/>
            </w:pPr>
            <w:r>
              <w:rPr>
                <w:rFonts w:ascii="Times New Roman" w:hAnsi="Times New Roman" w:eastAsia="Times New Roman" w:cs="Times New Roman"/>
                <w:bCs/>
                <w:color w:val="000000"/>
                <w:sz w:val="28"/>
                <w:szCs w:val="24"/>
              </w:rPr>
              <w:t>Ключевая метрика</w:t>
            </w:r>
          </w:p>
        </w:tc>
      </w:tr>
      <w:tr w14:paraId="72D9744B">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5756B51">
            <w:pPr>
              <w:spacing w:before="0" w:after="0" w:line="240" w:lineRule="auto"/>
            </w:pPr>
            <w:r>
              <w:rPr>
                <w:rFonts w:ascii="Times New Roman" w:hAnsi="Times New Roman" w:eastAsia="Times New Roman" w:cs="Times New Roman"/>
                <w:color w:val="000000"/>
                <w:sz w:val="28"/>
                <w:szCs w:val="24"/>
              </w:rPr>
              <w:t>1. Пилот</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4A3003B">
            <w:pPr>
              <w:spacing w:before="0" w:after="0" w:line="240" w:lineRule="auto"/>
            </w:pPr>
            <w:r>
              <w:rPr>
                <w:rFonts w:ascii="Times New Roman" w:hAnsi="Times New Roman" w:eastAsia="Times New Roman" w:cs="Times New Roman"/>
                <w:color w:val="000000"/>
                <w:sz w:val="28"/>
                <w:szCs w:val="24"/>
              </w:rPr>
              <w:t>Мес. 1–6</w:t>
            </w:r>
          </w:p>
        </w:tc>
        <w:tc>
          <w:tcPr>
            <w:tcW w:w="26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C4CB05F">
            <w:pPr>
              <w:spacing w:before="0" w:after="0" w:line="240" w:lineRule="auto"/>
            </w:pPr>
            <w:r>
              <w:rPr>
                <w:rFonts w:ascii="Times New Roman" w:hAnsi="Times New Roman" w:eastAsia="Times New Roman" w:cs="Times New Roman"/>
                <w:color w:val="000000"/>
                <w:sz w:val="28"/>
                <w:szCs w:val="24"/>
              </w:rPr>
              <w:t>5–10 пилотных клиентов, PMF-валидация</w:t>
            </w:r>
          </w:p>
        </w:tc>
        <w:tc>
          <w:tcPr>
            <w:tcW w:w="26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5171DA7">
            <w:pPr>
              <w:spacing w:before="0" w:after="0" w:line="240" w:lineRule="auto"/>
            </w:pPr>
            <w:r>
              <w:rPr>
                <w:rFonts w:ascii="Times New Roman" w:hAnsi="Times New Roman" w:eastAsia="Times New Roman" w:cs="Times New Roman"/>
                <w:color w:val="000000"/>
                <w:sz w:val="28"/>
                <w:szCs w:val="24"/>
              </w:rPr>
              <w:t>NPS ≥ 40, Retention ≥ 70%</w:t>
            </w:r>
          </w:p>
        </w:tc>
      </w:tr>
      <w:tr w14:paraId="52985D4A">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B4F5F47">
            <w:pPr>
              <w:spacing w:before="0" w:after="0" w:line="240" w:lineRule="auto"/>
            </w:pPr>
            <w:r>
              <w:rPr>
                <w:rFonts w:ascii="Times New Roman" w:hAnsi="Times New Roman" w:eastAsia="Times New Roman" w:cs="Times New Roman"/>
                <w:color w:val="000000"/>
                <w:sz w:val="28"/>
                <w:szCs w:val="24"/>
              </w:rPr>
              <w:t>2. Рост</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F06EE59">
            <w:pPr>
              <w:spacing w:before="0" w:after="0" w:line="240" w:lineRule="auto"/>
            </w:pPr>
            <w:r>
              <w:rPr>
                <w:rFonts w:ascii="Times New Roman" w:hAnsi="Times New Roman" w:eastAsia="Times New Roman" w:cs="Times New Roman"/>
                <w:color w:val="000000"/>
                <w:sz w:val="28"/>
                <w:szCs w:val="24"/>
              </w:rPr>
              <w:t>Мес. 7–18</w:t>
            </w:r>
          </w:p>
        </w:tc>
        <w:tc>
          <w:tcPr>
            <w:tcW w:w="26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7F2B814">
            <w:pPr>
              <w:spacing w:before="0" w:after="0" w:line="240" w:lineRule="auto"/>
            </w:pPr>
            <w:r>
              <w:rPr>
                <w:rFonts w:ascii="Times New Roman" w:hAnsi="Times New Roman" w:eastAsia="Times New Roman" w:cs="Times New Roman"/>
                <w:color w:val="000000"/>
                <w:sz w:val="28"/>
                <w:szCs w:val="24"/>
              </w:rPr>
              <w:t>210 подписчиков (BEP), выход на прибыль</w:t>
            </w:r>
          </w:p>
        </w:tc>
        <w:tc>
          <w:tcPr>
            <w:tcW w:w="26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58CB8C0">
            <w:pPr>
              <w:spacing w:before="0" w:after="0" w:line="240" w:lineRule="auto"/>
            </w:pPr>
            <w:r>
              <w:rPr>
                <w:rFonts w:ascii="Times New Roman" w:hAnsi="Times New Roman" w:eastAsia="Times New Roman" w:cs="Times New Roman"/>
                <w:color w:val="000000"/>
                <w:sz w:val="28"/>
                <w:szCs w:val="24"/>
              </w:rPr>
              <w:t>MRR ≥ 2,5 млн руб.</w:t>
            </w:r>
          </w:p>
        </w:tc>
      </w:tr>
      <w:tr w14:paraId="27C1D3A4">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A3FBAEC">
            <w:pPr>
              <w:spacing w:before="0" w:after="0" w:line="240" w:lineRule="auto"/>
            </w:pPr>
            <w:r>
              <w:rPr>
                <w:rFonts w:ascii="Times New Roman" w:hAnsi="Times New Roman" w:eastAsia="Times New Roman" w:cs="Times New Roman"/>
                <w:color w:val="000000"/>
                <w:sz w:val="28"/>
                <w:szCs w:val="24"/>
              </w:rPr>
              <w:t>3. Масштаб</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9F2BDCF">
            <w:pPr>
              <w:spacing w:before="0" w:after="0" w:line="240" w:lineRule="auto"/>
            </w:pPr>
            <w:r>
              <w:rPr>
                <w:rFonts w:ascii="Times New Roman" w:hAnsi="Times New Roman" w:eastAsia="Times New Roman" w:cs="Times New Roman"/>
                <w:color w:val="000000"/>
                <w:sz w:val="28"/>
                <w:szCs w:val="24"/>
              </w:rPr>
              <w:t>Мес. 19–36</w:t>
            </w:r>
          </w:p>
        </w:tc>
        <w:tc>
          <w:tcPr>
            <w:tcW w:w="26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0689261">
            <w:pPr>
              <w:spacing w:before="0" w:after="0" w:line="240" w:lineRule="auto"/>
            </w:pPr>
            <w:r>
              <w:rPr>
                <w:rFonts w:ascii="Times New Roman" w:hAnsi="Times New Roman" w:eastAsia="Times New Roman" w:cs="Times New Roman"/>
                <w:color w:val="000000"/>
                <w:sz w:val="28"/>
                <w:szCs w:val="24"/>
              </w:rPr>
              <w:t>500+ подписчиков, выход на рынки СНГ</w:t>
            </w:r>
          </w:p>
        </w:tc>
        <w:tc>
          <w:tcPr>
            <w:tcW w:w="2613"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6C46775">
            <w:pPr>
              <w:spacing w:before="0" w:after="0" w:line="240" w:lineRule="auto"/>
            </w:pPr>
            <w:r>
              <w:rPr>
                <w:rFonts w:ascii="Times New Roman" w:hAnsi="Times New Roman" w:eastAsia="Times New Roman" w:cs="Times New Roman"/>
                <w:color w:val="000000"/>
                <w:sz w:val="28"/>
                <w:szCs w:val="24"/>
              </w:rPr>
              <w:t>ARR ≥ 40 млн руб.</w:t>
            </w:r>
          </w:p>
        </w:tc>
      </w:tr>
    </w:tbl>
    <w:p w14:paraId="51E0EFC7">
      <w:pPr>
        <w:spacing w:before="0" w:after="0" w:line="360" w:lineRule="auto"/>
      </w:pPr>
    </w:p>
    <w:p w14:paraId="3D5B7DC9">
      <w:pPr>
        <w:spacing w:before="0" w:after="0" w:line="360" w:lineRule="auto"/>
        <w:ind w:firstLine="708"/>
        <w:jc w:val="both"/>
      </w:pPr>
      <w:r>
        <w:rPr>
          <w:rFonts w:ascii="Times New Roman" w:hAnsi="Times New Roman" w:eastAsia="Times New Roman" w:cs="Times New Roman"/>
          <w:color w:val="000000"/>
          <w:sz w:val="28"/>
          <w:szCs w:val="28"/>
        </w:rPr>
        <w:t>На этапе пилотного запуска (месяцы 1–6) главная задача — привлечь 5–10 пилотных клиентов и валидировать product-market fit (PMF). Основной канал привлечения — прямые B2B-продажи через личные контакты основателя и участие в отраслевых мероприятиях (ProMediaTech, «Связь», NAB). Пилотным клиентам мы даём бесплатный доступ к ПО на срок до 3 месяцев — в обмен на обратную связь и участие в интервью. Критерии успешной валидации PMF: NPS ≥ 40 и месячный Retention ≥ 70% [13, 32].</w:t>
      </w:r>
    </w:p>
    <w:p w14:paraId="79F54F59">
      <w:pPr>
        <w:spacing w:before="0" w:after="0" w:line="360" w:lineRule="auto"/>
        <w:ind w:firstLine="708"/>
        <w:jc w:val="both"/>
      </w:pPr>
      <w:r>
        <w:rPr>
          <w:rFonts w:ascii="Times New Roman" w:hAnsi="Times New Roman" w:eastAsia="Times New Roman" w:cs="Times New Roman"/>
          <w:color w:val="000000"/>
          <w:sz w:val="28"/>
          <w:szCs w:val="28"/>
        </w:rPr>
        <w:t>Важный элемент пилотного этапа — апробация решения в реальных условиях. Мы проведём не менее трёх демонстрационных проекций совместно с пилотными клиентами на реальных объектах. По каждой апробации фиксируем время подготовки, качество проекции, обратную связь заказчика и экономический эффект. Результаты используем для доработки продукта и формирования портфолио (case studies) для последующих продаж [5, 23].</w:t>
      </w:r>
    </w:p>
    <w:p w14:paraId="52F20689">
      <w:pPr>
        <w:spacing w:before="0" w:after="0" w:line="360" w:lineRule="auto"/>
        <w:ind w:firstLine="708"/>
        <w:jc w:val="both"/>
      </w:pPr>
      <w:r>
        <w:rPr>
          <w:rFonts w:ascii="Times New Roman" w:hAnsi="Times New Roman" w:eastAsia="Times New Roman" w:cs="Times New Roman"/>
          <w:color w:val="000000"/>
          <w:sz w:val="28"/>
          <w:szCs w:val="28"/>
        </w:rPr>
        <w:t>На этапе органического роста (месяцы 7–18) главная задача — привлечь 210 платных подписчиков, что даст точку безубыточности по EBITDA. Каналы привлечения диверсифицируются: контекстная реклама (Яндекс.Директ) — 30% лидов; контент-маркетинг (статьи, видео, кейсы) — 25%; участие в выставках и конференциях — 25%; партнёрские продажи через AV-интеграторов — 20%. CAC на данном этапе прогнозируется на уровне 15 000 руб. [23, 32].</w:t>
      </w:r>
    </w:p>
    <w:p w14:paraId="29F1A3B1">
      <w:pPr>
        <w:spacing w:before="0" w:after="0" w:line="360" w:lineRule="auto"/>
        <w:ind w:firstLine="708"/>
        <w:jc w:val="both"/>
      </w:pPr>
      <w:r>
        <w:rPr>
          <w:rFonts w:ascii="Times New Roman" w:hAnsi="Times New Roman" w:eastAsia="Times New Roman" w:cs="Times New Roman"/>
          <w:color w:val="000000"/>
          <w:sz w:val="28"/>
          <w:szCs w:val="28"/>
        </w:rPr>
        <w:t>Партнёрская программа подразумевает сотрудничество с интеграторами AV-оборудования: они рекомендуют ПО «Эксперимент 619» своим клиентам в дополнение к проекционному оборудованию. Партнёрское вознаграждение — 15% от стоимости подписки приведённого клиента в течение первых 12 месяцев. Мы уже договорились предварительно с тремя интеграторами в Санкт-Петербурге и Москве [4].</w:t>
      </w:r>
    </w:p>
    <w:p w14:paraId="362182AF">
      <w:pPr>
        <w:spacing w:before="0" w:after="0" w:line="360" w:lineRule="auto"/>
        <w:ind w:firstLine="708"/>
        <w:jc w:val="both"/>
      </w:pPr>
      <w:r>
        <w:rPr>
          <w:rFonts w:ascii="Times New Roman" w:hAnsi="Times New Roman" w:eastAsia="Times New Roman" w:cs="Times New Roman"/>
          <w:color w:val="000000"/>
          <w:sz w:val="28"/>
          <w:szCs w:val="28"/>
        </w:rPr>
        <w:t>Ценовая стратегия построена на модели value-based pricing: цена определяется не себестоимостью, а ценностью, которую продукт создаёт для клиента. Как я показал в разделе 3.1, типичное ивент-агентство экономит около 450 тыс. руб. в месяц благодаря использованию ПО. На этом фоне стоимость подписки 5 000–15 000 руб./мес. воспринимается как незначительная по сравнению с экономией [17, 32].</w:t>
      </w:r>
    </w:p>
    <w:p w14:paraId="3E9F550E">
      <w:pPr>
        <w:spacing w:before="0" w:after="0" w:line="360" w:lineRule="auto"/>
        <w:ind w:firstLine="708"/>
        <w:jc w:val="both"/>
      </w:pPr>
      <w:r>
        <w:rPr>
          <w:rFonts w:ascii="Times New Roman" w:hAnsi="Times New Roman" w:eastAsia="Times New Roman" w:cs="Times New Roman"/>
          <w:color w:val="000000"/>
          <w:sz w:val="28"/>
          <w:szCs w:val="28"/>
        </w:rPr>
        <w:t>Тарифная линейка включает три уровня: Starter (5 000 руб./мес., до 10 проектов, базовая библиотека эффектов, водяной знак на экспорте); Pro (15 000 руб./мес., неограниченные проекты, полная библиотека, без водяного знака, приоритетная поддержка); Enterprise (по запросу, кастомизация, выделенный менеджер, on-premise установка). Предполагается, что 40% подписчиков выберут тариф Starter, 50% — Pro, 10% — Enterprise [23].</w:t>
      </w:r>
    </w:p>
    <w:p w14:paraId="2E5EEAB9">
      <w:pPr>
        <w:spacing w:before="0" w:after="0" w:line="360" w:lineRule="auto"/>
        <w:ind w:firstLine="708"/>
        <w:jc w:val="both"/>
      </w:pPr>
      <w:r>
        <w:rPr>
          <w:rFonts w:ascii="Times New Roman" w:hAnsi="Times New Roman" w:eastAsia="Times New Roman" w:cs="Times New Roman"/>
          <w:color w:val="000000"/>
          <w:sz w:val="28"/>
          <w:szCs w:val="28"/>
        </w:rPr>
        <w:t>На этапе масштабирования (месяцы 19–36) основной задачей является выход на 500+ подписчиков и начало географической экспансии. Планируемые направления расширения: рынки стран СНГ (Казахстан, Узбекистан, Беларусь — крупные строительные и event-рынки); регион MENA (ОАЭ, Саудовская Аравия — развитый рынок иммерсивных технологий и крупных мероприятий). Масштабирование потребует локализации продукта (интерфейс на казахском/арабском/английском языках) и развёртывания региональной инфраструктуры [23, 30].</w:t>
      </w:r>
    </w:p>
    <w:p w14:paraId="6133C7F2">
      <w:pPr>
        <w:spacing w:before="0" w:after="0" w:line="360" w:lineRule="auto"/>
        <w:jc w:val="left"/>
        <w:rPr>
          <w:i w:val="0"/>
          <w:iCs w:val="0"/>
        </w:rPr>
      </w:pPr>
      <w:r>
        <w:rPr>
          <w:rFonts w:ascii="Times New Roman" w:hAnsi="Times New Roman" w:eastAsia="Times New Roman" w:cs="Times New Roman"/>
          <w:i w:val="0"/>
          <w:iCs w:val="0"/>
          <w:color w:val="000000"/>
          <w:sz w:val="28"/>
          <w:szCs w:val="28"/>
        </w:rPr>
        <w:t>Таблица 3.4 — Календарный график внедрения и коммерциализации</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35C01248">
        <w:tc>
          <w:tcPr>
            <w:tcW w:w="2256"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1A8A835B">
            <w:pPr>
              <w:spacing w:before="0" w:after="0" w:line="240" w:lineRule="auto"/>
              <w:jc w:val="center"/>
            </w:pPr>
            <w:r>
              <w:rPr>
                <w:rFonts w:ascii="Times New Roman" w:hAnsi="Times New Roman" w:eastAsia="Times New Roman" w:cs="Times New Roman"/>
                <w:bCs/>
                <w:color w:val="000000"/>
                <w:sz w:val="28"/>
                <w:szCs w:val="24"/>
              </w:rPr>
              <w:t>Этап / Активность</w:t>
            </w:r>
          </w:p>
        </w:tc>
        <w:tc>
          <w:tcPr>
            <w:tcW w:w="2256"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4EDE0356">
            <w:pPr>
              <w:spacing w:before="0" w:after="0" w:line="240" w:lineRule="auto"/>
              <w:jc w:val="center"/>
            </w:pPr>
            <w:r>
              <w:rPr>
                <w:rFonts w:ascii="Times New Roman" w:hAnsi="Times New Roman" w:eastAsia="Times New Roman" w:cs="Times New Roman"/>
                <w:bCs/>
                <w:color w:val="000000"/>
                <w:sz w:val="28"/>
                <w:szCs w:val="24"/>
              </w:rPr>
              <w:t>Сроки</w:t>
            </w:r>
          </w:p>
        </w:tc>
        <w:tc>
          <w:tcPr>
            <w:tcW w:w="2257"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3632ECCF">
            <w:pPr>
              <w:spacing w:before="0" w:after="0" w:line="240" w:lineRule="auto"/>
              <w:jc w:val="center"/>
            </w:pPr>
            <w:r>
              <w:rPr>
                <w:rFonts w:ascii="Times New Roman" w:hAnsi="Times New Roman" w:eastAsia="Times New Roman" w:cs="Times New Roman"/>
                <w:bCs/>
                <w:color w:val="000000"/>
                <w:sz w:val="28"/>
                <w:szCs w:val="24"/>
              </w:rPr>
              <w:t>Результат</w:t>
            </w:r>
          </w:p>
        </w:tc>
        <w:tc>
          <w:tcPr>
            <w:tcW w:w="2257"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5AB3909F">
            <w:pPr>
              <w:spacing w:before="0" w:after="0" w:line="240" w:lineRule="auto"/>
              <w:jc w:val="center"/>
            </w:pPr>
            <w:r>
              <w:rPr>
                <w:rFonts w:ascii="Times New Roman" w:hAnsi="Times New Roman" w:eastAsia="Times New Roman" w:cs="Times New Roman"/>
                <w:bCs/>
                <w:color w:val="000000"/>
                <w:sz w:val="28"/>
                <w:szCs w:val="24"/>
              </w:rPr>
              <w:t>Ответственный</w:t>
            </w:r>
          </w:p>
        </w:tc>
      </w:tr>
      <w:tr w14:paraId="2542F6C1">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48A2AED">
            <w:pPr>
              <w:spacing w:before="0" w:after="0" w:line="240" w:lineRule="auto"/>
            </w:pPr>
            <w:r>
              <w:rPr>
                <w:rFonts w:ascii="Times New Roman" w:hAnsi="Times New Roman" w:eastAsia="Times New Roman" w:cs="Times New Roman"/>
                <w:color w:val="000000"/>
                <w:sz w:val="28"/>
                <w:szCs w:val="24"/>
              </w:rPr>
              <w:t>Доработка MVP до бета</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39D869C">
            <w:pPr>
              <w:spacing w:before="0" w:after="0" w:line="240" w:lineRule="auto"/>
            </w:pPr>
            <w:r>
              <w:rPr>
                <w:rFonts w:ascii="Times New Roman" w:hAnsi="Times New Roman" w:eastAsia="Times New Roman" w:cs="Times New Roman"/>
                <w:color w:val="000000"/>
                <w:sz w:val="28"/>
                <w:szCs w:val="24"/>
              </w:rPr>
              <w:t>Мес. 1–3</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D41F793">
            <w:pPr>
              <w:spacing w:before="0" w:after="0" w:line="240" w:lineRule="auto"/>
            </w:pPr>
            <w:r>
              <w:rPr>
                <w:rFonts w:ascii="Times New Roman" w:hAnsi="Times New Roman" w:eastAsia="Times New Roman" w:cs="Times New Roman"/>
                <w:color w:val="000000"/>
                <w:sz w:val="28"/>
                <w:szCs w:val="24"/>
              </w:rPr>
              <w:t>Бета-версия продукта</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6C38144">
            <w:pPr>
              <w:spacing w:before="0" w:after="0" w:line="240" w:lineRule="auto"/>
            </w:pPr>
            <w:r>
              <w:rPr>
                <w:rFonts w:ascii="Times New Roman" w:hAnsi="Times New Roman" w:eastAsia="Times New Roman" w:cs="Times New Roman"/>
                <w:color w:val="000000"/>
                <w:sz w:val="28"/>
                <w:szCs w:val="24"/>
              </w:rPr>
              <w:t>CTO</w:t>
            </w:r>
          </w:p>
        </w:tc>
      </w:tr>
      <w:tr w14:paraId="12E772B3">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50116EB">
            <w:pPr>
              <w:spacing w:before="0" w:after="0" w:line="240" w:lineRule="auto"/>
            </w:pPr>
            <w:r>
              <w:rPr>
                <w:rFonts w:ascii="Times New Roman" w:hAnsi="Times New Roman" w:eastAsia="Times New Roman" w:cs="Times New Roman"/>
                <w:color w:val="000000"/>
                <w:sz w:val="28"/>
                <w:szCs w:val="24"/>
              </w:rPr>
              <w:t>Пилотное тестирование</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5D8EFD0">
            <w:pPr>
              <w:spacing w:before="0" w:after="0" w:line="240" w:lineRule="auto"/>
            </w:pPr>
            <w:r>
              <w:rPr>
                <w:rFonts w:ascii="Times New Roman" w:hAnsi="Times New Roman" w:eastAsia="Times New Roman" w:cs="Times New Roman"/>
                <w:color w:val="000000"/>
                <w:sz w:val="28"/>
                <w:szCs w:val="24"/>
              </w:rPr>
              <w:t>Мес. 3–6</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E74F27A">
            <w:pPr>
              <w:spacing w:before="0" w:after="0" w:line="240" w:lineRule="auto"/>
            </w:pPr>
            <w:r>
              <w:rPr>
                <w:rFonts w:ascii="Times New Roman" w:hAnsi="Times New Roman" w:eastAsia="Times New Roman" w:cs="Times New Roman"/>
                <w:color w:val="000000"/>
                <w:sz w:val="28"/>
                <w:szCs w:val="24"/>
              </w:rPr>
              <w:t>5–10 пилотных клиентов</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7870C15">
            <w:pPr>
              <w:spacing w:before="0" w:after="0" w:line="240" w:lineRule="auto"/>
            </w:pPr>
            <w:r>
              <w:rPr>
                <w:rFonts w:ascii="Times New Roman" w:hAnsi="Times New Roman" w:eastAsia="Times New Roman" w:cs="Times New Roman"/>
                <w:color w:val="000000"/>
                <w:sz w:val="28"/>
                <w:szCs w:val="24"/>
              </w:rPr>
              <w:t>CEO, CTO</w:t>
            </w:r>
          </w:p>
        </w:tc>
      </w:tr>
      <w:tr w14:paraId="1ABD9F77">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427F440">
            <w:pPr>
              <w:spacing w:before="0" w:after="0" w:line="240" w:lineRule="auto"/>
            </w:pPr>
            <w:r>
              <w:rPr>
                <w:rFonts w:ascii="Times New Roman" w:hAnsi="Times New Roman" w:eastAsia="Times New Roman" w:cs="Times New Roman"/>
                <w:color w:val="000000"/>
                <w:sz w:val="28"/>
                <w:szCs w:val="24"/>
              </w:rPr>
              <w:t>Запуск продаж</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BD21012">
            <w:pPr>
              <w:spacing w:before="0" w:after="0" w:line="240" w:lineRule="auto"/>
            </w:pPr>
            <w:r>
              <w:rPr>
                <w:rFonts w:ascii="Times New Roman" w:hAnsi="Times New Roman" w:eastAsia="Times New Roman" w:cs="Times New Roman"/>
                <w:color w:val="000000"/>
                <w:sz w:val="28"/>
                <w:szCs w:val="24"/>
              </w:rPr>
              <w:t>Мес. 6–7</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4BF4DB1">
            <w:pPr>
              <w:spacing w:before="0" w:after="0" w:line="240" w:lineRule="auto"/>
            </w:pPr>
            <w:r>
              <w:rPr>
                <w:rFonts w:ascii="Times New Roman" w:hAnsi="Times New Roman" w:eastAsia="Times New Roman" w:cs="Times New Roman"/>
                <w:color w:val="000000"/>
                <w:sz w:val="28"/>
                <w:szCs w:val="24"/>
              </w:rPr>
              <w:t>Первые платные подписки</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A146043">
            <w:pPr>
              <w:spacing w:before="0" w:after="0" w:line="240" w:lineRule="auto"/>
            </w:pPr>
            <w:r>
              <w:rPr>
                <w:rFonts w:ascii="Times New Roman" w:hAnsi="Times New Roman" w:eastAsia="Times New Roman" w:cs="Times New Roman"/>
                <w:color w:val="000000"/>
                <w:sz w:val="28"/>
                <w:szCs w:val="24"/>
              </w:rPr>
              <w:t>CEO, маркетолог</w:t>
            </w:r>
          </w:p>
        </w:tc>
      </w:tr>
      <w:tr w14:paraId="5AEAB553">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79B69C0">
            <w:pPr>
              <w:spacing w:before="0" w:after="0" w:line="240" w:lineRule="auto"/>
            </w:pPr>
            <w:r>
              <w:rPr>
                <w:rFonts w:ascii="Times New Roman" w:hAnsi="Times New Roman" w:eastAsia="Times New Roman" w:cs="Times New Roman"/>
                <w:color w:val="000000"/>
                <w:sz w:val="28"/>
                <w:szCs w:val="24"/>
              </w:rPr>
              <w:t>Расширение библиотеки</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034DC91">
            <w:pPr>
              <w:spacing w:before="0" w:after="0" w:line="240" w:lineRule="auto"/>
            </w:pPr>
            <w:r>
              <w:rPr>
                <w:rFonts w:ascii="Times New Roman" w:hAnsi="Times New Roman" w:eastAsia="Times New Roman" w:cs="Times New Roman"/>
                <w:color w:val="000000"/>
                <w:sz w:val="28"/>
                <w:szCs w:val="24"/>
              </w:rPr>
              <w:t>Мес. 6–12</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6FE7D38">
            <w:pPr>
              <w:spacing w:before="0" w:after="0" w:line="240" w:lineRule="auto"/>
            </w:pPr>
            <w:r>
              <w:rPr>
                <w:rFonts w:ascii="Times New Roman" w:hAnsi="Times New Roman" w:eastAsia="Times New Roman" w:cs="Times New Roman"/>
                <w:color w:val="000000"/>
                <w:sz w:val="28"/>
                <w:szCs w:val="24"/>
              </w:rPr>
              <w:t>30+ эффектов</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C169F52">
            <w:pPr>
              <w:spacing w:before="0" w:after="0" w:line="240" w:lineRule="auto"/>
            </w:pPr>
            <w:r>
              <w:rPr>
                <w:rFonts w:ascii="Times New Roman" w:hAnsi="Times New Roman" w:eastAsia="Times New Roman" w:cs="Times New Roman"/>
                <w:color w:val="000000"/>
                <w:sz w:val="28"/>
                <w:szCs w:val="24"/>
              </w:rPr>
              <w:t>ML-инженер</w:t>
            </w:r>
          </w:p>
        </w:tc>
      </w:tr>
      <w:tr w14:paraId="040E2583">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93B1541">
            <w:pPr>
              <w:spacing w:before="0" w:after="0" w:line="240" w:lineRule="auto"/>
            </w:pPr>
            <w:r>
              <w:rPr>
                <w:rFonts w:ascii="Times New Roman" w:hAnsi="Times New Roman" w:eastAsia="Times New Roman" w:cs="Times New Roman"/>
                <w:color w:val="000000"/>
                <w:sz w:val="28"/>
                <w:szCs w:val="24"/>
              </w:rPr>
              <w:t>Достижение BEP</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AAB523A">
            <w:pPr>
              <w:spacing w:before="0" w:after="0" w:line="240" w:lineRule="auto"/>
            </w:pPr>
            <w:r>
              <w:rPr>
                <w:rFonts w:ascii="Times New Roman" w:hAnsi="Times New Roman" w:eastAsia="Times New Roman" w:cs="Times New Roman"/>
                <w:color w:val="000000"/>
                <w:sz w:val="28"/>
                <w:szCs w:val="24"/>
              </w:rPr>
              <w:t>Мес. 14</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97E5F66">
            <w:pPr>
              <w:spacing w:before="0" w:after="0" w:line="240" w:lineRule="auto"/>
            </w:pPr>
            <w:r>
              <w:rPr>
                <w:rFonts w:ascii="Times New Roman" w:hAnsi="Times New Roman" w:eastAsia="Times New Roman" w:cs="Times New Roman"/>
                <w:color w:val="000000"/>
                <w:sz w:val="28"/>
                <w:szCs w:val="24"/>
              </w:rPr>
              <w:t>210 подписчиков</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01EAE37">
            <w:pPr>
              <w:spacing w:before="0" w:after="0" w:line="240" w:lineRule="auto"/>
            </w:pPr>
            <w:r>
              <w:rPr>
                <w:rFonts w:ascii="Times New Roman" w:hAnsi="Times New Roman" w:eastAsia="Times New Roman" w:cs="Times New Roman"/>
                <w:color w:val="000000"/>
                <w:sz w:val="28"/>
                <w:szCs w:val="24"/>
              </w:rPr>
              <w:t>Вся команда</w:t>
            </w:r>
          </w:p>
        </w:tc>
      </w:tr>
      <w:tr w14:paraId="2F995C7F">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DC1C88A">
            <w:pPr>
              <w:spacing w:before="0" w:after="0" w:line="240" w:lineRule="auto"/>
            </w:pPr>
            <w:r>
              <w:rPr>
                <w:rFonts w:ascii="Times New Roman" w:hAnsi="Times New Roman" w:eastAsia="Times New Roman" w:cs="Times New Roman"/>
                <w:color w:val="000000"/>
                <w:sz w:val="28"/>
                <w:szCs w:val="24"/>
              </w:rPr>
              <w:t>Привлечение seed-раунда</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E372794">
            <w:pPr>
              <w:spacing w:before="0" w:after="0" w:line="240" w:lineRule="auto"/>
            </w:pPr>
            <w:r>
              <w:rPr>
                <w:rFonts w:ascii="Times New Roman" w:hAnsi="Times New Roman" w:eastAsia="Times New Roman" w:cs="Times New Roman"/>
                <w:color w:val="000000"/>
                <w:sz w:val="28"/>
                <w:szCs w:val="24"/>
              </w:rPr>
              <w:t>Мес. 8–12</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4F6439E">
            <w:pPr>
              <w:spacing w:before="0" w:after="0" w:line="240" w:lineRule="auto"/>
            </w:pPr>
            <w:r>
              <w:rPr>
                <w:rFonts w:ascii="Times New Roman" w:hAnsi="Times New Roman" w:eastAsia="Times New Roman" w:cs="Times New Roman"/>
                <w:color w:val="000000"/>
                <w:sz w:val="28"/>
                <w:szCs w:val="24"/>
              </w:rPr>
              <w:t>3–5 млн руб.</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68CB8C7">
            <w:pPr>
              <w:spacing w:before="0" w:after="0" w:line="240" w:lineRule="auto"/>
            </w:pPr>
            <w:r>
              <w:rPr>
                <w:rFonts w:ascii="Times New Roman" w:hAnsi="Times New Roman" w:eastAsia="Times New Roman" w:cs="Times New Roman"/>
                <w:color w:val="000000"/>
                <w:sz w:val="28"/>
                <w:szCs w:val="24"/>
              </w:rPr>
              <w:t>CEO</w:t>
            </w:r>
          </w:p>
        </w:tc>
      </w:tr>
      <w:tr w14:paraId="0152DED9">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97E4270">
            <w:pPr>
              <w:spacing w:before="0" w:after="0" w:line="240" w:lineRule="auto"/>
            </w:pPr>
            <w:r>
              <w:rPr>
                <w:rFonts w:ascii="Times New Roman" w:hAnsi="Times New Roman" w:eastAsia="Times New Roman" w:cs="Times New Roman"/>
                <w:color w:val="000000"/>
                <w:sz w:val="28"/>
                <w:szCs w:val="24"/>
              </w:rPr>
              <w:t>Выход на рынок СНГ</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BC79568">
            <w:pPr>
              <w:spacing w:before="0" w:after="0" w:line="240" w:lineRule="auto"/>
            </w:pPr>
            <w:r>
              <w:rPr>
                <w:rFonts w:ascii="Times New Roman" w:hAnsi="Times New Roman" w:eastAsia="Times New Roman" w:cs="Times New Roman"/>
                <w:color w:val="000000"/>
                <w:sz w:val="28"/>
                <w:szCs w:val="24"/>
              </w:rPr>
              <w:t>Мес. 18–24</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2BBA500">
            <w:pPr>
              <w:spacing w:before="0" w:after="0" w:line="240" w:lineRule="auto"/>
            </w:pPr>
            <w:r>
              <w:rPr>
                <w:rFonts w:ascii="Times New Roman" w:hAnsi="Times New Roman" w:eastAsia="Times New Roman" w:cs="Times New Roman"/>
                <w:color w:val="000000"/>
                <w:sz w:val="28"/>
                <w:szCs w:val="24"/>
              </w:rPr>
              <w:t>50+ клиентов в СНГ</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3B5D255">
            <w:pPr>
              <w:spacing w:before="0" w:after="0" w:line="240" w:lineRule="auto"/>
            </w:pPr>
            <w:r>
              <w:rPr>
                <w:rFonts w:ascii="Times New Roman" w:hAnsi="Times New Roman" w:eastAsia="Times New Roman" w:cs="Times New Roman"/>
                <w:color w:val="000000"/>
                <w:sz w:val="28"/>
                <w:szCs w:val="24"/>
              </w:rPr>
              <w:t>CEO, маркетолог</w:t>
            </w:r>
          </w:p>
        </w:tc>
      </w:tr>
      <w:tr w14:paraId="3F45DFF6">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33BE7BF">
            <w:pPr>
              <w:spacing w:before="0" w:after="0" w:line="240" w:lineRule="auto"/>
            </w:pPr>
            <w:r>
              <w:rPr>
                <w:rFonts w:ascii="Times New Roman" w:hAnsi="Times New Roman" w:eastAsia="Times New Roman" w:cs="Times New Roman"/>
                <w:color w:val="000000"/>
                <w:sz w:val="28"/>
                <w:szCs w:val="24"/>
              </w:rPr>
              <w:t>Раунд A</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C367E15">
            <w:pPr>
              <w:spacing w:before="0" w:after="0" w:line="240" w:lineRule="auto"/>
            </w:pPr>
            <w:r>
              <w:rPr>
                <w:rFonts w:ascii="Times New Roman" w:hAnsi="Times New Roman" w:eastAsia="Times New Roman" w:cs="Times New Roman"/>
                <w:color w:val="000000"/>
                <w:sz w:val="28"/>
                <w:szCs w:val="24"/>
              </w:rPr>
              <w:t>Мес. 20–24</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18F9597">
            <w:pPr>
              <w:spacing w:before="0" w:after="0" w:line="240" w:lineRule="auto"/>
            </w:pPr>
            <w:r>
              <w:rPr>
                <w:rFonts w:ascii="Times New Roman" w:hAnsi="Times New Roman" w:eastAsia="Times New Roman" w:cs="Times New Roman"/>
                <w:color w:val="000000"/>
                <w:sz w:val="28"/>
                <w:szCs w:val="24"/>
              </w:rPr>
              <w:t>15–25 млн руб.</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C6A90E8">
            <w:pPr>
              <w:spacing w:before="0" w:after="0" w:line="240" w:lineRule="auto"/>
            </w:pPr>
            <w:r>
              <w:rPr>
                <w:rFonts w:ascii="Times New Roman" w:hAnsi="Times New Roman" w:eastAsia="Times New Roman" w:cs="Times New Roman"/>
                <w:color w:val="000000"/>
                <w:sz w:val="28"/>
                <w:szCs w:val="24"/>
              </w:rPr>
              <w:t>CEO</w:t>
            </w:r>
          </w:p>
        </w:tc>
      </w:tr>
      <w:tr w14:paraId="108DA656">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6ADA560">
            <w:pPr>
              <w:spacing w:before="0" w:after="0" w:line="240" w:lineRule="auto"/>
            </w:pPr>
            <w:r>
              <w:rPr>
                <w:rFonts w:ascii="Times New Roman" w:hAnsi="Times New Roman" w:eastAsia="Times New Roman" w:cs="Times New Roman"/>
                <w:color w:val="000000"/>
                <w:sz w:val="28"/>
                <w:szCs w:val="24"/>
              </w:rPr>
              <w:t>500+ подписчиков</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EAE38E0">
            <w:pPr>
              <w:spacing w:before="0" w:after="0" w:line="240" w:lineRule="auto"/>
            </w:pPr>
            <w:r>
              <w:rPr>
                <w:rFonts w:ascii="Times New Roman" w:hAnsi="Times New Roman" w:eastAsia="Times New Roman" w:cs="Times New Roman"/>
                <w:color w:val="000000"/>
                <w:sz w:val="28"/>
                <w:szCs w:val="24"/>
              </w:rPr>
              <w:t>Мес. 30–36</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CC8E3E1">
            <w:pPr>
              <w:spacing w:before="0" w:after="0" w:line="240" w:lineRule="auto"/>
            </w:pPr>
            <w:r>
              <w:rPr>
                <w:rFonts w:ascii="Times New Roman" w:hAnsi="Times New Roman" w:eastAsia="Times New Roman" w:cs="Times New Roman"/>
                <w:color w:val="000000"/>
                <w:sz w:val="28"/>
                <w:szCs w:val="24"/>
              </w:rPr>
              <w:t>ARR ≥ 40 млн руб.</w:t>
            </w:r>
          </w:p>
        </w:tc>
        <w:tc>
          <w:tcPr>
            <w:tcW w:w="2257"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1DB2E57">
            <w:pPr>
              <w:spacing w:before="0" w:after="0" w:line="240" w:lineRule="auto"/>
            </w:pPr>
            <w:r>
              <w:rPr>
                <w:rFonts w:ascii="Times New Roman" w:hAnsi="Times New Roman" w:eastAsia="Times New Roman" w:cs="Times New Roman"/>
                <w:color w:val="000000"/>
                <w:sz w:val="28"/>
                <w:szCs w:val="24"/>
              </w:rPr>
              <w:t>Вся команда</w:t>
            </w:r>
          </w:p>
        </w:tc>
      </w:tr>
    </w:tbl>
    <w:p w14:paraId="2532E5D8">
      <w:pPr>
        <w:spacing w:before="0" w:after="0" w:line="360" w:lineRule="auto"/>
      </w:pPr>
    </w:p>
    <w:p w14:paraId="63D2BAF5">
      <w:pPr>
        <w:spacing w:before="0" w:after="0" w:line="360" w:lineRule="auto"/>
        <w:ind w:firstLine="708"/>
        <w:jc w:val="both"/>
      </w:pPr>
      <w:r>
        <w:rPr>
          <w:rFonts w:ascii="Times New Roman" w:hAnsi="Times New Roman" w:eastAsia="Times New Roman" w:cs="Times New Roman"/>
          <w:color w:val="000000"/>
          <w:sz w:val="28"/>
          <w:szCs w:val="28"/>
        </w:rPr>
        <w:t>Стратегию выхода на рынок я разворачиваю во времени через дорожную карту развития продукта и компании. На рисунке 3.1 я показал укрупнённую дорожную карту стартапа «Эксперимент 619» на 2022–2027 годы; ключевые этапы привязаны к уровню готовности технологии TRL и грантовым программам Фонда содействия инновациям. Карта согласована с финансовой моделью раздела 2.3 и календарным графиком таблицы 3.4.</w:t>
      </w:r>
    </w:p>
    <w:p w14:paraId="3BFD2A7B">
      <w:pPr>
        <w:spacing w:before="0" w:after="0" w:line="360" w:lineRule="auto"/>
        <w:jc w:val="center"/>
      </w:pPr>
      <w:r>
        <w:rPr>
          <w:rFonts w:ascii="Times New Roman" w:hAnsi="Times New Roman" w:eastAsia="Times New Roman" w:cs="Times New Roman"/>
          <w:color w:val="000000"/>
          <w:sz w:val="28"/>
        </w:rPr>
        <w:drawing>
          <wp:inline distT="0" distB="0" distL="114300" distR="114300">
            <wp:extent cx="5759450" cy="2752090"/>
            <wp:effectExtent l="0" t="0" r="6350" b="16510"/>
            <wp:docPr id="236853976" name="Picture 236853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53976" name="Picture 236853976"/>
                    <pic:cNvPicPr>
                      <a:picLocks noChangeAspect="1"/>
                    </pic:cNvPicPr>
                  </pic:nvPicPr>
                  <pic:blipFill>
                    <a:blip r:embed="rId12"/>
                    <a:stretch>
                      <a:fillRect/>
                    </a:stretch>
                  </pic:blipFill>
                  <pic:spPr>
                    <a:xfrm>
                      <a:off x="0" y="0"/>
                      <a:ext cx="5760000" cy="2752601"/>
                    </a:xfrm>
                    <a:prstGeom prst="rect">
                      <a:avLst/>
                    </a:prstGeom>
                  </pic:spPr>
                </pic:pic>
              </a:graphicData>
            </a:graphic>
          </wp:inline>
        </w:drawing>
      </w:r>
    </w:p>
    <w:p w14:paraId="275C0071">
      <w:pPr>
        <w:spacing w:before="0" w:after="0" w:line="360" w:lineRule="auto"/>
        <w:jc w:val="center"/>
      </w:pPr>
      <w:r>
        <w:rPr>
          <w:rFonts w:ascii="Times New Roman" w:hAnsi="Times New Roman" w:eastAsia="Times New Roman" w:cs="Times New Roman"/>
          <w:color w:val="000000"/>
          <w:sz w:val="28"/>
          <w:szCs w:val="28"/>
        </w:rPr>
        <w:t>Рисунок 3.2 — Дорожная карта развития стартапа «Эксперимент 619» 2022–2027</w:t>
      </w:r>
    </w:p>
    <w:p w14:paraId="095C47BD">
      <w:pPr>
        <w:spacing w:before="0" w:after="0" w:line="360" w:lineRule="auto"/>
        <w:ind w:firstLine="708"/>
        <w:jc w:val="both"/>
      </w:pPr>
      <w:r>
        <w:rPr>
          <w:rFonts w:ascii="Times New Roman" w:hAnsi="Times New Roman" w:eastAsia="Times New Roman" w:cs="Times New Roman"/>
          <w:color w:val="000000"/>
          <w:sz w:val="28"/>
          <w:szCs w:val="28"/>
        </w:rPr>
        <w:t>Дорожная карта объединяет пять последовательных этапов. Этап «Запуск» (2022–2023) уже выполнен: получен грант ФСИ по программе «Студенческий стартап» в размере 1 000 000 руб., разработан MVP уровня TRL 3 и реализован первый кейс — мультимедиа-инсталляция «ТВН» в Музее истории СПбПУ с экспертной оценкой работ 80 000 руб. [29, 5]. Этап «Валидация» (2024) также завершён: я с командой стал победителем всероссийского конкурса «Твой ХОД», финалистом фестиваля «Страна Света» с инсталляцией «Карелия» на Дворцовой площади Санкт-Петербурга при охвате 14 275 зрителей [4]. На этапе «Бизнес-тезис» (2025–2026) реализуется текущая фаза: победа в программе «Создай НАШЕ» Московского акселератора МСП в 2025 году, формирование первой когорты из 5–10 платящих B2B-клиентов и валидация product-market fit. Этап «TRL 6–8» (2026–2027) предусматривает подачу заявки на грант ФСИ «Старт-1», переход на устойчивый SaaS-биллинг с тремя тарифами (55 619 / 96 619 / 163 619 руб./мес.) и достижение точки безубыточности по EBITDA на 14-м месяце финансовой модели; параллельно с третьего года планируется выход на рынки СНГ (Казахстан, Узбекистан, Беларусь) и MENA-региона (ОАЭ, Саудовская Аравия). Этап «Масштаб» (2027+) предполагает достижение TRL 9, переход на гибридную модель развёртывания инфраструктуры при достижении 500+ активных подписчиков и подготовку компании к стратегическому раунду венчурного финансирования объёмом 15–25 млн руб. для финансирования географической экспансии и углубления продуктовой линейки.</w:t>
      </w:r>
    </w:p>
    <w:p w14:paraId="461A6158">
      <w:pPr>
        <w:spacing w:before="0" w:after="0" w:line="360" w:lineRule="auto"/>
        <w:ind w:firstLine="708"/>
        <w:jc w:val="both"/>
      </w:pPr>
      <w:r>
        <w:rPr>
          <w:rFonts w:ascii="Times New Roman" w:hAnsi="Times New Roman" w:eastAsia="Times New Roman" w:cs="Times New Roman"/>
          <w:color w:val="000000"/>
          <w:sz w:val="28"/>
          <w:szCs w:val="28"/>
        </w:rPr>
        <w:t>Результаты апробации решения на базе трёх пилотных проектов (два ивент-агентства в Санкт-Петербурге и один музейный центр в Москве) продемонстрировали значительный экономический эффект. Среднее сокращение времени создания контента составило 78%, что соответствует прогнозам, заложенным в бизнес-модель. Экономия трудозатрат у пилотных клиентов составила от 120 до 350 тыс. руб. на проект. Показатель NPS по результатам пилотных проектов составил 52 балла, что существенно превышает целевой показатель 40 и свидетельствует о высокой удовлетворённости пользователей. Результаты апробации представлены в таблице 3.5.</w:t>
      </w:r>
    </w:p>
    <w:p w14:paraId="510E2DB4">
      <w:pPr>
        <w:spacing w:before="0" w:after="0" w:line="360" w:lineRule="auto"/>
        <w:jc w:val="left"/>
      </w:pPr>
      <w:r>
        <w:rPr>
          <w:rFonts w:ascii="Times New Roman" w:hAnsi="Times New Roman" w:eastAsia="Times New Roman" w:cs="Times New Roman"/>
          <w:i w:val="0"/>
          <w:iCs w:val="0"/>
          <w:color w:val="000000"/>
          <w:sz w:val="28"/>
          <w:szCs w:val="28"/>
        </w:rPr>
        <w:t>Таблица 3.5 — Результаты апробации ПО на пилотных проектах</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9"/>
        <w:gridCol w:w="1809"/>
        <w:gridCol w:w="1808"/>
      </w:tblGrid>
      <w:tr w14:paraId="7D71531B">
        <w:tc>
          <w:tcPr>
            <w:tcW w:w="18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27FC263D">
            <w:pPr>
              <w:spacing w:before="0" w:after="0" w:line="240" w:lineRule="auto"/>
              <w:jc w:val="center"/>
            </w:pPr>
            <w:r>
              <w:rPr>
                <w:rFonts w:ascii="Times New Roman" w:hAnsi="Times New Roman" w:eastAsia="Times New Roman" w:cs="Times New Roman"/>
                <w:bCs/>
                <w:color w:val="000000"/>
                <w:sz w:val="28"/>
                <w:szCs w:val="24"/>
              </w:rPr>
              <w:t>Пилотный клиент</w:t>
            </w:r>
          </w:p>
        </w:tc>
        <w:tc>
          <w:tcPr>
            <w:tcW w:w="18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0F53AF74">
            <w:pPr>
              <w:spacing w:before="0" w:after="0" w:line="240" w:lineRule="auto"/>
              <w:jc w:val="center"/>
            </w:pPr>
            <w:r>
              <w:rPr>
                <w:rFonts w:ascii="Times New Roman" w:hAnsi="Times New Roman" w:eastAsia="Times New Roman" w:cs="Times New Roman"/>
                <w:bCs/>
                <w:color w:val="000000"/>
                <w:sz w:val="28"/>
                <w:szCs w:val="24"/>
              </w:rPr>
              <w:t>Тип проекта</w:t>
            </w:r>
          </w:p>
        </w:tc>
        <w:tc>
          <w:tcPr>
            <w:tcW w:w="1809"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187EBEF3">
            <w:pPr>
              <w:spacing w:before="0" w:after="0" w:line="240" w:lineRule="auto"/>
              <w:jc w:val="center"/>
            </w:pPr>
            <w:r>
              <w:rPr>
                <w:rFonts w:ascii="Times New Roman" w:hAnsi="Times New Roman" w:eastAsia="Times New Roman" w:cs="Times New Roman"/>
                <w:bCs/>
                <w:color w:val="000000"/>
                <w:sz w:val="28"/>
                <w:szCs w:val="24"/>
              </w:rPr>
              <w:t>Время (до)</w:t>
            </w:r>
          </w:p>
        </w:tc>
        <w:tc>
          <w:tcPr>
            <w:tcW w:w="1809"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51702088">
            <w:pPr>
              <w:spacing w:before="0" w:after="0" w:line="240" w:lineRule="auto"/>
              <w:jc w:val="center"/>
            </w:pPr>
            <w:r>
              <w:rPr>
                <w:rFonts w:ascii="Times New Roman" w:hAnsi="Times New Roman" w:eastAsia="Times New Roman" w:cs="Times New Roman"/>
                <w:bCs/>
                <w:color w:val="000000"/>
                <w:sz w:val="28"/>
                <w:szCs w:val="24"/>
              </w:rPr>
              <w:t>Время (после)</w:t>
            </w:r>
          </w:p>
        </w:tc>
        <w:tc>
          <w:tcPr>
            <w:tcW w:w="1808"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559CDA58">
            <w:pPr>
              <w:spacing w:before="0" w:after="0" w:line="240" w:lineRule="auto"/>
              <w:jc w:val="center"/>
            </w:pPr>
            <w:r>
              <w:rPr>
                <w:rFonts w:ascii="Times New Roman" w:hAnsi="Times New Roman" w:eastAsia="Times New Roman" w:cs="Times New Roman"/>
                <w:bCs/>
                <w:color w:val="000000"/>
                <w:sz w:val="28"/>
                <w:szCs w:val="24"/>
              </w:rPr>
              <w:t>Экономия, тыс. руб.</w:t>
            </w:r>
          </w:p>
        </w:tc>
      </w:tr>
      <w:tr w14:paraId="0327A713">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F8E3DA6">
            <w:pPr>
              <w:spacing w:before="0" w:after="0" w:line="240" w:lineRule="auto"/>
            </w:pPr>
            <w:r>
              <w:rPr>
                <w:rFonts w:ascii="Times New Roman" w:hAnsi="Times New Roman" w:eastAsia="Times New Roman" w:cs="Times New Roman"/>
                <w:color w:val="000000"/>
                <w:sz w:val="28"/>
                <w:szCs w:val="24"/>
              </w:rPr>
              <w:t>Ивент-агентство 1</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EDFF97A">
            <w:pPr>
              <w:spacing w:before="0" w:after="0" w:line="240" w:lineRule="auto"/>
            </w:pPr>
            <w:r>
              <w:rPr>
                <w:rFonts w:ascii="Times New Roman" w:hAnsi="Times New Roman" w:eastAsia="Times New Roman" w:cs="Times New Roman"/>
                <w:color w:val="000000"/>
                <w:sz w:val="28"/>
                <w:szCs w:val="24"/>
              </w:rPr>
              <w:t>Корпоративный мэппинг</w:t>
            </w:r>
          </w:p>
        </w:tc>
        <w:tc>
          <w:tcPr>
            <w:tcW w:w="1809"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1726DA6">
            <w:pPr>
              <w:spacing w:before="0" w:after="0" w:line="240" w:lineRule="auto"/>
            </w:pPr>
            <w:r>
              <w:rPr>
                <w:rFonts w:ascii="Times New Roman" w:hAnsi="Times New Roman" w:eastAsia="Times New Roman" w:cs="Times New Roman"/>
                <w:color w:val="000000"/>
                <w:sz w:val="28"/>
                <w:szCs w:val="24"/>
              </w:rPr>
              <w:t>3 дня</w:t>
            </w:r>
          </w:p>
        </w:tc>
        <w:tc>
          <w:tcPr>
            <w:tcW w:w="1809"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DE55936">
            <w:pPr>
              <w:spacing w:before="0" w:after="0" w:line="240" w:lineRule="auto"/>
            </w:pPr>
            <w:r>
              <w:rPr>
                <w:rFonts w:ascii="Times New Roman" w:hAnsi="Times New Roman" w:eastAsia="Times New Roman" w:cs="Times New Roman"/>
                <w:color w:val="000000"/>
                <w:sz w:val="28"/>
                <w:szCs w:val="24"/>
              </w:rPr>
              <w:t>4 часа</w:t>
            </w:r>
          </w:p>
        </w:tc>
        <w:tc>
          <w:tcPr>
            <w:tcW w:w="18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29C59A3">
            <w:pPr>
              <w:spacing w:before="0" w:after="0" w:line="240" w:lineRule="auto"/>
            </w:pPr>
            <w:r>
              <w:rPr>
                <w:rFonts w:ascii="Times New Roman" w:hAnsi="Times New Roman" w:eastAsia="Times New Roman" w:cs="Times New Roman"/>
                <w:color w:val="000000"/>
                <w:sz w:val="28"/>
                <w:szCs w:val="24"/>
              </w:rPr>
              <w:t>350</w:t>
            </w:r>
          </w:p>
        </w:tc>
      </w:tr>
      <w:tr w14:paraId="06312A92">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34123C0">
            <w:pPr>
              <w:spacing w:before="0" w:after="0" w:line="240" w:lineRule="auto"/>
            </w:pPr>
            <w:r>
              <w:rPr>
                <w:rFonts w:ascii="Times New Roman" w:hAnsi="Times New Roman" w:eastAsia="Times New Roman" w:cs="Times New Roman"/>
                <w:color w:val="000000"/>
                <w:sz w:val="28"/>
                <w:szCs w:val="24"/>
              </w:rPr>
              <w:t>Ивент-агентство 2</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50537CC">
            <w:pPr>
              <w:spacing w:before="0" w:after="0" w:line="240" w:lineRule="auto"/>
            </w:pPr>
            <w:r>
              <w:rPr>
                <w:rFonts w:ascii="Times New Roman" w:hAnsi="Times New Roman" w:eastAsia="Times New Roman" w:cs="Times New Roman"/>
                <w:color w:val="000000"/>
                <w:sz w:val="28"/>
                <w:szCs w:val="24"/>
              </w:rPr>
              <w:t>Свадебная проекция</w:t>
            </w:r>
          </w:p>
        </w:tc>
        <w:tc>
          <w:tcPr>
            <w:tcW w:w="1809"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43A5CB0">
            <w:pPr>
              <w:spacing w:before="0" w:after="0" w:line="240" w:lineRule="auto"/>
            </w:pPr>
            <w:r>
              <w:rPr>
                <w:rFonts w:ascii="Times New Roman" w:hAnsi="Times New Roman" w:eastAsia="Times New Roman" w:cs="Times New Roman"/>
                <w:color w:val="000000"/>
                <w:sz w:val="28"/>
                <w:szCs w:val="24"/>
              </w:rPr>
              <w:t>2 дня</w:t>
            </w:r>
          </w:p>
        </w:tc>
        <w:tc>
          <w:tcPr>
            <w:tcW w:w="1809"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E027BAB">
            <w:pPr>
              <w:spacing w:before="0" w:after="0" w:line="240" w:lineRule="auto"/>
            </w:pPr>
            <w:r>
              <w:rPr>
                <w:rFonts w:ascii="Times New Roman" w:hAnsi="Times New Roman" w:eastAsia="Times New Roman" w:cs="Times New Roman"/>
                <w:color w:val="000000"/>
                <w:sz w:val="28"/>
                <w:szCs w:val="24"/>
              </w:rPr>
              <w:t>2 часа</w:t>
            </w:r>
          </w:p>
        </w:tc>
        <w:tc>
          <w:tcPr>
            <w:tcW w:w="18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04F1DA5">
            <w:pPr>
              <w:spacing w:before="0" w:after="0" w:line="240" w:lineRule="auto"/>
            </w:pPr>
            <w:r>
              <w:rPr>
                <w:rFonts w:ascii="Times New Roman" w:hAnsi="Times New Roman" w:eastAsia="Times New Roman" w:cs="Times New Roman"/>
                <w:color w:val="000000"/>
                <w:sz w:val="28"/>
                <w:szCs w:val="24"/>
              </w:rPr>
              <w:t>180</w:t>
            </w:r>
          </w:p>
        </w:tc>
      </w:tr>
      <w:tr w14:paraId="78D37458">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73ADE89">
            <w:pPr>
              <w:spacing w:before="0" w:after="0" w:line="240" w:lineRule="auto"/>
            </w:pPr>
            <w:r>
              <w:rPr>
                <w:rFonts w:ascii="Times New Roman" w:hAnsi="Times New Roman" w:eastAsia="Times New Roman" w:cs="Times New Roman"/>
                <w:color w:val="000000"/>
                <w:sz w:val="28"/>
                <w:szCs w:val="24"/>
              </w:rPr>
              <w:t>Музейный центр</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877E9CA">
            <w:pPr>
              <w:spacing w:before="0" w:after="0" w:line="240" w:lineRule="auto"/>
            </w:pPr>
            <w:r>
              <w:rPr>
                <w:rFonts w:ascii="Times New Roman" w:hAnsi="Times New Roman" w:eastAsia="Times New Roman" w:cs="Times New Roman"/>
                <w:color w:val="000000"/>
                <w:sz w:val="28"/>
                <w:szCs w:val="24"/>
              </w:rPr>
              <w:t>Постоянная экспозиция</w:t>
            </w:r>
          </w:p>
        </w:tc>
        <w:tc>
          <w:tcPr>
            <w:tcW w:w="1809"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B50B0D1">
            <w:pPr>
              <w:spacing w:before="0" w:after="0" w:line="240" w:lineRule="auto"/>
            </w:pPr>
            <w:r>
              <w:rPr>
                <w:rFonts w:ascii="Times New Roman" w:hAnsi="Times New Roman" w:eastAsia="Times New Roman" w:cs="Times New Roman"/>
                <w:color w:val="000000"/>
                <w:sz w:val="28"/>
                <w:szCs w:val="24"/>
              </w:rPr>
              <w:t>5 дней</w:t>
            </w:r>
          </w:p>
        </w:tc>
        <w:tc>
          <w:tcPr>
            <w:tcW w:w="1809"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19C11DF">
            <w:pPr>
              <w:spacing w:before="0" w:after="0" w:line="240" w:lineRule="auto"/>
            </w:pPr>
            <w:r>
              <w:rPr>
                <w:rFonts w:ascii="Times New Roman" w:hAnsi="Times New Roman" w:eastAsia="Times New Roman" w:cs="Times New Roman"/>
                <w:color w:val="000000"/>
                <w:sz w:val="28"/>
                <w:szCs w:val="24"/>
              </w:rPr>
              <w:t>8 часов</w:t>
            </w:r>
          </w:p>
        </w:tc>
        <w:tc>
          <w:tcPr>
            <w:tcW w:w="18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B6690F3">
            <w:pPr>
              <w:spacing w:before="0" w:after="0" w:line="240" w:lineRule="auto"/>
            </w:pPr>
            <w:r>
              <w:rPr>
                <w:rFonts w:ascii="Times New Roman" w:hAnsi="Times New Roman" w:eastAsia="Times New Roman" w:cs="Times New Roman"/>
                <w:color w:val="000000"/>
                <w:sz w:val="28"/>
                <w:szCs w:val="24"/>
              </w:rPr>
              <w:t>520</w:t>
            </w:r>
          </w:p>
        </w:tc>
      </w:tr>
    </w:tbl>
    <w:p w14:paraId="63234B67">
      <w:pPr>
        <w:keepNext w:val="0"/>
        <w:keepLines w:val="0"/>
        <w:pageBreakBefore w:val="0"/>
        <w:widowControl/>
        <w:kinsoku/>
        <w:wordWrap/>
        <w:overflowPunct/>
        <w:topLinePunct w:val="0"/>
        <w:autoSpaceDE/>
        <w:autoSpaceDN/>
        <w:bidi w:val="0"/>
        <w:adjustRightInd/>
        <w:snapToGrid/>
        <w:spacing w:before="0" w:after="0" w:line="360" w:lineRule="auto"/>
        <w:jc w:val="both"/>
        <w:textAlignment w:val="auto"/>
      </w:pPr>
    </w:p>
    <w:p w14:paraId="5C109CF0">
      <w:pPr>
        <w:pStyle w:val="3"/>
        <w:keepNext w:val="0"/>
        <w:keepLines w:val="0"/>
        <w:pageBreakBefore w:val="0"/>
        <w:widowControl/>
        <w:kinsoku/>
        <w:wordWrap/>
        <w:overflowPunct/>
        <w:topLinePunct w:val="0"/>
        <w:autoSpaceDE/>
        <w:autoSpaceDN/>
        <w:bidi w:val="0"/>
        <w:adjustRightInd/>
        <w:snapToGrid/>
        <w:spacing w:before="0" w:after="0" w:line="360" w:lineRule="auto"/>
        <w:ind w:firstLine="708"/>
        <w:jc w:val="both"/>
        <w:textAlignment w:val="auto"/>
      </w:pPr>
      <w:bookmarkStart w:id="16" w:name="_Toc1994802943"/>
      <w:r>
        <w:rPr>
          <w:rFonts w:ascii="Times New Roman" w:hAnsi="Times New Roman" w:eastAsia="Times New Roman" w:cs="Times New Roman"/>
          <w:b/>
          <w:color w:val="000000"/>
          <w:sz w:val="28"/>
          <w:szCs w:val="28"/>
        </w:rPr>
        <w:t>3.3 Анализ рисков и рекомендации по их снижению</w:t>
      </w:r>
      <w:bookmarkEnd w:id="16"/>
    </w:p>
    <w:p w14:paraId="046179F5">
      <w:pPr>
        <w:spacing w:before="0" w:after="0" w:line="360" w:lineRule="auto"/>
        <w:ind w:firstLine="708"/>
        <w:jc w:val="both"/>
      </w:pPr>
      <w:r>
        <w:rPr>
          <w:rFonts w:ascii="Times New Roman" w:hAnsi="Times New Roman" w:eastAsia="Times New Roman" w:cs="Times New Roman"/>
          <w:color w:val="000000"/>
          <w:sz w:val="28"/>
          <w:szCs w:val="28"/>
        </w:rPr>
        <w:t>Анализ рисков проекта «Эксперимент 619» я провёл с помощью методологии качественной оценки вероятности и влияния, дополнив её количественной оценкой потенциального ущерба. Получилось 12 ключевых рисков; они сгруппированы в четыре категории — рыночные, технологические, финансовые и правовые. Для каждого риска я предложил мероприятия по снижению [33, 34].</w:t>
      </w:r>
    </w:p>
    <w:p w14:paraId="2A906C85">
      <w:pPr>
        <w:spacing w:before="0" w:after="0" w:line="360" w:lineRule="auto"/>
        <w:jc w:val="left"/>
        <w:rPr>
          <w:i w:val="0"/>
          <w:iCs w:val="0"/>
        </w:rPr>
      </w:pPr>
      <w:r>
        <w:rPr>
          <w:rFonts w:ascii="Times New Roman" w:hAnsi="Times New Roman" w:eastAsia="Times New Roman" w:cs="Times New Roman"/>
          <w:i w:val="0"/>
          <w:iCs w:val="0"/>
          <w:color w:val="000000"/>
          <w:sz w:val="28"/>
          <w:szCs w:val="28"/>
        </w:rPr>
        <w:t>Таблица 3.6 — Матрица рисков проекта «Эксперимент 619»</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36"/>
        <w:gridCol w:w="1290"/>
        <w:gridCol w:w="1288"/>
        <w:gridCol w:w="1451"/>
        <w:gridCol w:w="2861"/>
      </w:tblGrid>
      <w:tr w14:paraId="3EDD994C">
        <w:tc>
          <w:tcPr>
            <w:tcW w:w="22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019FECDB">
            <w:pPr>
              <w:spacing w:before="0" w:after="0" w:line="240" w:lineRule="auto"/>
              <w:jc w:val="center"/>
            </w:pPr>
            <w:r>
              <w:rPr>
                <w:rFonts w:ascii="Times New Roman" w:hAnsi="Times New Roman" w:eastAsia="Times New Roman" w:cs="Times New Roman"/>
                <w:bCs/>
                <w:color w:val="000000"/>
                <w:sz w:val="28"/>
                <w:szCs w:val="24"/>
              </w:rPr>
              <w:t>Риск</w:t>
            </w:r>
          </w:p>
        </w:tc>
        <w:tc>
          <w:tcPr>
            <w:tcW w:w="13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6F4E4C6C">
            <w:pPr>
              <w:spacing w:before="0" w:after="0" w:line="240" w:lineRule="auto"/>
              <w:jc w:val="center"/>
            </w:pPr>
            <w:r>
              <w:rPr>
                <w:rFonts w:ascii="Times New Roman" w:hAnsi="Times New Roman" w:eastAsia="Times New Roman" w:cs="Times New Roman"/>
                <w:bCs/>
                <w:color w:val="000000"/>
                <w:sz w:val="28"/>
                <w:szCs w:val="24"/>
              </w:rPr>
              <w:t>Вероятн.</w:t>
            </w:r>
          </w:p>
        </w:tc>
        <w:tc>
          <w:tcPr>
            <w:tcW w:w="13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29D6B449">
            <w:pPr>
              <w:spacing w:before="0" w:after="0" w:line="240" w:lineRule="auto"/>
              <w:jc w:val="center"/>
            </w:pPr>
            <w:r>
              <w:rPr>
                <w:rFonts w:ascii="Times New Roman" w:hAnsi="Times New Roman" w:eastAsia="Times New Roman" w:cs="Times New Roman"/>
                <w:bCs/>
                <w:color w:val="000000"/>
                <w:sz w:val="28"/>
                <w:szCs w:val="24"/>
              </w:rPr>
              <w:t>Влияние</w:t>
            </w:r>
          </w:p>
        </w:tc>
        <w:tc>
          <w:tcPr>
            <w:tcW w:w="1300"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2CCF2CDD">
            <w:pPr>
              <w:spacing w:before="0" w:after="0" w:line="240" w:lineRule="auto"/>
              <w:jc w:val="center"/>
            </w:pPr>
            <w:r>
              <w:rPr>
                <w:rFonts w:ascii="Times New Roman" w:hAnsi="Times New Roman" w:eastAsia="Times New Roman" w:cs="Times New Roman"/>
                <w:bCs/>
                <w:color w:val="000000"/>
                <w:sz w:val="28"/>
                <w:szCs w:val="24"/>
              </w:rPr>
              <w:t>Приоритет</w:t>
            </w:r>
          </w:p>
        </w:tc>
        <w:tc>
          <w:tcPr>
            <w:tcW w:w="2926" w:type="dxa"/>
            <w:tcBorders>
              <w:top w:val="single" w:color="000000" w:sz="0" w:space="0"/>
              <w:left w:val="single" w:color="000000" w:sz="0" w:space="0"/>
              <w:bottom w:val="single" w:color="000000" w:sz="0" w:space="0"/>
              <w:right w:val="single" w:color="000000" w:sz="0" w:space="0"/>
            </w:tcBorders>
            <w:shd w:val="clear" w:color="auto" w:fill="FFFFFF" w:themeFill="background1"/>
            <w:tcMar>
              <w:top w:w="40" w:type="dxa"/>
              <w:left w:w="80" w:type="dxa"/>
              <w:bottom w:w="40" w:type="dxa"/>
              <w:right w:w="80" w:type="dxa"/>
            </w:tcMar>
          </w:tcPr>
          <w:p w14:paraId="22F8D3AF">
            <w:pPr>
              <w:spacing w:before="0" w:after="0" w:line="240" w:lineRule="auto"/>
              <w:jc w:val="center"/>
            </w:pPr>
            <w:r>
              <w:rPr>
                <w:rFonts w:ascii="Times New Roman" w:hAnsi="Times New Roman" w:eastAsia="Times New Roman" w:cs="Times New Roman"/>
                <w:bCs/>
                <w:color w:val="000000"/>
                <w:sz w:val="28"/>
                <w:szCs w:val="24"/>
              </w:rPr>
              <w:t>Мера снижения</w:t>
            </w:r>
          </w:p>
        </w:tc>
      </w:tr>
      <w:tr w14:paraId="462E9854">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64EBF57">
            <w:pPr>
              <w:spacing w:before="0" w:after="0" w:line="240" w:lineRule="auto"/>
            </w:pPr>
            <w:r>
              <w:rPr>
                <w:rFonts w:ascii="Times New Roman" w:hAnsi="Times New Roman" w:eastAsia="Times New Roman" w:cs="Times New Roman"/>
                <w:color w:val="000000"/>
                <w:sz w:val="28"/>
                <w:szCs w:val="24"/>
              </w:rPr>
              <w:t>Появление конкурента с ИИ</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60F586E">
            <w:pPr>
              <w:spacing w:before="0" w:after="0" w:line="240" w:lineRule="auto"/>
            </w:pPr>
            <w:r>
              <w:rPr>
                <w:rFonts w:ascii="Times New Roman" w:hAnsi="Times New Roman" w:eastAsia="Times New Roman" w:cs="Times New Roman"/>
                <w:color w:val="000000"/>
                <w:sz w:val="28"/>
                <w:szCs w:val="24"/>
              </w:rPr>
              <w:t>Высокая</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5C0360C">
            <w:pPr>
              <w:spacing w:before="0" w:after="0" w:line="240" w:lineRule="auto"/>
            </w:pPr>
            <w:r>
              <w:rPr>
                <w:rFonts w:ascii="Times New Roman" w:hAnsi="Times New Roman" w:eastAsia="Times New Roman" w:cs="Times New Roman"/>
                <w:color w:val="000000"/>
                <w:sz w:val="28"/>
                <w:szCs w:val="24"/>
              </w:rPr>
              <w:t>Высокое</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9E64C24">
            <w:pPr>
              <w:spacing w:before="0" w:after="0" w:line="240" w:lineRule="auto"/>
            </w:pPr>
            <w:r>
              <w:rPr>
                <w:rFonts w:ascii="Times New Roman" w:hAnsi="Times New Roman" w:eastAsia="Times New Roman" w:cs="Times New Roman"/>
                <w:color w:val="000000"/>
                <w:sz w:val="28"/>
                <w:szCs w:val="24"/>
              </w:rPr>
              <w:t>1</w:t>
            </w:r>
          </w:p>
        </w:tc>
        <w:tc>
          <w:tcPr>
            <w:tcW w:w="29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303DC7F">
            <w:pPr>
              <w:spacing w:before="0" w:after="0" w:line="240" w:lineRule="auto"/>
            </w:pPr>
            <w:r>
              <w:rPr>
                <w:rFonts w:ascii="Times New Roman" w:hAnsi="Times New Roman" w:eastAsia="Times New Roman" w:cs="Times New Roman"/>
                <w:color w:val="000000"/>
                <w:sz w:val="28"/>
                <w:szCs w:val="24"/>
              </w:rPr>
              <w:t>Ускорение R&amp;D, патентная защита</w:t>
            </w:r>
          </w:p>
        </w:tc>
      </w:tr>
      <w:tr w14:paraId="7D7B1D59">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4969E19">
            <w:pPr>
              <w:spacing w:before="0" w:after="0" w:line="240" w:lineRule="auto"/>
            </w:pPr>
            <w:r>
              <w:rPr>
                <w:rFonts w:ascii="Times New Roman" w:hAnsi="Times New Roman" w:eastAsia="Times New Roman" w:cs="Times New Roman"/>
                <w:color w:val="000000"/>
                <w:sz w:val="28"/>
                <w:szCs w:val="24"/>
              </w:rPr>
              <w:t>Низкий темп привлечения</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13BC574">
            <w:pPr>
              <w:spacing w:before="0" w:after="0" w:line="240" w:lineRule="auto"/>
            </w:pPr>
            <w:r>
              <w:rPr>
                <w:rFonts w:ascii="Times New Roman" w:hAnsi="Times New Roman" w:eastAsia="Times New Roman" w:cs="Times New Roman"/>
                <w:color w:val="000000"/>
                <w:sz w:val="28"/>
                <w:szCs w:val="24"/>
              </w:rPr>
              <w:t>Средняя</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D12B89A">
            <w:pPr>
              <w:spacing w:before="0" w:after="0" w:line="240" w:lineRule="auto"/>
            </w:pPr>
            <w:r>
              <w:rPr>
                <w:rFonts w:ascii="Times New Roman" w:hAnsi="Times New Roman" w:eastAsia="Times New Roman" w:cs="Times New Roman"/>
                <w:color w:val="000000"/>
                <w:sz w:val="28"/>
                <w:szCs w:val="24"/>
              </w:rPr>
              <w:t>Высокое</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240AE09">
            <w:pPr>
              <w:spacing w:before="0" w:after="0" w:line="240" w:lineRule="auto"/>
            </w:pPr>
            <w:r>
              <w:rPr>
                <w:rFonts w:ascii="Times New Roman" w:hAnsi="Times New Roman" w:eastAsia="Times New Roman" w:cs="Times New Roman"/>
                <w:color w:val="000000"/>
                <w:sz w:val="28"/>
                <w:szCs w:val="24"/>
              </w:rPr>
              <w:t>2</w:t>
            </w:r>
          </w:p>
        </w:tc>
        <w:tc>
          <w:tcPr>
            <w:tcW w:w="29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6614AB1">
            <w:pPr>
              <w:spacing w:before="0" w:after="0" w:line="240" w:lineRule="auto"/>
            </w:pPr>
            <w:r>
              <w:rPr>
                <w:rFonts w:ascii="Times New Roman" w:hAnsi="Times New Roman" w:eastAsia="Times New Roman" w:cs="Times New Roman"/>
                <w:color w:val="000000"/>
                <w:sz w:val="28"/>
                <w:szCs w:val="24"/>
              </w:rPr>
              <w:t>Диверсификация каналов, пилоты</w:t>
            </w:r>
          </w:p>
        </w:tc>
      </w:tr>
      <w:tr w14:paraId="1874193D">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721D03F">
            <w:pPr>
              <w:spacing w:before="0" w:after="0" w:line="240" w:lineRule="auto"/>
            </w:pPr>
            <w:r>
              <w:rPr>
                <w:rFonts w:ascii="Times New Roman" w:hAnsi="Times New Roman" w:eastAsia="Times New Roman" w:cs="Times New Roman"/>
                <w:color w:val="000000"/>
                <w:sz w:val="28"/>
                <w:szCs w:val="24"/>
              </w:rPr>
              <w:t>Высокий churn</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73EF6E6">
            <w:pPr>
              <w:spacing w:before="0" w:after="0" w:line="240" w:lineRule="auto"/>
            </w:pPr>
            <w:r>
              <w:rPr>
                <w:rFonts w:ascii="Times New Roman" w:hAnsi="Times New Roman" w:eastAsia="Times New Roman" w:cs="Times New Roman"/>
                <w:color w:val="000000"/>
                <w:sz w:val="28"/>
                <w:szCs w:val="24"/>
              </w:rPr>
              <w:t>Средняя</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592B2B0">
            <w:pPr>
              <w:spacing w:before="0" w:after="0" w:line="240" w:lineRule="auto"/>
            </w:pPr>
            <w:r>
              <w:rPr>
                <w:rFonts w:ascii="Times New Roman" w:hAnsi="Times New Roman" w:eastAsia="Times New Roman" w:cs="Times New Roman"/>
                <w:color w:val="000000"/>
                <w:sz w:val="28"/>
                <w:szCs w:val="24"/>
              </w:rPr>
              <w:t>Высокое</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7DE01AD">
            <w:pPr>
              <w:spacing w:before="0" w:after="0" w:line="240" w:lineRule="auto"/>
            </w:pPr>
            <w:r>
              <w:rPr>
                <w:rFonts w:ascii="Times New Roman" w:hAnsi="Times New Roman" w:eastAsia="Times New Roman" w:cs="Times New Roman"/>
                <w:color w:val="000000"/>
                <w:sz w:val="28"/>
                <w:szCs w:val="24"/>
              </w:rPr>
              <w:t>3</w:t>
            </w:r>
          </w:p>
        </w:tc>
        <w:tc>
          <w:tcPr>
            <w:tcW w:w="29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AF30784">
            <w:pPr>
              <w:spacing w:before="0" w:after="0" w:line="240" w:lineRule="auto"/>
            </w:pPr>
            <w:r>
              <w:rPr>
                <w:rFonts w:ascii="Times New Roman" w:hAnsi="Times New Roman" w:eastAsia="Times New Roman" w:cs="Times New Roman"/>
                <w:color w:val="000000"/>
                <w:sz w:val="28"/>
                <w:szCs w:val="24"/>
              </w:rPr>
              <w:t>Onboarding, CS-менеджер</w:t>
            </w:r>
          </w:p>
        </w:tc>
      </w:tr>
      <w:tr w14:paraId="00DF6FC3">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8F8FB2C">
            <w:pPr>
              <w:spacing w:before="0" w:after="0" w:line="240" w:lineRule="auto"/>
            </w:pPr>
            <w:r>
              <w:rPr>
                <w:rFonts w:ascii="Times New Roman" w:hAnsi="Times New Roman" w:eastAsia="Times New Roman" w:cs="Times New Roman"/>
                <w:color w:val="000000"/>
                <w:sz w:val="28"/>
                <w:szCs w:val="24"/>
              </w:rPr>
              <w:t>Рост стоимости GPU</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2C8A1CC">
            <w:pPr>
              <w:spacing w:before="0" w:after="0" w:line="240" w:lineRule="auto"/>
            </w:pPr>
            <w:r>
              <w:rPr>
                <w:rFonts w:ascii="Times New Roman" w:hAnsi="Times New Roman" w:eastAsia="Times New Roman" w:cs="Times New Roman"/>
                <w:color w:val="000000"/>
                <w:sz w:val="28"/>
                <w:szCs w:val="24"/>
              </w:rPr>
              <w:t>Низкая</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5F3EEA5">
            <w:pPr>
              <w:spacing w:before="0" w:after="0" w:line="240" w:lineRule="auto"/>
            </w:pPr>
            <w:r>
              <w:rPr>
                <w:rFonts w:ascii="Times New Roman" w:hAnsi="Times New Roman" w:eastAsia="Times New Roman" w:cs="Times New Roman"/>
                <w:color w:val="000000"/>
                <w:sz w:val="28"/>
                <w:szCs w:val="24"/>
              </w:rPr>
              <w:t>Среднее</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A16FA20">
            <w:pPr>
              <w:spacing w:before="0" w:after="0" w:line="240" w:lineRule="auto"/>
            </w:pPr>
            <w:r>
              <w:rPr>
                <w:rFonts w:ascii="Times New Roman" w:hAnsi="Times New Roman" w:eastAsia="Times New Roman" w:cs="Times New Roman"/>
                <w:color w:val="000000"/>
                <w:sz w:val="28"/>
                <w:szCs w:val="24"/>
              </w:rPr>
              <w:t>4</w:t>
            </w:r>
          </w:p>
        </w:tc>
        <w:tc>
          <w:tcPr>
            <w:tcW w:w="29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E864A5B">
            <w:pPr>
              <w:spacing w:before="0" w:after="0" w:line="240" w:lineRule="auto"/>
            </w:pPr>
            <w:r>
              <w:rPr>
                <w:rFonts w:ascii="Times New Roman" w:hAnsi="Times New Roman" w:eastAsia="Times New Roman" w:cs="Times New Roman"/>
                <w:color w:val="000000"/>
                <w:sz w:val="28"/>
                <w:szCs w:val="24"/>
              </w:rPr>
              <w:t>Оптимизация модели, гибрид</w:t>
            </w:r>
          </w:p>
        </w:tc>
      </w:tr>
      <w:tr w14:paraId="3BB9B6A6">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6CF3222">
            <w:pPr>
              <w:spacing w:before="0" w:after="0" w:line="240" w:lineRule="auto"/>
            </w:pPr>
            <w:r>
              <w:rPr>
                <w:rFonts w:ascii="Times New Roman" w:hAnsi="Times New Roman" w:eastAsia="Times New Roman" w:cs="Times New Roman"/>
                <w:color w:val="000000"/>
                <w:sz w:val="28"/>
                <w:szCs w:val="24"/>
              </w:rPr>
              <w:t>Кадровые потери</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5C2EEDD">
            <w:pPr>
              <w:spacing w:before="0" w:after="0" w:line="240" w:lineRule="auto"/>
            </w:pPr>
            <w:r>
              <w:rPr>
                <w:rFonts w:ascii="Times New Roman" w:hAnsi="Times New Roman" w:eastAsia="Times New Roman" w:cs="Times New Roman"/>
                <w:color w:val="000000"/>
                <w:sz w:val="28"/>
                <w:szCs w:val="24"/>
              </w:rPr>
              <w:t>Средняя</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2524F37">
            <w:pPr>
              <w:spacing w:before="0" w:after="0" w:line="240" w:lineRule="auto"/>
            </w:pPr>
            <w:r>
              <w:rPr>
                <w:rFonts w:ascii="Times New Roman" w:hAnsi="Times New Roman" w:eastAsia="Times New Roman" w:cs="Times New Roman"/>
                <w:color w:val="000000"/>
                <w:sz w:val="28"/>
                <w:szCs w:val="24"/>
              </w:rPr>
              <w:t>Высокое</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AB5D8A4">
            <w:pPr>
              <w:spacing w:before="0" w:after="0" w:line="240" w:lineRule="auto"/>
            </w:pPr>
            <w:r>
              <w:rPr>
                <w:rFonts w:ascii="Times New Roman" w:hAnsi="Times New Roman" w:eastAsia="Times New Roman" w:cs="Times New Roman"/>
                <w:color w:val="000000"/>
                <w:sz w:val="28"/>
                <w:szCs w:val="24"/>
              </w:rPr>
              <w:t>5</w:t>
            </w:r>
          </w:p>
        </w:tc>
        <w:tc>
          <w:tcPr>
            <w:tcW w:w="29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D450410">
            <w:pPr>
              <w:spacing w:before="0" w:after="0" w:line="240" w:lineRule="auto"/>
            </w:pPr>
            <w:r>
              <w:rPr>
                <w:rFonts w:ascii="Times New Roman" w:hAnsi="Times New Roman" w:eastAsia="Times New Roman" w:cs="Times New Roman"/>
                <w:color w:val="000000"/>
                <w:sz w:val="28"/>
                <w:szCs w:val="24"/>
              </w:rPr>
              <w:t>ESOP, документирование</w:t>
            </w:r>
          </w:p>
        </w:tc>
      </w:tr>
      <w:tr w14:paraId="07F1299B">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EA0DA2A">
            <w:pPr>
              <w:spacing w:before="0" w:after="0" w:line="240" w:lineRule="auto"/>
            </w:pPr>
            <w:r>
              <w:rPr>
                <w:rFonts w:ascii="Times New Roman" w:hAnsi="Times New Roman" w:eastAsia="Times New Roman" w:cs="Times New Roman"/>
                <w:color w:val="000000"/>
                <w:sz w:val="28"/>
                <w:szCs w:val="24"/>
              </w:rPr>
              <w:t>Регуляторные изменения (ПД)</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BDE719F">
            <w:pPr>
              <w:spacing w:before="0" w:after="0" w:line="240" w:lineRule="auto"/>
            </w:pPr>
            <w:r>
              <w:rPr>
                <w:rFonts w:ascii="Times New Roman" w:hAnsi="Times New Roman" w:eastAsia="Times New Roman" w:cs="Times New Roman"/>
                <w:color w:val="000000"/>
                <w:sz w:val="28"/>
                <w:szCs w:val="24"/>
              </w:rPr>
              <w:t>Низкая</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FB9BDF8">
            <w:pPr>
              <w:spacing w:before="0" w:after="0" w:line="240" w:lineRule="auto"/>
            </w:pPr>
            <w:r>
              <w:rPr>
                <w:rFonts w:ascii="Times New Roman" w:hAnsi="Times New Roman" w:eastAsia="Times New Roman" w:cs="Times New Roman"/>
                <w:color w:val="000000"/>
                <w:sz w:val="28"/>
                <w:szCs w:val="24"/>
              </w:rPr>
              <w:t>Среднее</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3B9D1CD">
            <w:pPr>
              <w:spacing w:before="0" w:after="0" w:line="240" w:lineRule="auto"/>
            </w:pPr>
            <w:r>
              <w:rPr>
                <w:rFonts w:ascii="Times New Roman" w:hAnsi="Times New Roman" w:eastAsia="Times New Roman" w:cs="Times New Roman"/>
                <w:color w:val="000000"/>
                <w:sz w:val="28"/>
                <w:szCs w:val="24"/>
              </w:rPr>
              <w:t>6</w:t>
            </w:r>
          </w:p>
        </w:tc>
        <w:tc>
          <w:tcPr>
            <w:tcW w:w="29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AB25EF1">
            <w:pPr>
              <w:spacing w:before="0" w:after="0" w:line="240" w:lineRule="auto"/>
            </w:pPr>
            <w:r>
              <w:rPr>
                <w:rFonts w:ascii="Times New Roman" w:hAnsi="Times New Roman" w:eastAsia="Times New Roman" w:cs="Times New Roman"/>
                <w:color w:val="000000"/>
                <w:sz w:val="28"/>
                <w:szCs w:val="24"/>
              </w:rPr>
              <w:t>Юр. аудит, compliance</w:t>
            </w:r>
          </w:p>
        </w:tc>
      </w:tr>
    </w:tbl>
    <w:p w14:paraId="49D5E1EB">
      <w:pPr>
        <w:spacing w:before="0" w:after="0" w:line="360" w:lineRule="auto"/>
      </w:pPr>
    </w:p>
    <w:p w14:paraId="2D48E092">
      <w:pPr>
        <w:spacing w:before="0" w:after="0" w:line="360" w:lineRule="auto"/>
        <w:ind w:firstLine="708"/>
        <w:jc w:val="both"/>
      </w:pPr>
      <w:r>
        <w:rPr>
          <w:rFonts w:ascii="Times New Roman" w:hAnsi="Times New Roman" w:eastAsia="Times New Roman" w:cs="Times New Roman"/>
          <w:color w:val="000000"/>
          <w:sz w:val="28"/>
          <w:szCs w:val="28"/>
        </w:rPr>
        <w:t>Самый значимый рыночный риск — появление конкурентного продукта, использующего аналогичные или более совершенные ИИ-технологии для генерации видеомэппинга. Вероятность этого риска высокая: ИИ всё активнее внедряется в творческие инструменты. Что мы делаем для его снижения: ускоряем разработку продукта и расширяем библиотеку эффектов; формирование сообщества пользователей и экосистемы (lock-in эффект); подача заявки на патент на метод нейросетевой генерации карты глубины для видеомэппинга; построение партнёрских отношений с производителями проекционного оборудования [33, 34].</w:t>
      </w:r>
    </w:p>
    <w:p w14:paraId="5FDBFF9A">
      <w:pPr>
        <w:spacing w:before="0" w:after="0" w:line="360" w:lineRule="auto"/>
        <w:ind w:firstLine="708"/>
        <w:jc w:val="both"/>
      </w:pPr>
      <w:r>
        <w:rPr>
          <w:rFonts w:ascii="Times New Roman" w:hAnsi="Times New Roman" w:eastAsia="Times New Roman" w:cs="Times New Roman"/>
          <w:color w:val="000000"/>
          <w:sz w:val="28"/>
          <w:szCs w:val="28"/>
        </w:rPr>
        <w:t>Технологический риск роста стоимости GPU-вычислений я оцениваю как низкий: облачные GPU-сервисы в целом дешевеют. Тем не менее для хеджирования этого риска мы планируем оптимизировать нейросетевую модель: сократить время инференса до 8 минут вместо текущих 13 и перейти на более экономичные архитектуры (EfficientNet, MobileNet) без существенной потери качества [26].</w:t>
      </w:r>
    </w:p>
    <w:p w14:paraId="15E9AA7D">
      <w:pPr>
        <w:spacing w:before="0" w:after="0" w:line="360" w:lineRule="auto"/>
        <w:ind w:firstLine="708"/>
        <w:jc w:val="both"/>
      </w:pPr>
      <w:r>
        <w:rPr>
          <w:rFonts w:ascii="Times New Roman" w:hAnsi="Times New Roman" w:eastAsia="Times New Roman" w:cs="Times New Roman"/>
          <w:color w:val="000000"/>
          <w:sz w:val="28"/>
          <w:szCs w:val="28"/>
        </w:rPr>
        <w:t>Риск кассового разрыва мы минимизируем за счёт поэтапной стратегии финансирования и короткого CAC Payback (1,4 месяца). Дополнительная мера — финансовый резерв в размере 30% от прогнозируемого максимального отрицательного денежного потока. Этот резерв уже учтён в расчёте потребности в инвестициях: 4,7 млн руб. = 3,6 млн руб. + 30% [27, 28].</w:t>
      </w:r>
    </w:p>
    <w:p w14:paraId="403E3455">
      <w:pPr>
        <w:spacing w:before="0" w:after="0" w:line="360" w:lineRule="auto"/>
        <w:ind w:firstLine="708"/>
        <w:jc w:val="both"/>
      </w:pPr>
      <w:r>
        <w:rPr>
          <w:rFonts w:ascii="Times New Roman" w:hAnsi="Times New Roman" w:eastAsia="Times New Roman" w:cs="Times New Roman"/>
          <w:color w:val="000000"/>
          <w:sz w:val="28"/>
          <w:szCs w:val="28"/>
        </w:rPr>
        <w:t>Кадровый риск критичен для стартапа ранней стадии с небольшой командой. Уход ключевого разработчика может серьёзно затормозить развитие продукта. Что мы делаем: внедряем опционную программу (ESOP) с вестингом 4 года для ключевых сотрудников; полностью документируем кодовую базу и архитектурные решения; используем стандартные технологические стеки (Python, PyTorch), чтобы упростить найм замены [33, 35].</w:t>
      </w:r>
    </w:p>
    <w:p w14:paraId="2D6A8030">
      <w:pPr>
        <w:spacing w:before="0" w:after="0" w:line="360" w:lineRule="auto"/>
        <w:ind w:firstLine="708"/>
        <w:jc w:val="both"/>
      </w:pPr>
      <w:r>
        <w:rPr>
          <w:rFonts w:ascii="Times New Roman" w:hAnsi="Times New Roman" w:eastAsia="Times New Roman" w:cs="Times New Roman"/>
          <w:color w:val="000000"/>
          <w:sz w:val="28"/>
          <w:szCs w:val="28"/>
        </w:rPr>
        <w:t>Правовой риск, связанный с обработкой персональных данных пользователей, я оцениваю как низкий. ПО не собирает и не обрабатывает персональные данные конечных потребителей. Те данные, которые обрабатываются (фотографии объектов, карты глубины, анимации), не относятся к персональным данным в смысле Федерального закона № 152-ФЗ. Тем не менее, при масштабировании на международные рынки потребуется обеспечение соответствия GDPR и локальным требованиям [34].</w:t>
      </w:r>
    </w:p>
    <w:p w14:paraId="69C48D13">
      <w:pPr>
        <w:spacing w:before="0" w:after="0" w:line="360" w:lineRule="auto"/>
        <w:ind w:firstLine="708"/>
        <w:jc w:val="both"/>
      </w:pPr>
      <w:r>
        <w:rPr>
          <w:rFonts w:ascii="Times New Roman" w:hAnsi="Times New Roman" w:eastAsia="Times New Roman" w:cs="Times New Roman"/>
          <w:color w:val="000000"/>
          <w:sz w:val="28"/>
          <w:szCs w:val="28"/>
        </w:rPr>
        <w:t>Интегральная оценка риска проекта — средневзвешенное произведение вероятностей и потенциального ущерба по всем выявленным рискам — составляет 2,8 балла из 5. Это умеренный уровень риска. С учётом мероприятий по снижению ожидаемый остаточный уровень — 1,6 балла, то есть приемлемый [33].</w:t>
      </w:r>
    </w:p>
    <w:p w14:paraId="3464F15D">
      <w:pPr>
        <w:spacing w:before="0" w:after="0" w:line="360" w:lineRule="auto"/>
        <w:ind w:firstLine="708"/>
        <w:jc w:val="both"/>
      </w:pPr>
      <w:r>
        <w:rPr>
          <w:rFonts w:ascii="Times New Roman" w:hAnsi="Times New Roman" w:eastAsia="Times New Roman" w:cs="Times New Roman"/>
          <w:color w:val="000000"/>
          <w:sz w:val="28"/>
          <w:szCs w:val="28"/>
        </w:rPr>
        <w:t>Чтобы количественно оценить влияние рисков на финансовые показатели, я провёл стресс-тест финансовой модели. Моделирование методом Монте-Карло (10 000 итераций) с варьированием ключевых параметров — ARPU ±30%, churn ±50%, темп привлечения ±40% — показало: вероятность достижения положительного NPV — 89%, вероятность достижения BEP в течение 24 месяцев — 78%. Медианное значение NPV по результатам симуляции — 15,2 млн руб. при стандартном отклонении 8,4 млн руб. [31, 33].</w:t>
      </w:r>
    </w:p>
    <w:p w14:paraId="1F8C4000">
      <w:pPr>
        <w:spacing w:before="0" w:after="0" w:line="360" w:lineRule="auto"/>
        <w:ind w:firstLine="708"/>
        <w:jc w:val="both"/>
      </w:pPr>
      <w:r>
        <w:rPr>
          <w:rFonts w:ascii="Times New Roman" w:hAnsi="Times New Roman" w:eastAsia="Times New Roman" w:cs="Times New Roman"/>
          <w:color w:val="000000"/>
          <w:sz w:val="28"/>
          <w:szCs w:val="28"/>
        </w:rPr>
        <w:t>Стратегия защиты интеллектуальной собственности включает пять мероприятий. Первое — регистрация программы для ЭВМ в Роспатенте (срок 2–3 месяца, стоимость ~5 тыс. руб.). Второе — подача заявки на изобретение (метод автоматической генерации карты глубины для проекционного мэппинга), срок рассмотрения 12–18 месяцев. Третье — регистрация товарного знака «Эксперимент 619» / «Experiment 619». Четвёртое — заключение NDA со всеми сотрудниками и подрядчиками. Пятое — использование лицензионных соглашений SaaS-типа (EULA) с ограничением реверс-инжиниринга [34, 35].</w:t>
      </w:r>
    </w:p>
    <w:p w14:paraId="627FF0DA">
      <w:pPr>
        <w:spacing w:before="0" w:after="0" w:line="360" w:lineRule="auto"/>
        <w:ind w:firstLine="708"/>
        <w:jc w:val="both"/>
      </w:pPr>
      <w:r>
        <w:rPr>
          <w:rFonts w:ascii="Times New Roman" w:hAnsi="Times New Roman" w:eastAsia="Times New Roman" w:cs="Times New Roman"/>
          <w:color w:val="000000"/>
          <w:sz w:val="28"/>
          <w:szCs w:val="28"/>
        </w:rPr>
        <w:t>Маркетинговая стратегия на этапе роста — это формирование экспертного позиционирования стартапа в профессиональном сообществе. Мы планируем публиковать экспертные статьи на профильных площадках (Event.ru, ProSvet.media), выступать спикерами на отраслевых конференциях (ProMediaTech, LDI) и развивать YouTube-канал с обучающим контентом по видеомэппингу. Контент-маркетинг направлен на формирование органического трафика и снижение CAC в долгосрочной перспективе [23, 32].</w:t>
      </w:r>
    </w:p>
    <w:p w14:paraId="6147C584">
      <w:pPr>
        <w:spacing w:before="0" w:after="0" w:line="360" w:lineRule="auto"/>
        <w:ind w:firstLine="708"/>
        <w:jc w:val="both"/>
      </w:pPr>
      <w:r>
        <w:rPr>
          <w:rFonts w:ascii="Times New Roman" w:hAnsi="Times New Roman" w:eastAsia="Times New Roman" w:cs="Times New Roman"/>
          <w:color w:val="000000"/>
          <w:sz w:val="28"/>
          <w:szCs w:val="28"/>
        </w:rPr>
        <w:t>Чтобы обеспечить масштабируемость продаж на этапе роста, мы внедрим CRM-систему (amoCRM или Bitrix24) с настройкой автоматизированной воронки продаж. Воронка включает следующие этапы: лид (входящее обращение) → квалификация (определение потребности и бюджета) → демонстрация продукта (онлайн-презентация, 30 минут) → пилотный период (7–14 дней бесплатного доступа) → оплата подписки. Конверсии прогнозируются такие: лид → квалификация — 60%, квалификация → демо — 50%, демо → пилот — 70%, пилот → оплата — 65%. Итоговая конверсия лид → оплата — около 14% [23].</w:t>
      </w:r>
    </w:p>
    <w:p w14:paraId="19714F7E">
      <w:pPr>
        <w:spacing w:before="0" w:after="0" w:line="360" w:lineRule="auto"/>
        <w:ind w:firstLine="708"/>
        <w:jc w:val="both"/>
      </w:pPr>
      <w:r>
        <w:rPr>
          <w:rFonts w:ascii="Times New Roman" w:hAnsi="Times New Roman" w:eastAsia="Times New Roman" w:cs="Times New Roman"/>
          <w:color w:val="000000"/>
          <w:sz w:val="28"/>
          <w:szCs w:val="28"/>
        </w:rPr>
        <w:t>Оценка конкурентных преимуществ с точки зрения устойчивости (competitive moat) выявляет следующие защитные барьеры. Технологический барьер: для создания конкурентного продукта необходимо воспроизвести ML-пайплайн генерации карты глубины и библиотеку эффектов, что требует 12–18 месяцев разработки и команды из 3–5 ML-инженеров. Барьер переключения: интеграция ПО в рабочие процессы клиента, накопление пользовательских данных и привыкание к интерфейсу создают lock-in эффект. Сетевой эффект: с ростом базы пользователей формируется сообщество, создающее и делящееся пользовательскими эффектами, что увеличивает ценность продукта для новых пользователей [32, 35].</w:t>
      </w:r>
    </w:p>
    <w:p w14:paraId="2B0355E3">
      <w:pPr>
        <w:spacing w:before="0" w:after="0" w:line="360" w:lineRule="auto"/>
        <w:ind w:firstLine="708"/>
        <w:jc w:val="both"/>
      </w:pPr>
      <w:r>
        <w:rPr>
          <w:rFonts w:ascii="Times New Roman" w:hAnsi="Times New Roman" w:eastAsia="Times New Roman" w:cs="Times New Roman"/>
          <w:color w:val="000000"/>
          <w:sz w:val="28"/>
          <w:szCs w:val="28"/>
        </w:rPr>
        <w:t>Анализ конкурентного ответа показывает, что наиболее вероятным конкурентным действием является добавление AI-функциональности в существующие продукты (MadMapper, Resolume). Однако данные продукты ориентированы на профессионалов и имеют сложные интерфейсы, что ограничивает их привлекательность для целевой аудитории «Эксперимент 619» — менеджеров проектов без опыта 3D-моделирования. Кроме того, интеграция ML-моделей в существующие монолитные приложения представляет существенную техническую сложность, что создаёт временное окно для стартапа в 18–24 месяца [4, 8, 9, 10].</w:t>
      </w:r>
    </w:p>
    <w:p w14:paraId="3A02B963">
      <w:pPr>
        <w:spacing w:before="0" w:after="0" w:line="360" w:lineRule="auto"/>
        <w:ind w:firstLine="708"/>
        <w:jc w:val="both"/>
      </w:pPr>
      <w:r>
        <w:rPr>
          <w:rFonts w:ascii="Times New Roman" w:hAnsi="Times New Roman" w:eastAsia="Times New Roman" w:cs="Times New Roman"/>
          <w:color w:val="000000"/>
          <w:sz w:val="28"/>
          <w:szCs w:val="28"/>
        </w:rPr>
        <w:t>Правовой анализ продукта подтвердил соответствие требованиям российского законодательства. Программное обеспечение не обрабатывает персональные данные в понимании ФЗ-152, поскольку оперирует исключительно фотографиями объектов (зданий, интерьеров) и сгенерированным контентом. Для включения в Единый реестр российских программ для ЭВМ необходимо подать заявку в Минцифры, что даёт преимущество при работе с государственными заказчиками (музеи, образовательные учреждения) [34].</w:t>
      </w:r>
    </w:p>
    <w:p w14:paraId="158ECF3A">
      <w:pPr>
        <w:spacing w:before="0" w:after="0" w:line="360" w:lineRule="auto"/>
        <w:ind w:firstLine="708"/>
        <w:jc w:val="both"/>
      </w:pPr>
      <w:r>
        <w:rPr>
          <w:rFonts w:ascii="Times New Roman" w:hAnsi="Times New Roman" w:eastAsia="Times New Roman" w:cs="Times New Roman"/>
          <w:color w:val="000000"/>
          <w:sz w:val="28"/>
          <w:szCs w:val="28"/>
        </w:rPr>
        <w:t>Стратегия работы с ключевыми клиентами (Key Account Management) предусматривает выделение TOP-20 клиентов с наибольшим потенциалом LTV и назначение персональных менеджеров для каждого из них. Для ключевых клиентов планируется предоставление расширенного пакета услуг: приоритетная техническая поддержка (SLA 2 часа), участие в бета-тестировании новых функций, ежемесячные бизнес-обзоры с оценкой ROI от использования продукта. Данная стратегия направлена на максимизацию NRR (Net Revenue Retention) и снижение churn в наиболее ценном сегменте [19, 22].</w:t>
      </w:r>
    </w:p>
    <w:p w14:paraId="22B0A9C1">
      <w:pPr>
        <w:spacing w:before="0" w:after="0" w:line="360" w:lineRule="auto"/>
        <w:ind w:firstLine="708"/>
        <w:jc w:val="both"/>
      </w:pPr>
      <w:r>
        <w:rPr>
          <w:rFonts w:ascii="Times New Roman" w:hAnsi="Times New Roman" w:eastAsia="Times New Roman" w:cs="Times New Roman"/>
          <w:color w:val="000000"/>
          <w:sz w:val="28"/>
          <w:szCs w:val="28"/>
        </w:rPr>
        <w:t>Оценка социально-экономического эффекта проекта показывает, что успешная реализация стратегии коммерциализации обеспечит создание 8–12 рабочих мест в сфере высоких технологий в течение первых трёх лет, привлечение инвестиций в размере 20–30 млн руб. в экономику Санкт-Петербурга, повышение доступности технологии видеомэппинга для малого и среднего бизнеса. Дополнительным социальным эффектом является демократизация креативных технологий: продукт позволяет компаниям без собственного штата 3D-специалистов использовать видеомэппинг для коммуникации с аудиторией [3, 7].</w:t>
      </w:r>
    </w:p>
    <w:p w14:paraId="6E6D281A">
      <w:pPr>
        <w:spacing w:before="0" w:after="0" w:line="360" w:lineRule="auto"/>
        <w:ind w:firstLine="708"/>
        <w:jc w:val="both"/>
      </w:pPr>
      <w:r>
        <w:rPr>
          <w:rFonts w:ascii="Times New Roman" w:hAnsi="Times New Roman" w:eastAsia="Times New Roman" w:cs="Times New Roman"/>
          <w:color w:val="000000"/>
          <w:sz w:val="28"/>
          <w:szCs w:val="28"/>
        </w:rPr>
        <w:t>Рекомендации по практической реализации стратегии коммерциализации включают следующие приоритетные действия. Первое — в течение первых трёх месяцев сосредоточить усилия на доработке MVP до бета-версии и привлечении пяти пилотных клиентов для валидации PMF. Второе — параллельно подготовить заявку на грант ФСИ (программа «Студенческий стартап») и инвестиционную презентацию для ангельского раунда. Третье — с шестого месяца запустить продажи и контент-маркетинг с целью достижения BEP к четырнадцатому месяцу. Четвёртое — к концу первого года инициировать процесс привлечения seed-раунда для финансирования фазы масштабирования [29, 30, 32].</w:t>
      </w:r>
    </w:p>
    <w:p w14:paraId="6CA86939">
      <w:pPr>
        <w:pStyle w:val="3"/>
        <w:spacing w:before="0" w:after="0" w:line="360" w:lineRule="auto"/>
        <w:ind w:firstLine="708"/>
        <w:jc w:val="left"/>
      </w:pPr>
      <w:bookmarkStart w:id="17" w:name="_Toc138366037"/>
      <w:r>
        <w:rPr>
          <w:rFonts w:ascii="Times New Roman" w:hAnsi="Times New Roman" w:eastAsia="Times New Roman" w:cs="Times New Roman"/>
          <w:b/>
          <w:color w:val="000000"/>
          <w:sz w:val="28"/>
          <w:szCs w:val="28"/>
        </w:rPr>
        <w:t>Выводы по главе 3</w:t>
      </w:r>
      <w:bookmarkEnd w:id="17"/>
    </w:p>
    <w:p w14:paraId="13D9B29C">
      <w:pPr>
        <w:spacing w:before="0" w:after="0" w:line="360" w:lineRule="auto"/>
        <w:ind w:firstLine="708"/>
        <w:jc w:val="both"/>
      </w:pPr>
      <w:r>
        <w:rPr>
          <w:rFonts w:ascii="Times New Roman" w:hAnsi="Times New Roman" w:eastAsia="Times New Roman" w:cs="Times New Roman"/>
          <w:color w:val="000000"/>
          <w:sz w:val="28"/>
          <w:szCs w:val="28"/>
        </w:rPr>
        <w:t>Оценка экономической эффективности и разработка стратегии коммерциализации привели к следующим результатам.</w:t>
      </w:r>
    </w:p>
    <w:p w14:paraId="21A5CABD">
      <w:pPr>
        <w:spacing w:before="0" w:after="0" w:line="360" w:lineRule="auto"/>
        <w:ind w:firstLine="708"/>
        <w:jc w:val="both"/>
      </w:pPr>
      <w:r>
        <w:rPr>
          <w:rFonts w:ascii="Times New Roman" w:hAnsi="Times New Roman" w:eastAsia="Times New Roman" w:cs="Times New Roman"/>
          <w:color w:val="000000"/>
          <w:sz w:val="28"/>
          <w:szCs w:val="28"/>
        </w:rPr>
        <w:t>Инвестиционные показатели подтверждают высокую экономическую эффективность проекта: NPV = 18,7 млн руб. в базовом сценарии, IRR = 87%, PI = 5,0, DPP = 28 месяцев. Все показатели остаются положительными во всех трёх сценариях, включая пессимистичный (NPV = 3,2 млн руб.).</w:t>
      </w:r>
    </w:p>
    <w:p w14:paraId="705F73BF">
      <w:pPr>
        <w:spacing w:before="0" w:after="0" w:line="360" w:lineRule="auto"/>
        <w:ind w:firstLine="708"/>
        <w:jc w:val="both"/>
      </w:pPr>
      <w:r>
        <w:rPr>
          <w:rFonts w:ascii="Times New Roman" w:hAnsi="Times New Roman" w:eastAsia="Times New Roman" w:cs="Times New Roman"/>
          <w:color w:val="000000"/>
          <w:sz w:val="28"/>
          <w:szCs w:val="28"/>
        </w:rPr>
        <w:t>Анализ чувствительности показал, что наибольшее влияние на NPV оказывают ARPU и темп привлечения клиентов. NPV остаётся положительным даже при одновременном ухудшении двух ключевых параметров на 20%.</w:t>
      </w:r>
    </w:p>
    <w:p w14:paraId="18E86458">
      <w:pPr>
        <w:spacing w:before="0" w:after="0" w:line="360" w:lineRule="auto"/>
        <w:ind w:firstLine="708"/>
        <w:jc w:val="both"/>
      </w:pPr>
      <w:r>
        <w:rPr>
          <w:rFonts w:ascii="Times New Roman" w:hAnsi="Times New Roman" w:eastAsia="Times New Roman" w:cs="Times New Roman"/>
          <w:color w:val="000000"/>
          <w:sz w:val="28"/>
          <w:szCs w:val="28"/>
        </w:rPr>
        <w:t>Стратегия выхода на рынок включает три этапа: пилотный запуск (5–10 клиентов, валидация PMF), органический рост (210 подписчиков, BEP) и масштабирование (500+ подписчиков, рынки СНГ и MENA). Апробация на трёх пилотных проектах подтвердила сокращение времени создания контента на 78% и экономию от 120 до 520 тыс. руб. на проект.</w:t>
      </w:r>
    </w:p>
    <w:p w14:paraId="265E447C">
      <w:pPr>
        <w:spacing w:before="0" w:after="0" w:line="360" w:lineRule="auto"/>
        <w:ind w:firstLine="708"/>
        <w:jc w:val="both"/>
      </w:pPr>
      <w:r>
        <w:rPr>
          <w:rFonts w:ascii="Times New Roman" w:hAnsi="Times New Roman" w:eastAsia="Times New Roman" w:cs="Times New Roman"/>
          <w:color w:val="000000"/>
          <w:sz w:val="28"/>
          <w:szCs w:val="28"/>
        </w:rPr>
        <w:t>Я выделил 12 ключевых рисков с интегральной оценкой 2,8 из 5. Предложенные мероприятия снижают остаточный уровень риска до 1,6 — приемлемого. Приоритетные риски — конкурентное давление (отвечаем ускорением R&amp;D и патентной защитой) и темп привлечения клиентов (отвечаем диверсификацией каналов).</w:t>
      </w:r>
    </w:p>
    <w:p w14:paraId="65C7F6FB">
      <w:pPr>
        <w:spacing w:before="0" w:after="0" w:line="360" w:lineRule="auto"/>
      </w:pPr>
      <w:r>
        <w:rPr>
          <w:rFonts w:ascii="Times New Roman" w:hAnsi="Times New Roman" w:eastAsia="Times New Roman" w:cs="Times New Roman"/>
          <w:color w:val="000000"/>
          <w:sz w:val="28"/>
        </w:rPr>
        <w:br w:type="page"/>
      </w:r>
    </w:p>
    <w:p w14:paraId="78B27D57">
      <w:pPr>
        <w:pStyle w:val="2"/>
        <w:pageBreakBefore/>
        <w:spacing w:before="0" w:after="0" w:line="360" w:lineRule="auto"/>
        <w:jc w:val="center"/>
      </w:pPr>
      <w:bookmarkStart w:id="18" w:name="_Toc1940677805"/>
      <w:r>
        <w:rPr>
          <w:rFonts w:ascii="Times New Roman" w:hAnsi="Times New Roman" w:eastAsia="Times New Roman" w:cs="Times New Roman"/>
          <w:b/>
          <w:color w:val="000000"/>
          <w:sz w:val="28"/>
          <w:szCs w:val="28"/>
        </w:rPr>
        <w:t>ЗАКЛЮЧЕНИЕ</w:t>
      </w:r>
      <w:bookmarkEnd w:id="18"/>
    </w:p>
    <w:p w14:paraId="727F5954">
      <w:pPr>
        <w:spacing w:before="0" w:after="0" w:line="360" w:lineRule="auto"/>
        <w:ind w:firstLine="708"/>
        <w:jc w:val="both"/>
      </w:pPr>
      <w:r>
        <w:rPr>
          <w:rFonts w:ascii="Times New Roman" w:hAnsi="Times New Roman" w:eastAsia="Times New Roman" w:cs="Times New Roman"/>
          <w:color w:val="000000"/>
          <w:sz w:val="28"/>
          <w:szCs w:val="28"/>
        </w:rPr>
        <w:t>Магистерская диссертация посвящена разработке бизнес-модели и стратегии коммерциализации программного обеспечения для оптимизированного создания видеомэппинга — на примере стартапа «Эксперимент 619». Все поставленные задачи решены, цель работы достигнута. Ниже сформулированы ключевые результаты — от анализа исходного процесса к подтверждённым фактам.</w:t>
      </w:r>
    </w:p>
    <w:p w14:paraId="1A92ECEB">
      <w:pPr>
        <w:spacing w:before="0" w:after="0" w:line="360" w:lineRule="auto"/>
        <w:ind w:firstLine="708"/>
        <w:jc w:val="both"/>
      </w:pPr>
      <w:r>
        <w:rPr>
          <w:rFonts w:ascii="Times New Roman" w:hAnsi="Times New Roman" w:eastAsia="Times New Roman" w:cs="Times New Roman"/>
          <w:bCs/>
          <w:color w:val="000000"/>
          <w:sz w:val="28"/>
          <w:szCs w:val="28"/>
        </w:rPr>
        <w:t xml:space="preserve">1. </w:t>
      </w:r>
      <w:r>
        <w:rPr>
          <w:rFonts w:ascii="Times New Roman" w:hAnsi="Times New Roman" w:eastAsia="Times New Roman" w:cs="Times New Roman"/>
          <w:color w:val="000000"/>
          <w:sz w:val="28"/>
          <w:szCs w:val="28"/>
        </w:rPr>
        <w:t>Глобальный рынок проекционного мэппинга в 2024–2025 годах оценивается в 4,0–6,7 млрд долларов США при CAGR 19–23%. Сегмент программного обеспечения растёт быстрее всего — CAGR превышает 30%. Российский сегмент видеомэппинга — около 8–10 млрд руб. Основные драйверы роста: спрос на иммерсивные форматы, государственная поддержка креативных индустрий и общая цифровизация смежных отраслей.</w:t>
      </w:r>
    </w:p>
    <w:p w14:paraId="1197C186">
      <w:pPr>
        <w:spacing w:before="0" w:after="0" w:line="360" w:lineRule="auto"/>
        <w:ind w:firstLine="708"/>
        <w:jc w:val="both"/>
      </w:pPr>
      <w:r>
        <w:rPr>
          <w:rFonts w:ascii="Times New Roman" w:hAnsi="Times New Roman" w:eastAsia="Times New Roman" w:cs="Times New Roman"/>
          <w:bCs/>
          <w:color w:val="000000"/>
          <w:sz w:val="28"/>
          <w:szCs w:val="28"/>
        </w:rPr>
        <w:t xml:space="preserve">2. </w:t>
      </w:r>
      <w:r>
        <w:rPr>
          <w:rFonts w:ascii="Times New Roman" w:hAnsi="Times New Roman" w:eastAsia="Times New Roman" w:cs="Times New Roman"/>
          <w:color w:val="000000"/>
          <w:sz w:val="28"/>
          <w:szCs w:val="28"/>
        </w:rPr>
        <w:t>Ни одно из существующих программных решений (MadMapper, Resolume Arena, TouchDesigner, Blender, HeavyM) не автоматизирует ключевые этапы — построение 3D-модели и подготовку анимационных эффектов. Совокупная стоимость владения превышает 400 тыс. руб. в год, а время создания контента растягивается от нескольких дней до месяцев.</w:t>
      </w:r>
    </w:p>
    <w:p w14:paraId="05E7F678">
      <w:pPr>
        <w:spacing w:before="0" w:after="0" w:line="360" w:lineRule="auto"/>
        <w:ind w:firstLine="708"/>
        <w:jc w:val="both"/>
      </w:pPr>
      <w:r>
        <w:rPr>
          <w:rFonts w:ascii="Times New Roman" w:hAnsi="Times New Roman" w:eastAsia="Times New Roman" w:cs="Times New Roman"/>
          <w:bCs/>
          <w:color w:val="000000"/>
          <w:sz w:val="28"/>
          <w:szCs w:val="28"/>
        </w:rPr>
        <w:t xml:space="preserve">3. </w:t>
      </w:r>
      <w:r>
        <w:rPr>
          <w:rFonts w:ascii="Times New Roman" w:hAnsi="Times New Roman" w:eastAsia="Times New Roman" w:cs="Times New Roman"/>
          <w:color w:val="000000"/>
          <w:sz w:val="28"/>
          <w:szCs w:val="28"/>
        </w:rPr>
        <w:t>Внедрение ПО «Эксперимент 619» сокращает время создания видеомэппинга на 78% — с нескольких дней до 23 минут — и снижает себестоимость в 4,3 раза. Эти результаты подтверждены апробацией на трёх пилотных проектах: экономия составила от 120 до 520 тыс. руб. на проект.</w:t>
      </w:r>
    </w:p>
    <w:p w14:paraId="2EE70355">
      <w:pPr>
        <w:spacing w:before="0" w:after="0" w:line="360" w:lineRule="auto"/>
        <w:ind w:firstLine="708"/>
        <w:jc w:val="both"/>
      </w:pPr>
      <w:r>
        <w:rPr>
          <w:rFonts w:ascii="Times New Roman" w:hAnsi="Times New Roman" w:eastAsia="Times New Roman" w:cs="Times New Roman"/>
          <w:bCs/>
          <w:color w:val="000000"/>
          <w:sz w:val="28"/>
          <w:szCs w:val="28"/>
        </w:rPr>
        <w:t xml:space="preserve">4. </w:t>
      </w:r>
      <w:r>
        <w:rPr>
          <w:rFonts w:ascii="Times New Roman" w:hAnsi="Times New Roman" w:eastAsia="Times New Roman" w:cs="Times New Roman"/>
          <w:color w:val="000000"/>
          <w:sz w:val="28"/>
          <w:szCs w:val="28"/>
        </w:rPr>
        <w:t>Себестоимость одного сеанса генерации — 150 руб. при валовой марже 87%. Показатели юнит-экономики говорят о высокой коммерческой привлекательности продукта: LTV/CAC = 14,4 (при пороге &gt; 3), CAC Payback = 1,4 месяца. Анализ чувствительности показывает запас прочности модели: критический сценарий (LTV/CAC &lt; 3) возможен только при одновременном утроении CAC и сокращении срока жизни клиента вдвое.</w:t>
      </w:r>
    </w:p>
    <w:p w14:paraId="6F778E05">
      <w:pPr>
        <w:spacing w:before="0" w:after="0" w:line="360" w:lineRule="auto"/>
        <w:ind w:firstLine="708"/>
        <w:jc w:val="both"/>
      </w:pPr>
      <w:r>
        <w:rPr>
          <w:rFonts w:ascii="Times New Roman" w:hAnsi="Times New Roman" w:eastAsia="Times New Roman" w:cs="Times New Roman"/>
          <w:bCs/>
          <w:color w:val="000000"/>
          <w:sz w:val="28"/>
          <w:szCs w:val="28"/>
        </w:rPr>
        <w:t xml:space="preserve">5. </w:t>
      </w:r>
      <w:r>
        <w:rPr>
          <w:rFonts w:ascii="Times New Roman" w:hAnsi="Times New Roman" w:eastAsia="Times New Roman" w:cs="Times New Roman"/>
          <w:color w:val="000000"/>
          <w:sz w:val="28"/>
          <w:szCs w:val="28"/>
        </w:rPr>
        <w:t>Финансовая модель построена на горизонте 36 месяцев: NPV = 18,7 млн руб., IRR = 87%, дисконтированный срок окупаемости — 28 месяцев при потребности в инвестициях 4,7 млн руб. Точка безубыточности по EBITDA достигается на 14-м месяце при 210 платных подписчиках. NPV остаётся положительным во всех трёх сценариях, включая пессимистичный (3,2 млн руб.).</w:t>
      </w:r>
    </w:p>
    <w:p w14:paraId="58905438">
      <w:pPr>
        <w:spacing w:before="0" w:after="0" w:line="360" w:lineRule="auto"/>
        <w:ind w:firstLine="708"/>
        <w:jc w:val="both"/>
      </w:pPr>
      <w:r>
        <w:rPr>
          <w:rFonts w:ascii="Times New Roman" w:hAnsi="Times New Roman" w:eastAsia="Times New Roman" w:cs="Times New Roman"/>
          <w:bCs/>
          <w:color w:val="000000"/>
          <w:sz w:val="28"/>
          <w:szCs w:val="28"/>
        </w:rPr>
        <w:t xml:space="preserve">6. </w:t>
      </w:r>
      <w:r>
        <w:rPr>
          <w:rFonts w:ascii="Times New Roman" w:hAnsi="Times New Roman" w:eastAsia="Times New Roman" w:cs="Times New Roman"/>
          <w:color w:val="000000"/>
          <w:sz w:val="28"/>
          <w:szCs w:val="28"/>
        </w:rPr>
        <w:t>Стратегия выхода на рынок включает три этапа: пилотный запуск (5–10 клиентов, валидация PMF), органический рост (достижение BEP) и масштабирование (500+ клиентов, географическая экспансия в СНГ и MENA). Идентифицировано 12 ключевых рисков с интегральной оценкой 2,8 из 5; разработанные мероприятия снижают этот уровень до 1,6 — приемлемого.</w:t>
      </w:r>
    </w:p>
    <w:p w14:paraId="33FBD2AB">
      <w:pPr>
        <w:spacing w:before="0" w:after="0" w:line="360" w:lineRule="auto"/>
        <w:ind w:firstLine="708"/>
        <w:jc w:val="both"/>
      </w:pPr>
      <w:r>
        <w:rPr>
          <w:rFonts w:ascii="Times New Roman" w:hAnsi="Times New Roman" w:eastAsia="Times New Roman" w:cs="Times New Roman"/>
          <w:bCs/>
          <w:color w:val="000000"/>
          <w:sz w:val="28"/>
          <w:szCs w:val="28"/>
        </w:rPr>
        <w:t xml:space="preserve">Практическая значимость результатов подтверждается конкретными цифрами: </w:t>
      </w:r>
      <w:r>
        <w:rPr>
          <w:rFonts w:ascii="Times New Roman" w:hAnsi="Times New Roman" w:eastAsia="Times New Roman" w:cs="Times New Roman"/>
          <w:color w:val="000000"/>
          <w:sz w:val="28"/>
          <w:szCs w:val="28"/>
        </w:rPr>
        <w:t>предложенные методика и бизнес-модель сокращают время создания видеомэппинга на 78% и снижают себестоимость в 4,3 раза. Апробация на базе стартапа «Эксперимент 619» показала среднюю экономию 350 тыс. руб. на проект при NPS = 52 балла.</w:t>
      </w:r>
    </w:p>
    <w:p w14:paraId="5ECDBA4B">
      <w:pPr>
        <w:spacing w:before="0" w:after="0" w:line="360" w:lineRule="auto"/>
        <w:ind w:firstLine="708"/>
        <w:jc w:val="both"/>
      </w:pPr>
      <w:r>
        <w:rPr>
          <w:rFonts w:ascii="Times New Roman" w:hAnsi="Times New Roman" w:eastAsia="Times New Roman" w:cs="Times New Roman"/>
          <w:bCs/>
          <w:color w:val="000000"/>
          <w:sz w:val="28"/>
          <w:szCs w:val="28"/>
        </w:rPr>
        <w:t xml:space="preserve">Перспективы дальнейших исследований. </w:t>
      </w:r>
      <w:r>
        <w:rPr>
          <w:rFonts w:ascii="Times New Roman" w:hAnsi="Times New Roman" w:eastAsia="Times New Roman" w:cs="Times New Roman"/>
          <w:color w:val="000000"/>
          <w:sz w:val="28"/>
          <w:szCs w:val="28"/>
        </w:rPr>
        <w:t>Полученные результаты применимы и в смежных отраслях креативных технологий: в AR/VR-контенте, цифровых декорациях для кинематографа, интерактивных музейных инсталляциях. Перспективное направление — изучить, как генеративные нейронные сети (Stable Diffusion, DALL-E) можно использовать для автоматической генерации текстур и эффектов; это дополнительно снизит себестоимость и расширит функциональность продукта. За периметром настоящего исследования остались темы, заслуживающие отдельного изучения: влияние regulatory sandbox для креативных технологий на скорость коммерциализации; кросс-платформенная интеграция с AR-устройствами (Apple Vision Pro, Meta Quest); модели совместного использования GPU-ресурсов в кластерах для снижения инфраструктурных затрат.</w:t>
      </w:r>
    </w:p>
    <w:p w14:paraId="1570B6BA">
      <w:pPr>
        <w:pStyle w:val="2"/>
        <w:pageBreakBefore/>
        <w:spacing w:before="0" w:after="0" w:line="360" w:lineRule="auto"/>
        <w:jc w:val="center"/>
      </w:pPr>
      <w:bookmarkStart w:id="19" w:name="_Toc990237999"/>
      <w:r>
        <w:rPr>
          <w:rFonts w:ascii="Times New Roman" w:hAnsi="Times New Roman" w:eastAsia="Times New Roman" w:cs="Times New Roman"/>
          <w:b/>
          <w:color w:val="000000"/>
          <w:sz w:val="28"/>
          <w:szCs w:val="28"/>
        </w:rPr>
        <w:t>СПИСОК ИСПОЛЬЗОВАННЫХ ИСТОЧНИКОВ</w:t>
      </w:r>
      <w:bookmarkEnd w:id="19"/>
    </w:p>
    <w:p w14:paraId="048A42FC">
      <w:pPr>
        <w:spacing w:before="0" w:after="0" w:line="360" w:lineRule="auto"/>
        <w:ind w:firstLine="708"/>
        <w:jc w:val="both"/>
        <w:rPr>
          <w:lang w:val="en-US"/>
        </w:rPr>
      </w:pPr>
      <w:r>
        <w:rPr>
          <w:rFonts w:ascii="Times New Roman" w:hAnsi="Times New Roman" w:eastAsia="Times New Roman" w:cs="Times New Roman"/>
          <w:color w:val="000000"/>
          <w:sz w:val="28"/>
          <w:szCs w:val="28"/>
          <w:lang w:val="en-US"/>
        </w:rPr>
        <w:t>1. Projection mapping market — share, size, trends and industry analysis [Электронный ресурс] // Mordor Intelligence : сайт. — 2025. — URL: https://www.mordorintelligence.com/industry-reports/projection-mapping-market (дата обращения: 10.04.2026).</w:t>
      </w:r>
    </w:p>
    <w:p w14:paraId="536EFFAD">
      <w:pPr>
        <w:spacing w:before="0" w:after="0" w:line="360" w:lineRule="auto"/>
        <w:ind w:firstLine="708"/>
        <w:jc w:val="both"/>
        <w:rPr>
          <w:lang w:val="en-US"/>
        </w:rPr>
      </w:pPr>
      <w:r>
        <w:rPr>
          <w:rFonts w:ascii="Times New Roman" w:hAnsi="Times New Roman" w:eastAsia="Times New Roman" w:cs="Times New Roman"/>
          <w:color w:val="000000"/>
          <w:sz w:val="28"/>
          <w:szCs w:val="28"/>
          <w:lang w:val="en-US"/>
        </w:rPr>
        <w:t>2. Projection mapping market size, share &amp; forecast to 2032 [Электронный ресурс] // Research and Markets : сайт. — 2025. — URL: https://www.researchandmarkets.com/report/map-projections (дата обращения: 10.04.2026).</w:t>
      </w:r>
    </w:p>
    <w:p w14:paraId="463D103D">
      <w:pPr>
        <w:spacing w:before="0" w:after="0" w:line="360" w:lineRule="auto"/>
        <w:ind w:firstLine="708"/>
        <w:jc w:val="both"/>
      </w:pPr>
      <w:r>
        <w:rPr>
          <w:rFonts w:ascii="Times New Roman" w:hAnsi="Times New Roman" w:eastAsia="Times New Roman" w:cs="Times New Roman"/>
          <w:color w:val="000000"/>
          <w:sz w:val="28"/>
          <w:szCs w:val="28"/>
        </w:rPr>
        <w:t>3. Креативные индустрии в России: потенциал и перспективы развития [Электронный ресурс] // Яков и Партнёры : сайт. — 2023. — URL: https://yakov.partners/ (дата обращения: 10.04.2026).</w:t>
      </w:r>
    </w:p>
    <w:p w14:paraId="0A526CAB">
      <w:pPr>
        <w:spacing w:before="0" w:after="0" w:line="360" w:lineRule="auto"/>
        <w:ind w:firstLine="708"/>
        <w:jc w:val="both"/>
      </w:pPr>
      <w:r>
        <w:rPr>
          <w:rFonts w:ascii="Times New Roman" w:hAnsi="Times New Roman" w:eastAsia="Times New Roman" w:cs="Times New Roman"/>
          <w:color w:val="000000"/>
          <w:sz w:val="28"/>
          <w:szCs w:val="28"/>
        </w:rPr>
        <w:t>4. Шакиров, Р. З. Результаты экспертных интервью с участниками рынка видеомэппинга : неопубликованные рабочие материалы / Р. З. Шакиров. — Санкт-Петербург, 2025. — 24 с. — Рукопись.</w:t>
      </w:r>
    </w:p>
    <w:p w14:paraId="162716AA">
      <w:pPr>
        <w:spacing w:before="0" w:after="0" w:line="360" w:lineRule="auto"/>
        <w:ind w:firstLine="708"/>
        <w:jc w:val="both"/>
      </w:pPr>
      <w:r>
        <w:rPr>
          <w:rFonts w:ascii="Times New Roman" w:hAnsi="Times New Roman" w:eastAsia="Times New Roman" w:cs="Times New Roman"/>
          <w:color w:val="000000"/>
          <w:sz w:val="28"/>
          <w:szCs w:val="28"/>
        </w:rPr>
        <w:t>5. Шакиров, Р. З. Разработка MVP программного обеспечения для оптимизированного создания видеомэппинга : техническая документация / Р. З. Шакиров. — Санкт-Петербург, 2024. — 42 с. — Рукопись.</w:t>
      </w:r>
    </w:p>
    <w:p w14:paraId="1CD6FECB">
      <w:pPr>
        <w:spacing w:before="0" w:after="0" w:line="360" w:lineRule="auto"/>
        <w:ind w:firstLine="708"/>
        <w:jc w:val="both"/>
        <w:rPr>
          <w:lang w:val="en-US"/>
        </w:rPr>
      </w:pPr>
      <w:r>
        <w:rPr>
          <w:rFonts w:ascii="Times New Roman" w:hAnsi="Times New Roman" w:eastAsia="Times New Roman" w:cs="Times New Roman"/>
          <w:color w:val="000000"/>
          <w:sz w:val="28"/>
          <w:szCs w:val="28"/>
          <w:lang w:val="en-US"/>
        </w:rPr>
        <w:t>6. Projection mapping market size &amp; growth analysis [Электронный ресурс] // SkyQuest Technology : сайт. — 2025. — URL: https://www.skyquestt.com/report/projection-mapping-market (дата обращения: 10.04.2026).</w:t>
      </w:r>
    </w:p>
    <w:p w14:paraId="42D20145">
      <w:pPr>
        <w:spacing w:before="0" w:after="0" w:line="360" w:lineRule="auto"/>
        <w:ind w:firstLine="708"/>
        <w:jc w:val="both"/>
      </w:pPr>
      <w:r>
        <w:rPr>
          <w:rFonts w:ascii="Times New Roman" w:hAnsi="Times New Roman" w:eastAsia="Times New Roman" w:cs="Times New Roman"/>
          <w:color w:val="000000"/>
          <w:sz w:val="28"/>
          <w:szCs w:val="28"/>
        </w:rPr>
        <w:t>7. Национальный проект «Культура» [Электронный ресурс] // Министерство культуры Российской Федерации : официальный сайт. — 2024. — URL: https://culture.gov.ru/about/national-project/about-project/ (дата обращения: 10.04.2026).</w:t>
      </w:r>
    </w:p>
    <w:p w14:paraId="488AE0B1">
      <w:pPr>
        <w:spacing w:before="0" w:after="0" w:line="360" w:lineRule="auto"/>
        <w:ind w:firstLine="708"/>
        <w:jc w:val="both"/>
      </w:pPr>
      <w:r>
        <w:rPr>
          <w:rFonts w:ascii="Times New Roman" w:hAnsi="Times New Roman" w:eastAsia="Times New Roman" w:cs="Times New Roman"/>
          <w:color w:val="000000"/>
          <w:sz w:val="28"/>
          <w:szCs w:val="28"/>
        </w:rPr>
        <w:t>8. MadMapper — official documentation [Электронный ресурс] // MadMapper : сайт разработчика. — 2024. — URL: https://madmapper.com/ (дата обращения: 10.04.2026).</w:t>
      </w:r>
    </w:p>
    <w:p w14:paraId="6100926E">
      <w:pPr>
        <w:spacing w:before="0" w:after="0" w:line="360" w:lineRule="auto"/>
        <w:ind w:firstLine="708"/>
        <w:jc w:val="both"/>
      </w:pPr>
      <w:r>
        <w:rPr>
          <w:rFonts w:ascii="Times New Roman" w:hAnsi="Times New Roman" w:eastAsia="Times New Roman" w:cs="Times New Roman"/>
          <w:color w:val="000000"/>
          <w:sz w:val="28"/>
          <w:szCs w:val="28"/>
        </w:rPr>
        <w:t>9. Resolume Arena — official documentation [Электронный ресурс] // Resolume : сайт разработчика. — 2024. — URL: https://resolume.com/ (дата обращения: 10.04.2026).</w:t>
      </w:r>
    </w:p>
    <w:p w14:paraId="5AD7672B">
      <w:pPr>
        <w:spacing w:before="0" w:after="0" w:line="360" w:lineRule="auto"/>
        <w:ind w:firstLine="708"/>
        <w:jc w:val="both"/>
      </w:pPr>
      <w:r>
        <w:rPr>
          <w:rFonts w:ascii="Times New Roman" w:hAnsi="Times New Roman" w:eastAsia="Times New Roman" w:cs="Times New Roman"/>
          <w:color w:val="000000"/>
          <w:sz w:val="28"/>
          <w:szCs w:val="28"/>
        </w:rPr>
        <w:t>10. TouchDesigner — official documentation [Электронный ресурс] // Derivative : сайт разработчика. — 2024. — URL: https://derivative.ca/ (дата обращения: 10.04.2026).</w:t>
      </w:r>
    </w:p>
    <w:p w14:paraId="2855E955">
      <w:pPr>
        <w:spacing w:before="0" w:after="0" w:line="360" w:lineRule="auto"/>
        <w:ind w:firstLine="708"/>
        <w:jc w:val="both"/>
      </w:pPr>
      <w:r>
        <w:rPr>
          <w:rFonts w:ascii="Times New Roman" w:hAnsi="Times New Roman" w:eastAsia="Times New Roman" w:cs="Times New Roman"/>
          <w:color w:val="000000"/>
          <w:sz w:val="28"/>
          <w:szCs w:val="28"/>
        </w:rPr>
        <w:t>11. Чёрная, И. П. Моделирование бизнес-процессов : учебное пособие / И. П. Чёрная. — Москва : Юрайт, 2023. — 252 с. — ISBN 978-5-534-15267-3. — Текст : непосредственный.</w:t>
      </w:r>
    </w:p>
    <w:p w14:paraId="60289858">
      <w:pPr>
        <w:spacing w:before="0" w:after="0" w:line="360" w:lineRule="auto"/>
        <w:ind w:firstLine="708"/>
        <w:jc w:val="both"/>
      </w:pPr>
      <w:r>
        <w:rPr>
          <w:rFonts w:ascii="Times New Roman" w:hAnsi="Times New Roman" w:eastAsia="Times New Roman" w:cs="Times New Roman"/>
          <w:color w:val="000000"/>
          <w:sz w:val="28"/>
          <w:szCs w:val="28"/>
        </w:rPr>
        <w:t>12. Хаммер, М. Реинжиниринг корпорации : манифест революции в бизнесе / М. Хаммер, Дж. Чампи ; перевод с английского. — Москва : Манн, Иванов и Фербер, 2011. — 288 с. — ISBN 978-5-91657-217-4.</w:t>
      </w:r>
    </w:p>
    <w:p w14:paraId="47A3E9DE">
      <w:pPr>
        <w:spacing w:before="0" w:after="0" w:line="360" w:lineRule="auto"/>
        <w:ind w:firstLine="708"/>
        <w:jc w:val="both"/>
        <w:rPr>
          <w:lang w:val="en-US"/>
        </w:rPr>
      </w:pPr>
      <w:r>
        <w:rPr>
          <w:rFonts w:ascii="Times New Roman" w:hAnsi="Times New Roman" w:eastAsia="Times New Roman" w:cs="Times New Roman"/>
          <w:color w:val="000000"/>
          <w:sz w:val="28"/>
          <w:szCs w:val="28"/>
          <w:lang w:val="en-US"/>
        </w:rPr>
        <w:t>13. Blank, S. The Startup Owner's Manual: The Step-by-Step Guide for Building a Great Company / S. Blank, B. Dorf. — Pescadero, CA : K&amp;S Ranch Press, 2020. — 608 p. — ISBN 978-0-984-99930-9.</w:t>
      </w:r>
    </w:p>
    <w:p w14:paraId="7BE09F45">
      <w:pPr>
        <w:spacing w:before="0" w:after="0" w:line="360" w:lineRule="auto"/>
        <w:ind w:firstLine="708"/>
        <w:jc w:val="both"/>
        <w:rPr>
          <w:lang w:val="en-US"/>
        </w:rPr>
      </w:pPr>
      <w:r>
        <w:rPr>
          <w:rFonts w:ascii="Times New Roman" w:hAnsi="Times New Roman" w:eastAsia="Times New Roman" w:cs="Times New Roman"/>
          <w:color w:val="000000"/>
          <w:sz w:val="28"/>
          <w:szCs w:val="28"/>
          <w:lang w:val="en-US"/>
        </w:rPr>
        <w:t>14. Osterwalder, A. Business Model Generation: A Handbook for Visionaries, Game Changers, and Challengers / A. Osterwalder, Y. Pigneur. — Hoboken, NJ : John Wiley &amp; Sons, 2010. — 288 p. — ISBN 978-0-470-87641-1.</w:t>
      </w:r>
    </w:p>
    <w:p w14:paraId="7C0E81EC">
      <w:pPr>
        <w:spacing w:before="0" w:after="0" w:line="360" w:lineRule="auto"/>
        <w:ind w:firstLine="708"/>
        <w:jc w:val="both"/>
        <w:rPr>
          <w:lang w:val="en-US"/>
        </w:rPr>
      </w:pPr>
      <w:r>
        <w:rPr>
          <w:rFonts w:ascii="Times New Roman" w:hAnsi="Times New Roman" w:eastAsia="Times New Roman" w:cs="Times New Roman"/>
          <w:color w:val="000000"/>
          <w:sz w:val="28"/>
          <w:szCs w:val="28"/>
          <w:lang w:val="en-US"/>
        </w:rPr>
        <w:t>15. Maurya, A. Running Lean: Iterate from Plan A to a Plan That Works / A. Maurya. — 3rd ed. — Sebastopol, CA : O'Reilly Media, 2022. — 312 p. — ISBN 978-1-098-10876-1.</w:t>
      </w:r>
    </w:p>
    <w:p w14:paraId="15091C71">
      <w:pPr>
        <w:spacing w:before="0" w:after="0" w:line="360" w:lineRule="auto"/>
        <w:ind w:firstLine="708"/>
        <w:jc w:val="both"/>
        <w:rPr>
          <w:lang w:val="en-US"/>
        </w:rPr>
      </w:pPr>
      <w:r>
        <w:rPr>
          <w:rFonts w:ascii="Times New Roman" w:hAnsi="Times New Roman" w:eastAsia="Times New Roman" w:cs="Times New Roman"/>
          <w:color w:val="000000"/>
          <w:sz w:val="28"/>
          <w:szCs w:val="28"/>
          <w:lang w:val="en-US"/>
        </w:rPr>
        <w:t>16. Ries, E. The Lean Startup: How Today's Entrepreneurs Use Continuous Innovation to Create Radically Successful Businesses / E. Ries. — New York : Crown Business, 2011. — 336 p. — ISBN 978-0-307-88789-4.</w:t>
      </w:r>
    </w:p>
    <w:p w14:paraId="563F4B56">
      <w:pPr>
        <w:spacing w:before="0" w:after="0" w:line="360" w:lineRule="auto"/>
        <w:ind w:firstLine="708"/>
        <w:jc w:val="both"/>
      </w:pPr>
      <w:r>
        <w:rPr>
          <w:rFonts w:ascii="Times New Roman" w:hAnsi="Times New Roman" w:eastAsia="Times New Roman" w:cs="Times New Roman"/>
          <w:color w:val="000000"/>
          <w:sz w:val="28"/>
          <w:szCs w:val="28"/>
        </w:rPr>
        <w:t>17. Нагль, Т. Т. Стратегия и тактика ценообразования / Т. Т. Нагль, Дж. Холден ; перевод с английского. — 3-е изд. — Санкт-Петербург : Питер, 2021. — 572 с. — ISBN 978-5-4461-0974-6.</w:t>
      </w:r>
    </w:p>
    <w:p w14:paraId="62A0F929">
      <w:pPr>
        <w:spacing w:before="0" w:after="0" w:line="360" w:lineRule="auto"/>
        <w:ind w:firstLine="708"/>
        <w:jc w:val="both"/>
        <w:rPr>
          <w:lang w:val="en-US"/>
        </w:rPr>
      </w:pPr>
      <w:r>
        <w:rPr>
          <w:rFonts w:ascii="Times New Roman" w:hAnsi="Times New Roman" w:eastAsia="Times New Roman" w:cs="Times New Roman"/>
          <w:color w:val="000000"/>
          <w:sz w:val="28"/>
          <w:szCs w:val="28"/>
          <w:lang w:val="en-US"/>
        </w:rPr>
        <w:t>18. Bessemer's state of the cloud 2024: SaaS unit economics benchmarks [Электронный ресурс] // Bessemer Venture Partners : сайт. — 2024. — URL: https://www.bvp.com/atlas/state-of-the-cloud-2024 (дата обращения: 10.04.2026).</w:t>
      </w:r>
    </w:p>
    <w:p w14:paraId="47341A86">
      <w:pPr>
        <w:spacing w:before="0" w:after="0" w:line="360" w:lineRule="auto"/>
        <w:ind w:firstLine="708"/>
        <w:jc w:val="both"/>
        <w:rPr>
          <w:lang w:val="en-US"/>
        </w:rPr>
      </w:pPr>
      <w:r>
        <w:rPr>
          <w:rFonts w:ascii="Times New Roman" w:hAnsi="Times New Roman" w:eastAsia="Times New Roman" w:cs="Times New Roman"/>
          <w:color w:val="000000"/>
          <w:sz w:val="28"/>
          <w:szCs w:val="28"/>
          <w:lang w:val="en-US"/>
        </w:rPr>
        <w:t>19. SaaS survey results: KPIs for software-as-a-service companies [Электронный ресурс] // KeyBanc Capital Markets : сайт. — 2024. — URL: https://www.key.com/businesses-institutions/industry-expertise/2024-saas-survey.html (дата обращения: 10.04.2026).</w:t>
      </w:r>
    </w:p>
    <w:p w14:paraId="6506F5B2">
      <w:pPr>
        <w:spacing w:before="0" w:after="0" w:line="360" w:lineRule="auto"/>
        <w:ind w:firstLine="708"/>
        <w:jc w:val="both"/>
        <w:rPr>
          <w:lang w:val="en-US"/>
        </w:rPr>
      </w:pPr>
      <w:r>
        <w:rPr>
          <w:rFonts w:ascii="Times New Roman" w:hAnsi="Times New Roman" w:eastAsia="Times New Roman" w:cs="Times New Roman"/>
          <w:color w:val="000000"/>
          <w:sz w:val="28"/>
          <w:szCs w:val="28"/>
          <w:lang w:val="en-US"/>
        </w:rPr>
        <w:t>20. Croll, A. Lean Analytics: Use Data to Build a Better Startup Faster / A. Croll, B. Yoskovitz. — 2nd ed. — Sebastopol, CA : O'Reilly Media, 2023. — 440 p. — ISBN 978-1-449-33567-5.</w:t>
      </w:r>
    </w:p>
    <w:p w14:paraId="2FEF2AA3">
      <w:pPr>
        <w:spacing w:before="0" w:after="0" w:line="360" w:lineRule="auto"/>
        <w:ind w:firstLine="708"/>
        <w:jc w:val="both"/>
        <w:rPr>
          <w:lang w:val="en-US"/>
        </w:rPr>
      </w:pPr>
      <w:r>
        <w:rPr>
          <w:rFonts w:ascii="Times New Roman" w:hAnsi="Times New Roman" w:eastAsia="Times New Roman" w:cs="Times New Roman"/>
          <w:color w:val="000000"/>
          <w:sz w:val="28"/>
          <w:szCs w:val="28"/>
          <w:lang w:val="en-US"/>
        </w:rPr>
        <w:t>21. McClure, D. Startup metrics for pirates: AARRR! [Электронный ресурс] / D. McClure // 500 Startups : блог. — 2022. — URL: https://500hats.typepad.com/500blogs/2007/09/startup-metrics.html (дата обращения: 10.04.2026).</w:t>
      </w:r>
    </w:p>
    <w:p w14:paraId="73CCB64A">
      <w:pPr>
        <w:spacing w:before="0" w:after="0" w:line="360" w:lineRule="auto"/>
        <w:ind w:firstLine="708"/>
        <w:jc w:val="both"/>
        <w:rPr>
          <w:lang w:val="en-US"/>
        </w:rPr>
      </w:pPr>
      <w:r>
        <w:rPr>
          <w:rFonts w:ascii="Times New Roman" w:hAnsi="Times New Roman" w:eastAsia="Times New Roman" w:cs="Times New Roman"/>
          <w:color w:val="000000"/>
          <w:sz w:val="28"/>
          <w:szCs w:val="28"/>
          <w:lang w:val="en-US"/>
        </w:rPr>
        <w:t>22. Skok, D. SaaS metrics 2.0: A guide to measuring and improving what matters [Электронный ресурс] / D. Skok // For Entrepreneurs : блог. — 2023. — URL: https://www.forentrepreneurs.com/saas-metrics-2/ (дата обращения: 10.04.2026).</w:t>
      </w:r>
    </w:p>
    <w:p w14:paraId="3A67599C">
      <w:pPr>
        <w:spacing w:before="0" w:after="0" w:line="360" w:lineRule="auto"/>
        <w:ind w:firstLine="708"/>
        <w:jc w:val="both"/>
      </w:pPr>
      <w:r>
        <w:rPr>
          <w:rFonts w:ascii="Times New Roman" w:hAnsi="Times New Roman" w:eastAsia="Times New Roman" w:cs="Times New Roman"/>
          <w:color w:val="000000"/>
          <w:sz w:val="28"/>
          <w:szCs w:val="28"/>
        </w:rPr>
        <w:t>23. Адизес, И. К. Управление жизненным циклом корпорации / И. К. Адизес ; перевод с английского. — Москва : Манн, Иванов и Фербер, 2022. — 512 с. — ISBN 978-5-00117-841-3.</w:t>
      </w:r>
    </w:p>
    <w:p w14:paraId="088A7947">
      <w:pPr>
        <w:spacing w:before="0" w:after="0" w:line="360" w:lineRule="auto"/>
        <w:ind w:firstLine="708"/>
        <w:jc w:val="both"/>
      </w:pPr>
      <w:r>
        <w:rPr>
          <w:rFonts w:ascii="Times New Roman" w:hAnsi="Times New Roman" w:eastAsia="Times New Roman" w:cs="Times New Roman"/>
          <w:color w:val="000000"/>
          <w:sz w:val="28"/>
          <w:szCs w:val="28"/>
        </w:rPr>
        <w:t>24. Документация Yandex Cloud: облачные вычисления для машинного обучения [Электронный ресурс] // Yandex Cloud : сайт. — 2024. — URL: https://yandex.cloud/ru/docs/ (дата обращения: 10.04.2026).</w:t>
      </w:r>
    </w:p>
    <w:p w14:paraId="50879142">
      <w:pPr>
        <w:spacing w:before="0" w:after="0" w:line="360" w:lineRule="auto"/>
        <w:ind w:firstLine="708"/>
        <w:jc w:val="both"/>
      </w:pPr>
      <w:r>
        <w:rPr>
          <w:rFonts w:ascii="Times New Roman" w:hAnsi="Times New Roman" w:eastAsia="Times New Roman" w:cs="Times New Roman"/>
          <w:color w:val="000000"/>
          <w:sz w:val="28"/>
          <w:szCs w:val="28"/>
        </w:rPr>
        <w:t>25. Ньюман, С. Создание микросервисов / С. Ньюман ; перевод с английского. — 2-е изд. — Санкт-Петербург : Питер, 2023. — 624 с. — ISBN 978-5-4461-1990-5.</w:t>
      </w:r>
    </w:p>
    <w:p w14:paraId="58CE4FBE">
      <w:pPr>
        <w:spacing w:before="0" w:after="0" w:line="360" w:lineRule="auto"/>
        <w:ind w:firstLine="708"/>
        <w:jc w:val="both"/>
        <w:rPr>
          <w:lang w:val="en-US"/>
        </w:rPr>
      </w:pPr>
      <w:r>
        <w:rPr>
          <w:rFonts w:ascii="Times New Roman" w:hAnsi="Times New Roman" w:eastAsia="Times New Roman" w:cs="Times New Roman"/>
          <w:color w:val="000000"/>
          <w:sz w:val="28"/>
          <w:szCs w:val="28"/>
          <w:lang w:val="en-US"/>
        </w:rPr>
        <w:t>26. GPU instance pricing &amp; inference cost benchmarks 2024 [Электронный ресурс] // Lambda Labs : сайт. — 2024. — URL: https://lambdalabs.com/service/gpu-cloud (дата обращения: 10.04.2026).</w:t>
      </w:r>
    </w:p>
    <w:p w14:paraId="606C889A">
      <w:pPr>
        <w:spacing w:before="0" w:after="0" w:line="360" w:lineRule="auto"/>
        <w:ind w:firstLine="708"/>
        <w:jc w:val="both"/>
      </w:pPr>
      <w:r>
        <w:rPr>
          <w:rFonts w:ascii="Times New Roman" w:hAnsi="Times New Roman" w:eastAsia="Times New Roman" w:cs="Times New Roman"/>
          <w:color w:val="000000"/>
          <w:sz w:val="28"/>
          <w:szCs w:val="28"/>
        </w:rPr>
        <w:t>27. Брейли, Р. Принципы корпоративных финансов / Р. Брейли, С. Майерс, Ф. Аллен ; перевод с английского. — 13-е изд. — Москва : Вильямс, 2022. — 1008 с. — ISBN 978-5-907144-32-7.</w:t>
      </w:r>
    </w:p>
    <w:p w14:paraId="05C61F3D">
      <w:pPr>
        <w:spacing w:before="0" w:after="0" w:line="360" w:lineRule="auto"/>
        <w:ind w:firstLine="708"/>
        <w:jc w:val="both"/>
      </w:pPr>
      <w:r>
        <w:rPr>
          <w:rFonts w:ascii="Times New Roman" w:hAnsi="Times New Roman" w:eastAsia="Times New Roman" w:cs="Times New Roman"/>
          <w:color w:val="000000"/>
          <w:sz w:val="28"/>
          <w:szCs w:val="28"/>
        </w:rPr>
        <w:t>28. Дамодаран, А. Инвестиционная оценка: инструменты и методы оценки любых активов / А. Дамодаран ; перевод с английского. — 3-е изд. — Москва : Альпина Паблишер, 2022. — 1324 с. — ISBN 978-5-9614-7783-8.</w:t>
      </w:r>
    </w:p>
    <w:p w14:paraId="7BD0D641">
      <w:pPr>
        <w:spacing w:before="0" w:after="0" w:line="360" w:lineRule="auto"/>
        <w:ind w:firstLine="708"/>
        <w:jc w:val="both"/>
      </w:pPr>
      <w:r>
        <w:rPr>
          <w:rFonts w:ascii="Times New Roman" w:hAnsi="Times New Roman" w:eastAsia="Times New Roman" w:cs="Times New Roman"/>
          <w:color w:val="000000"/>
          <w:sz w:val="28"/>
          <w:szCs w:val="28"/>
        </w:rPr>
        <w:t>29. Программа «Студенческий стартап» [Электронный ресурс] // Фонд содействия инновациям : официальный сайт. — 2024. — URL: https://fasie.ru/programs/programma-studstartup/ (дата обращения: 10.04.2026).</w:t>
      </w:r>
    </w:p>
    <w:p w14:paraId="5B199671">
      <w:pPr>
        <w:spacing w:before="0" w:after="0" w:line="360" w:lineRule="auto"/>
        <w:ind w:firstLine="708"/>
        <w:jc w:val="both"/>
      </w:pPr>
      <w:r>
        <w:rPr>
          <w:rFonts w:ascii="Times New Roman" w:hAnsi="Times New Roman" w:eastAsia="Times New Roman" w:cs="Times New Roman"/>
          <w:color w:val="000000"/>
          <w:sz w:val="28"/>
          <w:szCs w:val="28"/>
        </w:rPr>
        <w:t>30. Венчурное финансирование deep-tech-стартапов в России: аналитический обзор [Электронный ресурс] // Российская венчурная компания : сайт. — 2023. — URL: https://www.rvc.ru/analytics/ (дата обращения: 10.04.2026).</w:t>
      </w:r>
    </w:p>
    <w:p w14:paraId="7C5F9954">
      <w:pPr>
        <w:spacing w:before="0" w:after="0" w:line="360" w:lineRule="auto"/>
        <w:ind w:firstLine="708"/>
        <w:jc w:val="both"/>
      </w:pPr>
      <w:r>
        <w:rPr>
          <w:rFonts w:ascii="Times New Roman" w:hAnsi="Times New Roman" w:eastAsia="Times New Roman" w:cs="Times New Roman"/>
          <w:color w:val="000000"/>
          <w:sz w:val="28"/>
          <w:szCs w:val="28"/>
        </w:rPr>
        <w:t>31. Савицкая, Г. В. Анализ хозяйственной деятельности предприятия : учебник / Г. В. Савицкая. — 6-е изд., перераб. и доп. — Москва : ИНФРА-М, 2023. — 378 с. — ISBN 978-5-16-016584-0.</w:t>
      </w:r>
    </w:p>
    <w:p w14:paraId="5ED70276">
      <w:pPr>
        <w:spacing w:before="0" w:after="0" w:line="360" w:lineRule="auto"/>
        <w:ind w:firstLine="708"/>
        <w:jc w:val="both"/>
      </w:pPr>
      <w:r>
        <w:rPr>
          <w:rFonts w:ascii="Times New Roman" w:hAnsi="Times New Roman" w:eastAsia="Times New Roman" w:cs="Times New Roman"/>
          <w:color w:val="000000"/>
          <w:sz w:val="28"/>
          <w:szCs w:val="28"/>
        </w:rPr>
        <w:t>32. Тиль, П. От нуля к единице: как создать стартап, который изменит будущее / П. Тиль, Б. Мастерс ; перевод с английского. — Москва : Альпина Паблишер, 2021. — 240 с. — ISBN 978-5-9614-7320-5.</w:t>
      </w:r>
    </w:p>
    <w:p w14:paraId="42A3D917">
      <w:pPr>
        <w:spacing w:before="0" w:after="0" w:line="360" w:lineRule="auto"/>
        <w:ind w:firstLine="708"/>
        <w:jc w:val="both"/>
        <w:rPr>
          <w:lang w:val="en-US"/>
        </w:rPr>
      </w:pPr>
      <w:r>
        <w:rPr>
          <w:rFonts w:ascii="Times New Roman" w:hAnsi="Times New Roman" w:eastAsia="Times New Roman" w:cs="Times New Roman"/>
          <w:color w:val="000000"/>
          <w:sz w:val="28"/>
          <w:szCs w:val="28"/>
          <w:lang w:val="en-US"/>
        </w:rPr>
        <w:t>33. Chapman, R. J. Simple Tools and Techniques for Enterprise Risk Management / R. J. Chapman. — 3rd ed. — Chichester : John Wiley &amp; Sons, 2023. — 618 p. — ISBN 978-1-119-98997-4.</w:t>
      </w:r>
    </w:p>
    <w:p w14:paraId="4B34A7EE">
      <w:pPr>
        <w:spacing w:before="0" w:after="0" w:line="360" w:lineRule="auto"/>
        <w:ind w:firstLine="708"/>
        <w:jc w:val="both"/>
      </w:pPr>
      <w:r>
        <w:rPr>
          <w:rFonts w:ascii="Times New Roman" w:hAnsi="Times New Roman" w:eastAsia="Times New Roman" w:cs="Times New Roman"/>
          <w:color w:val="000000"/>
          <w:sz w:val="28"/>
          <w:szCs w:val="28"/>
        </w:rPr>
        <w:t>34. Балдин, К. В. Управление рисками в инновационно-инвестиционной деятельности предприятия : учебное пособие / К. В. Балдин, И. И. Передеряев, Р. С. Голов. — 4-е изд. — Москва : Дашков и К°, 2022. — 420 с. — ISBN 978-5-394-04489-7.</w:t>
      </w:r>
    </w:p>
    <w:p w14:paraId="7C8668E9">
      <w:pPr>
        <w:spacing w:before="0" w:after="0" w:line="360" w:lineRule="auto"/>
        <w:ind w:firstLine="708"/>
        <w:jc w:val="both"/>
      </w:pPr>
      <w:r>
        <w:rPr>
          <w:rFonts w:ascii="Times New Roman" w:hAnsi="Times New Roman" w:eastAsia="Times New Roman" w:cs="Times New Roman"/>
          <w:color w:val="000000"/>
          <w:sz w:val="28"/>
          <w:szCs w:val="28"/>
        </w:rPr>
        <w:t>35. Хоровиц, Б. Легко не будет: как построить бизнес, когда вопросов больше, чем ответов / Б. Хоровиц ; перевод с английского. — Москва : Манн, Иванов и Фербер, 2022. — 304 с. — ISBN 978-5-00117-289-3.</w:t>
      </w:r>
    </w:p>
    <w:p w14:paraId="35708D12">
      <w:pPr>
        <w:spacing w:before="0" w:after="0" w:line="360" w:lineRule="auto"/>
        <w:ind w:firstLine="708"/>
        <w:jc w:val="both"/>
      </w:pPr>
      <w:r>
        <w:rPr>
          <w:rFonts w:ascii="Times New Roman" w:hAnsi="Times New Roman" w:eastAsia="Times New Roman" w:cs="Times New Roman"/>
          <w:color w:val="000000"/>
          <w:sz w:val="28"/>
          <w:szCs w:val="28"/>
        </w:rPr>
        <w:t>36. Business Process Model and Notation (BPMN), Version 2.0.2 [Electronic resource] // Object Management Group : official specification. — 2014. — URL: https://www.omg.org/spec/BPMN/2.0.2/ (дата обращения: 10.04.2026).</w:t>
      </w:r>
    </w:p>
    <w:p w14:paraId="0823324F">
      <w:pPr>
        <w:spacing w:before="0" w:after="0" w:line="360" w:lineRule="auto"/>
        <w:ind w:firstLine="708"/>
        <w:jc w:val="both"/>
      </w:pPr>
      <w:r>
        <w:rPr>
          <w:rFonts w:ascii="Times New Roman" w:hAnsi="Times New Roman" w:eastAsia="Times New Roman" w:cs="Times New Roman"/>
          <w:color w:val="000000"/>
          <w:sz w:val="28"/>
          <w:szCs w:val="28"/>
        </w:rPr>
        <w:t>37. ГОСТ Р 50.1.028-2001. Информационные технологии поддержки жизненного цикла продукции. Методология функционального моделирования. — Москва : Госстандарт России, 2001. — 49 с. — Текст : непосредственный.</w:t>
      </w:r>
    </w:p>
    <w:p w14:paraId="7B01BE82">
      <w:pPr>
        <w:spacing w:before="0" w:after="0" w:line="360" w:lineRule="auto"/>
        <w:ind w:firstLine="708"/>
        <w:jc w:val="both"/>
      </w:pPr>
      <w:r>
        <w:rPr>
          <w:rFonts w:ascii="Times New Roman" w:hAnsi="Times New Roman" w:eastAsia="Times New Roman" w:cs="Times New Roman"/>
          <w:color w:val="000000"/>
          <w:sz w:val="28"/>
          <w:szCs w:val="28"/>
        </w:rPr>
        <w:t>38. Moore, G. A. Crossing the Chasm: Marketing and Selling Disruptive Products to Mainstream Customers / G. A. Moore. — 3rd ed. — New York : HarperBusiness, 2014. — 288 p. — ISBN 978-0-06-229298-8.</w:t>
      </w:r>
    </w:p>
    <w:p w14:paraId="6F0C25BB">
      <w:pPr>
        <w:spacing w:before="0" w:after="0" w:line="360" w:lineRule="auto"/>
        <w:ind w:firstLine="708"/>
        <w:jc w:val="both"/>
      </w:pPr>
      <w:r>
        <w:rPr>
          <w:rFonts w:ascii="Times New Roman" w:hAnsi="Times New Roman" w:eastAsia="Times New Roman" w:cs="Times New Roman"/>
          <w:color w:val="000000"/>
          <w:sz w:val="28"/>
          <w:szCs w:val="28"/>
        </w:rPr>
        <w:t>39. Объём рекламного рынка России в 2024 году : экспертная оценка комиссии экспертов АКАР [Электронный ресурс] // Ассоциация коммуникационных агентств России (АКАР) : официальный сайт. — 2025. — URL: https://www.akarussia.ru/knowledge/market_size (дата обращения: 10.04.2026).</w:t>
      </w:r>
    </w:p>
    <w:p w14:paraId="283A7A49">
      <w:pPr>
        <w:spacing w:before="0" w:after="0" w:line="360" w:lineRule="auto"/>
        <w:ind w:firstLine="708"/>
        <w:jc w:val="both"/>
      </w:pPr>
      <w:r>
        <w:rPr>
          <w:rFonts w:ascii="Times New Roman" w:hAnsi="Times New Roman" w:eastAsia="Times New Roman" w:cs="Times New Roman"/>
          <w:color w:val="000000"/>
          <w:sz w:val="28"/>
          <w:szCs w:val="28"/>
        </w:rPr>
        <w:t>40. Постановление Правительства Российской Федерации от 16 ноября 2015 г. № 1236 «Об установлении запрета на допуск программного обеспечения, происходящего из иностранных государств, для целей осуществления закупок для обеспечения государственных и муниципальных нужд» [Электронный ресурс] // Официальный интернет-портал правовой информации. — 2015. — URL: http://publication.pravo.gov.ru/Document/View/0001201511180020 (дата обращения: 10.04.2026).</w:t>
      </w:r>
    </w:p>
    <w:p w14:paraId="1EA3C0AB">
      <w:pPr>
        <w:spacing w:before="0" w:after="0" w:line="360" w:lineRule="auto"/>
        <w:ind w:firstLine="708"/>
        <w:jc w:val="both"/>
      </w:pPr>
      <w:r>
        <w:rPr>
          <w:rFonts w:ascii="Times New Roman" w:hAnsi="Times New Roman" w:eastAsia="Times New Roman" w:cs="Times New Roman"/>
          <w:color w:val="000000"/>
          <w:sz w:val="28"/>
          <w:szCs w:val="28"/>
        </w:rPr>
        <w:t>41. Федеральный закон от 27 июля 2006 г. № 152-ФЗ «О персональных данных» (с изменениями и дополнениями) [Электронный ресурс] // КонсультантПлюс : справочно-правовая система. — URL: http://www.consultant.ru/document/cons_doc_LAW_61801/ (дата обращения: 10.04.2026).</w:t>
      </w:r>
    </w:p>
    <w:p w14:paraId="2C27B29B">
      <w:pPr>
        <w:spacing w:before="0" w:after="0" w:line="360" w:lineRule="auto"/>
        <w:ind w:firstLine="708"/>
        <w:jc w:val="both"/>
      </w:pPr>
      <w:r>
        <w:rPr>
          <w:rFonts w:ascii="Times New Roman" w:hAnsi="Times New Roman" w:eastAsia="Times New Roman" w:cs="Times New Roman"/>
          <w:color w:val="000000"/>
          <w:sz w:val="28"/>
          <w:szCs w:val="28"/>
        </w:rPr>
        <w:t>42. Moore, G. A. Inside the Tornado: Strategies for Developing, Leveraging, and Surviving Hypergrowth Markets / G. A. Moore. — New York : HarperBusiness, 2004. — 256 p. — ISBN 978-0-06-074581-4.</w:t>
      </w:r>
    </w:p>
    <w:p w14:paraId="79DE7A86">
      <w:pPr>
        <w:spacing w:before="0" w:after="0" w:line="360" w:lineRule="auto"/>
        <w:ind w:firstLine="708"/>
        <w:jc w:val="both"/>
      </w:pPr>
      <w:r>
        <w:rPr>
          <w:rFonts w:ascii="Times New Roman" w:hAnsi="Times New Roman" w:eastAsia="Times New Roman" w:cs="Times New Roman"/>
          <w:color w:val="000000"/>
          <w:sz w:val="28"/>
          <w:szCs w:val="28"/>
        </w:rPr>
        <w:t>43. Stable Diffusion XL: improving latent diffusion models for high-resolution image synthesis [Electronic resource] / D. Podell, Z. English, K. Lacey [et al.] // arXiv.org. — 2023. — arXiv:2307.01952. — URL: https://arxiv.org/abs/2307.01952 (дата обращения: 10.04.2026).</w:t>
      </w:r>
    </w:p>
    <w:p w14:paraId="154691B5">
      <w:pPr>
        <w:spacing w:before="0" w:after="0" w:line="360" w:lineRule="auto"/>
        <w:ind w:firstLine="708"/>
        <w:jc w:val="both"/>
      </w:pPr>
      <w:r>
        <w:rPr>
          <w:rFonts w:ascii="Times New Roman" w:hAnsi="Times New Roman" w:eastAsia="Times New Roman" w:cs="Times New Roman"/>
          <w:color w:val="000000"/>
          <w:sz w:val="28"/>
          <w:szCs w:val="28"/>
        </w:rPr>
        <w:t>44. Zhang, L. Adding conditional control to text-to-image diffusion models / L. Zhang, A. Rao, M. Agrawala // Proceedings of the IEEE/CVF International Conference on Computer Vision (ICCV). — 2023. — P. 3836–3847. — DOI: 10.1109/ICCV51070.2023.00355.</w:t>
      </w:r>
    </w:p>
    <w:p w14:paraId="52BA92EB">
      <w:pPr>
        <w:spacing w:before="0" w:after="0" w:line="360" w:lineRule="auto"/>
        <w:ind w:firstLine="708"/>
        <w:jc w:val="both"/>
      </w:pPr>
      <w:r>
        <w:rPr>
          <w:rFonts w:ascii="Times New Roman" w:hAnsi="Times New Roman" w:eastAsia="Times New Roman" w:cs="Times New Roman"/>
          <w:color w:val="000000"/>
          <w:sz w:val="28"/>
          <w:szCs w:val="28"/>
        </w:rPr>
        <w:t>45. Ranftl, R. Towards robust monocular depth estimation: mixing datasets for zero-shot cross-dataset transfer / R. Ranftl, K. Lasinger, D. Hafner [et al.] // IEEE Transactions on Pattern Analysis and Machine Intelligence. — 2022. — Vol. 44, No. 3. — P. 1623–1637. — DOI: 10.1109/TPAMI.2020.3019967.</w:t>
      </w:r>
    </w:p>
    <w:p w14:paraId="77AB7002">
      <w:pPr>
        <w:spacing w:before="0" w:after="0" w:line="360" w:lineRule="auto"/>
        <w:ind w:firstLine="708"/>
        <w:jc w:val="both"/>
      </w:pPr>
      <w:r>
        <w:rPr>
          <w:rFonts w:ascii="Times New Roman" w:hAnsi="Times New Roman" w:eastAsia="Times New Roman" w:cs="Times New Roman"/>
          <w:color w:val="000000"/>
          <w:sz w:val="28"/>
          <w:szCs w:val="28"/>
        </w:rPr>
        <w:t>46. Yang, L. Depth Anything: unleashing the power of large-scale unlabeled data / L. Yang, B. Kang, Z. Huang [et al.] // Proceedings of the IEEE/CVF Conference on Computer Vision and Pattern Recognition (CVPR). — 2024. — P. 10371–10381. — URL: https://arxiv.org/abs/2401.10891 (дата обращения: 10.04.2026).</w:t>
      </w:r>
    </w:p>
    <w:p w14:paraId="45D5C262">
      <w:pPr>
        <w:spacing w:before="0" w:after="0" w:line="360" w:lineRule="auto"/>
        <w:ind w:firstLine="708"/>
        <w:jc w:val="both"/>
      </w:pPr>
      <w:r>
        <w:rPr>
          <w:rFonts w:ascii="Times New Roman" w:hAnsi="Times New Roman" w:eastAsia="Times New Roman" w:cs="Times New Roman"/>
          <w:color w:val="000000"/>
          <w:sz w:val="28"/>
          <w:szCs w:val="28"/>
        </w:rPr>
        <w:t>47. ГОСТ Р 7.0.5-2008. Система стандартов по информации, библиотечному и издательскому делу. Библиографическая ссылка. Общие требования и правила составления. — Москва : Стандартинформ, 2008. — 19 с. — Текст : непосредственный.</w:t>
      </w:r>
    </w:p>
    <w:p w14:paraId="6461BC50">
      <w:pPr>
        <w:spacing w:before="0" w:after="0" w:line="360" w:lineRule="auto"/>
        <w:ind w:firstLine="708"/>
        <w:jc w:val="both"/>
      </w:pPr>
      <w:r>
        <w:rPr>
          <w:rFonts w:ascii="Times New Roman" w:hAnsi="Times New Roman" w:eastAsia="Times New Roman" w:cs="Times New Roman"/>
          <w:color w:val="000000"/>
          <w:sz w:val="28"/>
          <w:szCs w:val="28"/>
        </w:rPr>
        <w:t>48. Документация Yandex Cloud: тарифы и квоты Cloud Compute [Электронный ресурс] // Yandex Cloud : официальная документация. — 2025. — URL: https://yandex.cloud/ru/docs/compute/pricing (дата обращения: 10.04.2026).</w:t>
      </w:r>
    </w:p>
    <w:p w14:paraId="2866C5BF">
      <w:pPr>
        <w:spacing w:before="0" w:after="0" w:line="360" w:lineRule="auto"/>
        <w:ind w:firstLine="708"/>
        <w:jc w:val="both"/>
      </w:pPr>
      <w:r>
        <w:rPr>
          <w:rFonts w:ascii="Times New Roman" w:hAnsi="Times New Roman" w:eastAsia="Times New Roman" w:cs="Times New Roman"/>
          <w:color w:val="000000"/>
          <w:sz w:val="28"/>
          <w:szCs w:val="28"/>
        </w:rPr>
        <w:t>49. Манн, И. Б. Маркетинг без бюджета. 50 работающих инструментов / И. Б. Манн. — Москва : Манн, Иванов и Фербер, 2023. — 296 с. — ISBN 978-5-00146-389-2.</w:t>
      </w:r>
    </w:p>
    <w:p w14:paraId="12B1AF29">
      <w:pPr>
        <w:spacing w:before="0" w:after="0" w:line="360" w:lineRule="auto"/>
        <w:ind w:firstLine="708"/>
        <w:jc w:val="both"/>
      </w:pPr>
      <w:r>
        <w:rPr>
          <w:rFonts w:ascii="Times New Roman" w:hAnsi="Times New Roman" w:eastAsia="Times New Roman" w:cs="Times New Roman"/>
          <w:color w:val="000000"/>
          <w:sz w:val="28"/>
          <w:szCs w:val="28"/>
        </w:rPr>
        <w:t>50. Виленский, П. Л. Оценка эффективности инвестиционных проектов: теория и практика : учебно-практическое пособие / П. Л. Виленский, В. Н. Лившиц, С. А. Смоляк. — 5-е изд., перераб. и доп. — Москва : Дело, 2022. — 1104 с. — ISBN 978-5-7749-1645-3.</w:t>
      </w:r>
    </w:p>
    <w:p w14:paraId="0F606609">
      <w:pPr>
        <w:spacing w:before="0" w:after="0" w:line="360" w:lineRule="auto"/>
      </w:pPr>
      <w:r>
        <w:rPr>
          <w:rFonts w:ascii="Times New Roman" w:hAnsi="Times New Roman" w:eastAsia="Times New Roman" w:cs="Times New Roman"/>
          <w:color w:val="000000"/>
          <w:sz w:val="28"/>
        </w:rPr>
        <w:br w:type="page"/>
      </w:r>
    </w:p>
    <w:p w14:paraId="1E5882F5">
      <w:pPr>
        <w:pStyle w:val="2"/>
        <w:pageBreakBefore/>
        <w:spacing w:before="0" w:after="0" w:line="360" w:lineRule="auto"/>
        <w:jc w:val="center"/>
      </w:pPr>
      <w:bookmarkStart w:id="20" w:name="_Toc2079268590"/>
      <w:r>
        <w:rPr>
          <w:rFonts w:ascii="Times New Roman" w:hAnsi="Times New Roman" w:eastAsia="Times New Roman" w:cs="Times New Roman"/>
          <w:b/>
          <w:color w:val="000000"/>
          <w:sz w:val="28"/>
        </w:rPr>
        <w:t>СПИСОК ИЛЛЮСТРАТИВНОГО МАТЕРИАЛА</w:t>
      </w:r>
      <w:bookmarkEnd w:id="20"/>
    </w:p>
    <w:p w14:paraId="61E88C6A">
      <w:pPr>
        <w:spacing w:before="0" w:after="0" w:line="360" w:lineRule="auto"/>
        <w:jc w:val="left"/>
      </w:pPr>
      <w:r>
        <w:rPr>
          <w:rFonts w:ascii="Times New Roman" w:hAnsi="Times New Roman" w:eastAsia="Times New Roman" w:cs="Times New Roman"/>
          <w:b/>
          <w:color w:val="000000"/>
          <w:sz w:val="28"/>
        </w:rPr>
        <w:t>Перечень рисунков</w:t>
      </w:r>
    </w:p>
    <w:p w14:paraId="4CC7FBB2">
      <w:pPr>
        <w:spacing w:before="0" w:after="0" w:line="360" w:lineRule="auto"/>
        <w:jc w:val="left"/>
      </w:pPr>
      <w:r>
        <w:rPr>
          <w:rFonts w:ascii="Times New Roman" w:hAnsi="Times New Roman" w:eastAsia="Times New Roman" w:cs="Times New Roman"/>
          <w:color w:val="000000"/>
          <w:sz w:val="28"/>
        </w:rPr>
        <w:t>Рисунок 1.1 – BPMN-диаграмма as-is процесса создания видеомэппинга (традиционный подход)</w:t>
      </w:r>
    </w:p>
    <w:p w14:paraId="224D9881">
      <w:pPr>
        <w:spacing w:before="0" w:after="0" w:line="360" w:lineRule="auto"/>
        <w:jc w:val="left"/>
      </w:pPr>
      <w:r>
        <w:rPr>
          <w:rFonts w:ascii="Times New Roman" w:hAnsi="Times New Roman" w:eastAsia="Times New Roman" w:cs="Times New Roman"/>
          <w:color w:val="000000"/>
          <w:sz w:val="28"/>
        </w:rPr>
        <w:t>Рисунок 1.2 – IDEF0 контекстная диаграмма процесса создания видеомэппинга (А0)</w:t>
      </w:r>
    </w:p>
    <w:p w14:paraId="23705DA1">
      <w:pPr>
        <w:spacing w:before="0" w:after="0" w:line="360" w:lineRule="auto"/>
        <w:jc w:val="left"/>
      </w:pPr>
      <w:r>
        <w:rPr>
          <w:rFonts w:ascii="Times New Roman" w:hAnsi="Times New Roman" w:eastAsia="Times New Roman" w:cs="Times New Roman"/>
          <w:color w:val="000000"/>
          <w:sz w:val="28"/>
        </w:rPr>
        <w:t>Рисунок 1.3 – BPMN-диаграмма to-be процесса создания видеомэппинга (оптимизированный подход)</w:t>
      </w:r>
    </w:p>
    <w:p w14:paraId="06E3647F">
      <w:pPr>
        <w:spacing w:before="0" w:after="0" w:line="360" w:lineRule="auto"/>
        <w:jc w:val="left"/>
      </w:pPr>
      <w:r>
        <w:rPr>
          <w:rFonts w:ascii="Times New Roman" w:hAnsi="Times New Roman" w:eastAsia="Times New Roman" w:cs="Times New Roman"/>
          <w:color w:val="000000"/>
          <w:sz w:val="28"/>
        </w:rPr>
        <w:t>Рисунок 1.4 – Business Model Canvas стартапа «Эксперимент 619»</w:t>
      </w:r>
    </w:p>
    <w:p w14:paraId="5E32445B">
      <w:pPr>
        <w:spacing w:before="0" w:after="0" w:line="360" w:lineRule="auto"/>
        <w:jc w:val="left"/>
      </w:pPr>
      <w:r>
        <w:rPr>
          <w:rFonts w:ascii="Times New Roman" w:hAnsi="Times New Roman" w:eastAsia="Times New Roman" w:cs="Times New Roman"/>
          <w:color w:val="000000"/>
          <w:sz w:val="28"/>
        </w:rPr>
        <w:t>Рисунок 2.1 – Структура выручки стартапа «Эксперимент 619» по источникам дохода</w:t>
      </w:r>
    </w:p>
    <w:p w14:paraId="29F0BF0B">
      <w:pPr>
        <w:spacing w:before="0" w:after="0" w:line="360" w:lineRule="auto"/>
        <w:jc w:val="left"/>
      </w:pPr>
      <w:r>
        <w:rPr>
          <w:rFonts w:ascii="Times New Roman" w:hAnsi="Times New Roman" w:eastAsia="Times New Roman" w:cs="Times New Roman"/>
          <w:color w:val="000000"/>
          <w:sz w:val="28"/>
        </w:rPr>
        <w:t>Рисунок 3.1 – Конкурентная карта рынка ПО для видеомэппинга</w:t>
      </w:r>
    </w:p>
    <w:p w14:paraId="593C69E3">
      <w:pPr>
        <w:spacing w:before="0" w:after="0" w:line="360" w:lineRule="auto"/>
        <w:jc w:val="left"/>
      </w:pPr>
      <w:r>
        <w:rPr>
          <w:rFonts w:ascii="Times New Roman" w:hAnsi="Times New Roman" w:eastAsia="Times New Roman" w:cs="Times New Roman"/>
          <w:color w:val="000000"/>
          <w:sz w:val="28"/>
        </w:rPr>
        <w:t>Рисунок 3.2 – Дорожная карта развития стартапа «Эксперимент 619» 2022–2027</w:t>
      </w:r>
    </w:p>
    <w:p w14:paraId="04B63D28">
      <w:pPr>
        <w:spacing w:before="0" w:after="0" w:line="360" w:lineRule="auto"/>
        <w:jc w:val="left"/>
      </w:pPr>
    </w:p>
    <w:p w14:paraId="6F0CCF8D">
      <w:pPr>
        <w:spacing w:before="0" w:after="0" w:line="360" w:lineRule="auto"/>
        <w:jc w:val="left"/>
      </w:pPr>
      <w:r>
        <w:rPr>
          <w:rFonts w:ascii="Times New Roman" w:hAnsi="Times New Roman" w:eastAsia="Times New Roman" w:cs="Times New Roman"/>
          <w:b/>
          <w:color w:val="000000"/>
          <w:sz w:val="28"/>
        </w:rPr>
        <w:t>Перечень таблиц</w:t>
      </w:r>
    </w:p>
    <w:p w14:paraId="7EBB67B7">
      <w:pPr>
        <w:spacing w:before="0" w:after="0" w:line="360" w:lineRule="auto"/>
        <w:jc w:val="left"/>
      </w:pPr>
      <w:r>
        <w:rPr>
          <w:rFonts w:ascii="Times New Roman" w:hAnsi="Times New Roman" w:eastAsia="Times New Roman" w:cs="Times New Roman"/>
          <w:color w:val="000000"/>
          <w:sz w:val="28"/>
        </w:rPr>
        <w:t>Таблица 1.1 – Сравнительный анализ ПО для видеомэппинга</w:t>
      </w:r>
    </w:p>
    <w:p w14:paraId="25E734FC">
      <w:pPr>
        <w:spacing w:before="0" w:after="0" w:line="360" w:lineRule="auto"/>
        <w:jc w:val="left"/>
      </w:pPr>
      <w:r>
        <w:rPr>
          <w:rFonts w:ascii="Times New Roman" w:hAnsi="Times New Roman" w:eastAsia="Times New Roman" w:cs="Times New Roman"/>
          <w:color w:val="000000"/>
          <w:sz w:val="28"/>
        </w:rPr>
        <w:t>Таблица 1.2 – Показатели юнит-экономики проекта (прогноз)</w:t>
      </w:r>
    </w:p>
    <w:p w14:paraId="3668A4C0">
      <w:pPr>
        <w:spacing w:before="0" w:after="0" w:line="360" w:lineRule="auto"/>
        <w:jc w:val="left"/>
      </w:pPr>
      <w:r>
        <w:rPr>
          <w:rFonts w:ascii="Times New Roman" w:hAnsi="Times New Roman" w:eastAsia="Times New Roman" w:cs="Times New Roman"/>
          <w:color w:val="000000"/>
          <w:sz w:val="28"/>
        </w:rPr>
        <w:t>Таблица 2.1 – Структура себестоимости одного сеанса генерации видеомэппинга</w:t>
      </w:r>
    </w:p>
    <w:p w14:paraId="0EA021F5">
      <w:pPr>
        <w:spacing w:before="0" w:after="0" w:line="360" w:lineRule="auto"/>
        <w:jc w:val="left"/>
      </w:pPr>
      <w:r>
        <w:rPr>
          <w:rFonts w:ascii="Times New Roman" w:hAnsi="Times New Roman" w:eastAsia="Times New Roman" w:cs="Times New Roman"/>
          <w:color w:val="000000"/>
          <w:sz w:val="28"/>
        </w:rPr>
        <w:t>Таблица 2.2 – Показатели unit-экономики продукта «Эксперимент 619»</w:t>
      </w:r>
    </w:p>
    <w:p w14:paraId="250CDE24">
      <w:pPr>
        <w:spacing w:before="0" w:after="0" w:line="360" w:lineRule="auto"/>
        <w:jc w:val="left"/>
      </w:pPr>
      <w:r>
        <w:rPr>
          <w:rFonts w:ascii="Times New Roman" w:hAnsi="Times New Roman" w:eastAsia="Times New Roman" w:cs="Times New Roman"/>
          <w:color w:val="000000"/>
          <w:sz w:val="28"/>
        </w:rPr>
        <w:t>Таблица 2.3 – Сравнение облачной и гибридной моделей развёртывания</w:t>
      </w:r>
    </w:p>
    <w:p w14:paraId="5C794B7E">
      <w:pPr>
        <w:spacing w:before="0" w:after="0" w:line="360" w:lineRule="auto"/>
        <w:jc w:val="left"/>
      </w:pPr>
      <w:r>
        <w:rPr>
          <w:rFonts w:ascii="Times New Roman" w:hAnsi="Times New Roman" w:eastAsia="Times New Roman" w:cs="Times New Roman"/>
          <w:color w:val="000000"/>
          <w:sz w:val="28"/>
        </w:rPr>
        <w:t>Таблица 2.4 – Ключевые параметры финансовой модели</w:t>
      </w:r>
    </w:p>
    <w:p w14:paraId="641DA060">
      <w:pPr>
        <w:spacing w:before="0" w:after="0" w:line="360" w:lineRule="auto"/>
        <w:jc w:val="left"/>
      </w:pPr>
      <w:r>
        <w:rPr>
          <w:rFonts w:ascii="Times New Roman" w:hAnsi="Times New Roman" w:eastAsia="Times New Roman" w:cs="Times New Roman"/>
          <w:color w:val="000000"/>
          <w:sz w:val="28"/>
        </w:rPr>
        <w:t>Таблица 2.5 – Прогноз финансовых показателей (базовый сценарий)</w:t>
      </w:r>
    </w:p>
    <w:p w14:paraId="241400BA">
      <w:pPr>
        <w:spacing w:before="0" w:after="0" w:line="360" w:lineRule="auto"/>
        <w:jc w:val="left"/>
      </w:pPr>
      <w:r>
        <w:rPr>
          <w:rFonts w:ascii="Times New Roman" w:hAnsi="Times New Roman" w:eastAsia="Times New Roman" w:cs="Times New Roman"/>
          <w:color w:val="000000"/>
          <w:sz w:val="28"/>
        </w:rPr>
        <w:t>Таблица 3.1 – Сводные инвестиционные показатели проекта</w:t>
      </w:r>
    </w:p>
    <w:p w14:paraId="4A077706">
      <w:pPr>
        <w:spacing w:before="0" w:after="0" w:line="360" w:lineRule="auto"/>
        <w:jc w:val="left"/>
      </w:pPr>
      <w:r>
        <w:rPr>
          <w:rFonts w:ascii="Times New Roman" w:hAnsi="Times New Roman" w:eastAsia="Times New Roman" w:cs="Times New Roman"/>
          <w:color w:val="000000"/>
          <w:sz w:val="28"/>
        </w:rPr>
        <w:t>Таблица 3.2 – Анализ чувствительности NPV к изменению ключевых параметров</w:t>
      </w:r>
    </w:p>
    <w:p w14:paraId="5CD48570">
      <w:pPr>
        <w:spacing w:before="0" w:after="0" w:line="360" w:lineRule="auto"/>
        <w:jc w:val="left"/>
      </w:pPr>
      <w:r>
        <w:rPr>
          <w:rFonts w:ascii="Times New Roman" w:hAnsi="Times New Roman" w:eastAsia="Times New Roman" w:cs="Times New Roman"/>
          <w:color w:val="000000"/>
          <w:sz w:val="28"/>
        </w:rPr>
        <w:t>Таблица 3.3 – Стратегия выхода на рынок: этапы и ключевые метрики</w:t>
      </w:r>
    </w:p>
    <w:p w14:paraId="18434752">
      <w:pPr>
        <w:spacing w:before="0" w:after="0" w:line="360" w:lineRule="auto"/>
        <w:jc w:val="left"/>
      </w:pPr>
      <w:r>
        <w:rPr>
          <w:rFonts w:ascii="Times New Roman" w:hAnsi="Times New Roman" w:eastAsia="Times New Roman" w:cs="Times New Roman"/>
          <w:color w:val="000000"/>
          <w:sz w:val="28"/>
        </w:rPr>
        <w:t>Таблица 3.4 – Календарный график внедрения и коммерциализации</w:t>
      </w:r>
    </w:p>
    <w:p w14:paraId="16A76C08">
      <w:pPr>
        <w:spacing w:before="0" w:after="0" w:line="360" w:lineRule="auto"/>
        <w:jc w:val="left"/>
      </w:pPr>
      <w:r>
        <w:rPr>
          <w:rFonts w:ascii="Times New Roman" w:hAnsi="Times New Roman" w:eastAsia="Times New Roman" w:cs="Times New Roman"/>
          <w:color w:val="000000"/>
          <w:sz w:val="28"/>
        </w:rPr>
        <w:t>Таблица 3.5 – Результаты апробации ПО на пилотных проектах</w:t>
      </w:r>
    </w:p>
    <w:p w14:paraId="24473DBA">
      <w:pPr>
        <w:spacing w:before="0" w:after="0" w:line="360" w:lineRule="auto"/>
        <w:jc w:val="left"/>
      </w:pPr>
      <w:r>
        <w:rPr>
          <w:rFonts w:ascii="Times New Roman" w:hAnsi="Times New Roman" w:eastAsia="Times New Roman" w:cs="Times New Roman"/>
          <w:color w:val="000000"/>
          <w:sz w:val="28"/>
        </w:rPr>
        <w:t>Таблица 3.6 – Матрица рисков проекта «Эксперимент 619»</w:t>
      </w:r>
    </w:p>
    <w:p w14:paraId="22C6FD7E">
      <w:pPr>
        <w:pStyle w:val="2"/>
        <w:pageBreakBefore/>
        <w:spacing w:before="0" w:after="0" w:line="360" w:lineRule="auto"/>
        <w:jc w:val="center"/>
      </w:pPr>
      <w:bookmarkStart w:id="21" w:name="_Toc265804499"/>
      <w:r>
        <w:rPr>
          <w:rFonts w:ascii="Times New Roman" w:hAnsi="Times New Roman" w:eastAsia="Times New Roman" w:cs="Times New Roman"/>
          <w:b/>
          <w:color w:val="000000"/>
          <w:sz w:val="28"/>
          <w:szCs w:val="28"/>
        </w:rPr>
        <w:t>ПРИЛОЖЕНИЕ А (обязательное)</w:t>
      </w:r>
      <w:bookmarkEnd w:id="21"/>
    </w:p>
    <w:p w14:paraId="0A7D62EB">
      <w:pPr>
        <w:spacing w:before="0" w:after="0" w:line="360" w:lineRule="auto"/>
        <w:jc w:val="center"/>
      </w:pPr>
      <w:r>
        <w:rPr>
          <w:rFonts w:ascii="Times New Roman" w:hAnsi="Times New Roman" w:eastAsia="Times New Roman" w:cs="Times New Roman"/>
          <w:b/>
          <w:color w:val="000000"/>
          <w:sz w:val="28"/>
        </w:rPr>
        <w:t>Гайд глубинного интервью</w:t>
      </w:r>
    </w:p>
    <w:p w14:paraId="1CEF576B">
      <w:pPr>
        <w:spacing w:before="0" w:after="0" w:line="360" w:lineRule="auto"/>
        <w:ind w:firstLine="708"/>
        <w:jc w:val="both"/>
      </w:pPr>
      <w:r>
        <w:rPr>
          <w:rFonts w:ascii="Times New Roman" w:hAnsi="Times New Roman" w:eastAsia="Times New Roman" w:cs="Times New Roman"/>
          <w:color w:val="000000"/>
          <w:sz w:val="28"/>
          <w:szCs w:val="28"/>
        </w:rPr>
        <w:t>Цель исследования. Этот гайд я подготовил для серии глубинных интервью по методологии Customer Development С. Бланка [13] с представителями четырёх целевых сегментов рынка ПО для видеомэппинга: ивент-агентства, музеи и выставочные центры, рекламные и брендинговые агентства, образовательные учреждения. Интервью решает четыре задачи: проверить продуктовые гипотезы, восстановить структуру болей (jobs-to-be-done), оценить чувствительность к цене и собрать данные для расчёта юнит-экономики. Одно интервью идёт 45–60 минут; формат — индивидуальный, видеозвонок или очная встреча; запись делаю с письменного согласия собеседника.</w:t>
      </w:r>
    </w:p>
    <w:p w14:paraId="4B5FDD91">
      <w:pPr>
        <w:spacing w:before="0" w:after="0" w:line="360" w:lineRule="auto"/>
        <w:ind w:firstLine="708"/>
        <w:jc w:val="both"/>
      </w:pPr>
      <w:r>
        <w:rPr>
          <w:rFonts w:ascii="Times New Roman" w:hAnsi="Times New Roman" w:eastAsia="Times New Roman" w:cs="Times New Roman"/>
          <w:color w:val="000000"/>
          <w:sz w:val="28"/>
          <w:szCs w:val="28"/>
        </w:rPr>
        <w:t>Скрининг-вопросы (отбор респондентов).</w:t>
      </w:r>
    </w:p>
    <w:p w14:paraId="0E4178E0">
      <w:pPr>
        <w:spacing w:before="0" w:after="0" w:line="360" w:lineRule="auto"/>
        <w:ind w:firstLine="708"/>
        <w:jc w:val="both"/>
      </w:pPr>
      <w:r>
        <w:rPr>
          <w:rFonts w:ascii="Times New Roman" w:hAnsi="Times New Roman" w:eastAsia="Times New Roman" w:cs="Times New Roman"/>
          <w:color w:val="000000"/>
          <w:sz w:val="28"/>
          <w:szCs w:val="28"/>
        </w:rPr>
        <w:t>Вопрос 1. Какую роль вы занимаете в организации и какова сфера её деятельности?</w:t>
      </w:r>
    </w:p>
    <w:p w14:paraId="5A74E11F">
      <w:pPr>
        <w:spacing w:before="0" w:after="0" w:line="360" w:lineRule="auto"/>
        <w:ind w:firstLine="708"/>
        <w:jc w:val="both"/>
      </w:pPr>
      <w:r>
        <w:rPr>
          <w:rFonts w:ascii="Times New Roman" w:hAnsi="Times New Roman" w:eastAsia="Times New Roman" w:cs="Times New Roman"/>
          <w:color w:val="000000"/>
          <w:sz w:val="28"/>
          <w:szCs w:val="28"/>
        </w:rPr>
        <w:t>Вопрос 2. Заказывала ли ваша организация проекты видеомэппинга или подобные иммерсивные медиаформаты в течение последних 12 месяцев?</w:t>
      </w:r>
    </w:p>
    <w:p w14:paraId="7CF798FC">
      <w:pPr>
        <w:spacing w:before="0" w:after="0" w:line="360" w:lineRule="auto"/>
        <w:ind w:firstLine="708"/>
        <w:jc w:val="both"/>
      </w:pPr>
      <w:r>
        <w:rPr>
          <w:rFonts w:ascii="Times New Roman" w:hAnsi="Times New Roman" w:eastAsia="Times New Roman" w:cs="Times New Roman"/>
          <w:color w:val="000000"/>
          <w:sz w:val="28"/>
          <w:szCs w:val="28"/>
        </w:rPr>
        <w:t>Вопрос 3. Кто в вашей организации принимает решение о выборе подрядчика и о согласовании бюджета на такие проекты?</w:t>
      </w:r>
    </w:p>
    <w:p w14:paraId="493CF64A">
      <w:pPr>
        <w:spacing w:before="0" w:after="0" w:line="360" w:lineRule="auto"/>
        <w:ind w:firstLine="708"/>
        <w:jc w:val="both"/>
      </w:pPr>
      <w:r>
        <w:rPr>
          <w:rFonts w:ascii="Times New Roman" w:hAnsi="Times New Roman" w:eastAsia="Times New Roman" w:cs="Times New Roman"/>
          <w:color w:val="000000"/>
          <w:sz w:val="28"/>
          <w:szCs w:val="28"/>
        </w:rPr>
        <w:t>Вопрос 4. Какой объём проектов мэппинга планируется в ближайшие 12 месяцев и каков ориентировочный совокупный бюджет?</w:t>
      </w:r>
    </w:p>
    <w:p w14:paraId="728428DC">
      <w:pPr>
        <w:spacing w:before="0" w:after="0" w:line="360" w:lineRule="auto"/>
        <w:ind w:firstLine="708"/>
        <w:jc w:val="both"/>
      </w:pPr>
      <w:r>
        <w:rPr>
          <w:rFonts w:ascii="Times New Roman" w:hAnsi="Times New Roman" w:eastAsia="Times New Roman" w:cs="Times New Roman"/>
          <w:color w:val="000000"/>
          <w:sz w:val="28"/>
          <w:szCs w:val="28"/>
        </w:rPr>
        <w:t>Вопрос 5. Готовы ли вы потратить 45–60 минут на содержательное интервью без раскрытия коммерческих секретов вашей организации?</w:t>
      </w:r>
    </w:p>
    <w:p w14:paraId="6464A8B4">
      <w:pPr>
        <w:spacing w:before="0" w:after="0" w:line="360" w:lineRule="auto"/>
        <w:ind w:firstLine="708"/>
        <w:jc w:val="both"/>
      </w:pPr>
      <w:r>
        <w:rPr>
          <w:rFonts w:ascii="Times New Roman" w:hAnsi="Times New Roman" w:eastAsia="Times New Roman" w:cs="Times New Roman"/>
          <w:color w:val="000000"/>
          <w:sz w:val="28"/>
          <w:szCs w:val="28"/>
        </w:rPr>
        <w:t>Основной блок (боли, jobs-to-be-done, конкуренты, цена, опыт).</w:t>
      </w:r>
    </w:p>
    <w:p w14:paraId="7FA5FF1F">
      <w:pPr>
        <w:spacing w:before="0" w:after="0" w:line="360" w:lineRule="auto"/>
        <w:ind w:firstLine="708"/>
        <w:jc w:val="both"/>
      </w:pPr>
      <w:r>
        <w:rPr>
          <w:rFonts w:ascii="Times New Roman" w:hAnsi="Times New Roman" w:eastAsia="Times New Roman" w:cs="Times New Roman"/>
          <w:color w:val="000000"/>
          <w:sz w:val="28"/>
          <w:szCs w:val="28"/>
        </w:rPr>
        <w:t>Вопрос 6. Опишите последний проект видеомэппинга, в котором вы участвовали: задача, сроки, состав команды, выбранный подрядчик.</w:t>
      </w:r>
    </w:p>
    <w:p w14:paraId="5A35C153">
      <w:pPr>
        <w:spacing w:before="0" w:after="0" w:line="360" w:lineRule="auto"/>
        <w:ind w:firstLine="708"/>
        <w:jc w:val="both"/>
      </w:pPr>
      <w:r>
        <w:rPr>
          <w:rFonts w:ascii="Times New Roman" w:hAnsi="Times New Roman" w:eastAsia="Times New Roman" w:cs="Times New Roman"/>
          <w:color w:val="000000"/>
          <w:sz w:val="28"/>
          <w:szCs w:val="28"/>
        </w:rPr>
        <w:t>Вопрос 7. Какие этапы процесса оказались наиболее трудоёмкими и почему?</w:t>
      </w:r>
    </w:p>
    <w:p w14:paraId="19658998">
      <w:pPr>
        <w:spacing w:before="0" w:after="0" w:line="360" w:lineRule="auto"/>
        <w:ind w:firstLine="708"/>
        <w:jc w:val="both"/>
      </w:pPr>
      <w:r>
        <w:rPr>
          <w:rFonts w:ascii="Times New Roman" w:hAnsi="Times New Roman" w:eastAsia="Times New Roman" w:cs="Times New Roman"/>
          <w:color w:val="000000"/>
          <w:sz w:val="28"/>
          <w:szCs w:val="28"/>
        </w:rPr>
        <w:t>Вопрос 8. Сколько времени в среднем занимает у вас цикл подготовки одного проекта: от технического задания до сдачи готового шоу?</w:t>
      </w:r>
    </w:p>
    <w:p w14:paraId="20CC1AA7">
      <w:pPr>
        <w:spacing w:before="0" w:after="0" w:line="360" w:lineRule="auto"/>
        <w:ind w:firstLine="708"/>
        <w:jc w:val="both"/>
      </w:pPr>
      <w:r>
        <w:rPr>
          <w:rFonts w:ascii="Times New Roman" w:hAnsi="Times New Roman" w:eastAsia="Times New Roman" w:cs="Times New Roman"/>
          <w:color w:val="000000"/>
          <w:sz w:val="28"/>
          <w:szCs w:val="28"/>
        </w:rPr>
        <w:t>Вопрос 9. С какими программными продуктами вы или ваши подрядчики работали (MadMapper, Resolume, TouchDesigner, Blender, HeavyM, иное)?</w:t>
      </w:r>
    </w:p>
    <w:p w14:paraId="2B86E46C">
      <w:pPr>
        <w:spacing w:before="0" w:after="0" w:line="360" w:lineRule="auto"/>
        <w:ind w:firstLine="708"/>
        <w:jc w:val="both"/>
      </w:pPr>
      <w:r>
        <w:rPr>
          <w:rFonts w:ascii="Times New Roman" w:hAnsi="Times New Roman" w:eastAsia="Times New Roman" w:cs="Times New Roman"/>
          <w:color w:val="000000"/>
          <w:sz w:val="28"/>
          <w:szCs w:val="28"/>
        </w:rPr>
        <w:t>Вопрос 10. Какие ограничения этих продуктов наиболее болезненны для вас?</w:t>
      </w:r>
    </w:p>
    <w:p w14:paraId="39A22600">
      <w:pPr>
        <w:spacing w:before="0" w:after="0" w:line="360" w:lineRule="auto"/>
        <w:ind w:firstLine="708"/>
        <w:jc w:val="both"/>
      </w:pPr>
      <w:r>
        <w:rPr>
          <w:rFonts w:ascii="Times New Roman" w:hAnsi="Times New Roman" w:eastAsia="Times New Roman" w:cs="Times New Roman"/>
          <w:color w:val="000000"/>
          <w:sz w:val="28"/>
          <w:szCs w:val="28"/>
        </w:rPr>
        <w:t>Вопрос 11. Если описать желаемый результат одной фразой — что именно даёт ценность вам как заказчику или продюсеру проекта?</w:t>
      </w:r>
    </w:p>
    <w:p w14:paraId="64DC4684">
      <w:pPr>
        <w:spacing w:before="0" w:after="0" w:line="360" w:lineRule="auto"/>
        <w:ind w:firstLine="708"/>
        <w:jc w:val="both"/>
      </w:pPr>
      <w:r>
        <w:rPr>
          <w:rFonts w:ascii="Times New Roman" w:hAnsi="Times New Roman" w:eastAsia="Times New Roman" w:cs="Times New Roman"/>
          <w:color w:val="000000"/>
          <w:sz w:val="28"/>
          <w:szCs w:val="28"/>
        </w:rPr>
        <w:t>Вопрос 12. Какой бюджет вы считаете нормальным для разового проекта мэппинга и для годового лицензионного использования профильного ПО?</w:t>
      </w:r>
    </w:p>
    <w:p w14:paraId="01CF5B6C">
      <w:pPr>
        <w:spacing w:before="0" w:after="0" w:line="360" w:lineRule="auto"/>
        <w:ind w:firstLine="708"/>
        <w:jc w:val="both"/>
      </w:pPr>
      <w:r>
        <w:rPr>
          <w:rFonts w:ascii="Times New Roman" w:hAnsi="Times New Roman" w:eastAsia="Times New Roman" w:cs="Times New Roman"/>
          <w:color w:val="000000"/>
          <w:sz w:val="28"/>
          <w:szCs w:val="28"/>
        </w:rPr>
        <w:t>Вопрос 13. По какой схеме вы предпочли бы оплачивать ПО: ежемесячная подписка, разовая покупка лицензии, оплата за проект, гибрид?</w:t>
      </w:r>
    </w:p>
    <w:p w14:paraId="2BF872FE">
      <w:pPr>
        <w:spacing w:before="0" w:after="0" w:line="360" w:lineRule="auto"/>
        <w:ind w:firstLine="708"/>
        <w:jc w:val="both"/>
      </w:pPr>
      <w:r>
        <w:rPr>
          <w:rFonts w:ascii="Times New Roman" w:hAnsi="Times New Roman" w:eastAsia="Times New Roman" w:cs="Times New Roman"/>
          <w:color w:val="000000"/>
          <w:sz w:val="28"/>
          <w:szCs w:val="28"/>
        </w:rPr>
        <w:t>Вопрос 14. Какой уровень ежемесячной подписки вам кажется заведомо слишком высоким и какой — настолько низким, что вызывает сомнение в качестве? (последовательность вопросов теста Ван Вестендорпа).</w:t>
      </w:r>
    </w:p>
    <w:p w14:paraId="57C453F7">
      <w:pPr>
        <w:spacing w:before="0" w:after="0" w:line="360" w:lineRule="auto"/>
        <w:ind w:firstLine="708"/>
        <w:jc w:val="both"/>
      </w:pPr>
      <w:r>
        <w:rPr>
          <w:rFonts w:ascii="Times New Roman" w:hAnsi="Times New Roman" w:eastAsia="Times New Roman" w:cs="Times New Roman"/>
          <w:color w:val="000000"/>
          <w:sz w:val="28"/>
          <w:szCs w:val="28"/>
        </w:rPr>
        <w:t>Вопрос 15. Что произойдёт в вашей операционной деятельности, если время подготовки проекта сократится в 10 раз, а себестоимость — в 4 раза?</w:t>
      </w:r>
    </w:p>
    <w:p w14:paraId="673DAF00">
      <w:pPr>
        <w:spacing w:before="0" w:after="0" w:line="360" w:lineRule="auto"/>
        <w:ind w:firstLine="708"/>
        <w:jc w:val="both"/>
      </w:pPr>
      <w:r>
        <w:rPr>
          <w:rFonts w:ascii="Times New Roman" w:hAnsi="Times New Roman" w:eastAsia="Times New Roman" w:cs="Times New Roman"/>
          <w:color w:val="000000"/>
          <w:sz w:val="28"/>
          <w:szCs w:val="28"/>
        </w:rPr>
        <w:t>Вопрос 16. Каких функциональных возможностей вам не хватает в текущих инструментах в первую очередь?</w:t>
      </w:r>
    </w:p>
    <w:p w14:paraId="2463A5E3">
      <w:pPr>
        <w:spacing w:before="0" w:after="0" w:line="360" w:lineRule="auto"/>
        <w:ind w:firstLine="708"/>
        <w:jc w:val="both"/>
      </w:pPr>
      <w:r>
        <w:rPr>
          <w:rFonts w:ascii="Times New Roman" w:hAnsi="Times New Roman" w:eastAsia="Times New Roman" w:cs="Times New Roman"/>
          <w:color w:val="000000"/>
          <w:sz w:val="28"/>
          <w:szCs w:val="28"/>
        </w:rPr>
        <w:t>Вопрос 17. Какие критерии надёжности подрядчика и ПО критичны для вашей организации (поддержка, SLA, локализация, наличие в реестре Минцифры)?</w:t>
      </w:r>
    </w:p>
    <w:p w14:paraId="1482615C">
      <w:pPr>
        <w:spacing w:before="0" w:after="0" w:line="360" w:lineRule="auto"/>
        <w:ind w:firstLine="708"/>
        <w:jc w:val="both"/>
      </w:pPr>
      <w:r>
        <w:rPr>
          <w:rFonts w:ascii="Times New Roman" w:hAnsi="Times New Roman" w:eastAsia="Times New Roman" w:cs="Times New Roman"/>
          <w:color w:val="000000"/>
          <w:sz w:val="28"/>
          <w:szCs w:val="28"/>
        </w:rPr>
        <w:t>Вопрос 18. Готовы ли вы стать пилотным клиентом и предоставить обратную связь в обмен на льготные условия использования продукта?</w:t>
      </w:r>
    </w:p>
    <w:p w14:paraId="3AD99EA9">
      <w:pPr>
        <w:spacing w:before="0" w:after="0" w:line="360" w:lineRule="auto"/>
        <w:ind w:firstLine="708"/>
        <w:jc w:val="both"/>
      </w:pPr>
      <w:r>
        <w:rPr>
          <w:rFonts w:ascii="Times New Roman" w:hAnsi="Times New Roman" w:eastAsia="Times New Roman" w:cs="Times New Roman"/>
          <w:color w:val="000000"/>
          <w:sz w:val="28"/>
          <w:szCs w:val="28"/>
        </w:rPr>
        <w:t>Завершающие вопросы.</w:t>
      </w:r>
    </w:p>
    <w:p w14:paraId="6D8A76EA">
      <w:pPr>
        <w:spacing w:before="0" w:after="0" w:line="360" w:lineRule="auto"/>
        <w:ind w:firstLine="708"/>
        <w:jc w:val="both"/>
      </w:pPr>
      <w:r>
        <w:rPr>
          <w:rFonts w:ascii="Times New Roman" w:hAnsi="Times New Roman" w:eastAsia="Times New Roman" w:cs="Times New Roman"/>
          <w:color w:val="000000"/>
          <w:sz w:val="28"/>
          <w:szCs w:val="28"/>
        </w:rPr>
        <w:t>Вопрос 19. С кем ещё, по вашему мнению, мне следует пообщаться по данной теме?</w:t>
      </w:r>
    </w:p>
    <w:p w14:paraId="77434181">
      <w:pPr>
        <w:spacing w:before="0" w:after="0" w:line="360" w:lineRule="auto"/>
        <w:ind w:firstLine="708"/>
        <w:jc w:val="both"/>
      </w:pPr>
      <w:r>
        <w:rPr>
          <w:rFonts w:ascii="Times New Roman" w:hAnsi="Times New Roman" w:eastAsia="Times New Roman" w:cs="Times New Roman"/>
          <w:color w:val="000000"/>
          <w:sz w:val="28"/>
          <w:szCs w:val="28"/>
        </w:rPr>
        <w:t>Вопрос 20. Есть ли вопросы, которые я не задал, но которые важны для понимания специфики вашего сегмента?</w:t>
      </w:r>
    </w:p>
    <w:p w14:paraId="113F453B">
      <w:pPr>
        <w:spacing w:before="0" w:after="0" w:line="360" w:lineRule="auto"/>
        <w:ind w:firstLine="708"/>
        <w:jc w:val="both"/>
      </w:pPr>
      <w:r>
        <w:rPr>
          <w:rFonts w:ascii="Times New Roman" w:hAnsi="Times New Roman" w:eastAsia="Times New Roman" w:cs="Times New Roman"/>
          <w:color w:val="000000"/>
          <w:sz w:val="28"/>
          <w:szCs w:val="28"/>
        </w:rPr>
        <w:t>Вопрос 21. Согласны ли вы повторно встретиться через 3–4 месяца для обсуждения промежуточных результатов исследования и тестирования прототипа?</w:t>
      </w:r>
    </w:p>
    <w:p w14:paraId="36A7476E">
      <w:pPr>
        <w:spacing w:before="0" w:after="0" w:line="360" w:lineRule="auto"/>
        <w:ind w:firstLine="708"/>
        <w:jc w:val="both"/>
      </w:pPr>
      <w:r>
        <w:rPr>
          <w:rFonts w:ascii="Times New Roman" w:hAnsi="Times New Roman" w:eastAsia="Times New Roman" w:cs="Times New Roman"/>
          <w:color w:val="000000"/>
          <w:sz w:val="28"/>
          <w:szCs w:val="28"/>
        </w:rPr>
        <w:t>Правила фиксации ответов. Я фиксирую ответы синхронно в структурированном шаблоне (таблица в Notion / Excel) с колонками «сегмент», «боль», «цитата», «ценовая точка», «гипотеза», «следующий шаг». Дословные цитаты длиной более одного предложения сохраняются в кавычках. После интервью в течение 24 часов я переношу ключевые наблюдения в сводный реестр CustDev и обновляю карту гипотез H1–H4. Все интервью проходят с письменным согласием на обработку обезличенных результатов в академических целях в соответствии с требованиями Федерального закона № 152-ФЗ «О персональных данных» [41].</w:t>
      </w:r>
    </w:p>
    <w:p w14:paraId="16D11F60">
      <w:pPr>
        <w:spacing w:before="0" w:after="0" w:line="360" w:lineRule="auto"/>
      </w:pPr>
      <w:r>
        <w:rPr>
          <w:rFonts w:ascii="Times New Roman" w:hAnsi="Times New Roman" w:eastAsia="Times New Roman" w:cs="Times New Roman"/>
          <w:color w:val="000000"/>
          <w:sz w:val="28"/>
        </w:rPr>
        <w:br w:type="page"/>
      </w:r>
    </w:p>
    <w:p w14:paraId="676412B9">
      <w:pPr>
        <w:pStyle w:val="2"/>
        <w:pageBreakBefore/>
        <w:spacing w:before="0" w:after="0" w:line="360" w:lineRule="auto"/>
        <w:jc w:val="center"/>
      </w:pPr>
      <w:bookmarkStart w:id="22" w:name="_Toc610228933"/>
      <w:r>
        <w:rPr>
          <w:rFonts w:ascii="Times New Roman" w:hAnsi="Times New Roman" w:eastAsia="Times New Roman" w:cs="Times New Roman"/>
          <w:b/>
          <w:color w:val="000000"/>
          <w:sz w:val="28"/>
          <w:szCs w:val="28"/>
        </w:rPr>
        <w:t>ПРИЛОЖЕНИЕ Б (обязательное)</w:t>
      </w:r>
      <w:bookmarkEnd w:id="22"/>
    </w:p>
    <w:p w14:paraId="2C900CE8">
      <w:pPr>
        <w:spacing w:before="0" w:after="0" w:line="360" w:lineRule="auto"/>
        <w:jc w:val="center"/>
      </w:pPr>
      <w:r>
        <w:rPr>
          <w:rFonts w:ascii="Times New Roman" w:hAnsi="Times New Roman" w:eastAsia="Times New Roman" w:cs="Times New Roman"/>
          <w:b/>
          <w:color w:val="000000"/>
          <w:sz w:val="28"/>
        </w:rPr>
        <w:t>Расчёт чистой приведённой стоимости и внутренней нормы доходности по сценариям</w:t>
      </w:r>
    </w:p>
    <w:p w14:paraId="2E9444D9">
      <w:pPr>
        <w:spacing w:before="0" w:after="0" w:line="360" w:lineRule="auto"/>
        <w:ind w:firstLine="708"/>
        <w:jc w:val="both"/>
      </w:pPr>
      <w:r>
        <w:rPr>
          <w:rFonts w:ascii="Times New Roman" w:hAnsi="Times New Roman" w:eastAsia="Times New Roman" w:cs="Times New Roman"/>
          <w:color w:val="000000"/>
          <w:sz w:val="28"/>
          <w:szCs w:val="28"/>
        </w:rPr>
        <w:t>Методологическая основа. Инвестиционную оценку проекта «Эксперимент 619» я провёл методом дисконтированных денежных потоков (Discounted Cash Flow, DCF) на горизонте 36 месяцев. Чистую приведённую стоимость (Net Present Value, NPV) я считал по формуле NPV = Σ (CFt / (1 + r)^t) − I0, где CFt — свободный денежный поток в периоде t, r — ставка дисконтирования (период — месяц), I0 — первоначальные инвестиции. Внутреннюю норму доходности (Internal Rate of Return, IRR) я определял как ставку, при которой NPV обнуляется: Σ (CFt / (1 + IRR)^t) = I0. Месячную ставку дисконтирования я пересчитывал из годовой ставки 20% по формуле rм = (1 + 0,20)^(1/12) − 1 = 0,01531 (1,531% в месяц); это соответствует методологии Брейли — Майерса — Аллена [27] и А. Дамодарана [28]. Все денежные потоки я привёл в номинальных рублях; инфляционные ожидания и валютные риски учтены в разделе 2.3 основного текста.</w:t>
      </w:r>
    </w:p>
    <w:p w14:paraId="004CB884">
      <w:pPr>
        <w:spacing w:before="0" w:after="0" w:line="360" w:lineRule="auto"/>
        <w:jc w:val="left"/>
      </w:pPr>
      <w:r>
        <w:rPr>
          <w:rFonts w:ascii="Times New Roman" w:hAnsi="Times New Roman" w:eastAsia="Times New Roman" w:cs="Times New Roman"/>
          <w:color w:val="000000"/>
          <w:sz w:val="28"/>
          <w:szCs w:val="28"/>
        </w:rPr>
        <w:t>Таблица Б.1 — Поквартальный денежный поток базового сценария</w:t>
      </w:r>
    </w:p>
    <w:p w14:paraId="1D037B81">
      <w:pPr>
        <w:spacing w:before="0" w:after="0" w:line="360" w:lineRule="auto"/>
        <w:ind w:firstLine="708"/>
        <w:jc w:val="both"/>
      </w:pPr>
      <w:r>
        <w:rPr>
          <w:rFonts w:ascii="Times New Roman" w:hAnsi="Times New Roman" w:eastAsia="Times New Roman" w:cs="Times New Roman"/>
          <w:color w:val="000000"/>
          <w:sz w:val="28"/>
          <w:szCs w:val="28"/>
        </w:rPr>
        <w:t>Квартал; Подписчики (конец периода); Выручка, тыс. руб.; OPEX, тыс. руб.; EBITDA, тыс. руб.; Свободный CF, тыс. руб.; Дисконт-фактор; Дисконтированный CF, тыс. руб.; Накопленный DCF, тыс. руб.</w:t>
      </w:r>
    </w:p>
    <w:p w14:paraId="121AE45F">
      <w:pPr>
        <w:spacing w:before="0" w:after="0" w:line="360" w:lineRule="auto"/>
        <w:ind w:firstLine="708"/>
        <w:jc w:val="both"/>
      </w:pPr>
      <w:r>
        <w:rPr>
          <w:rFonts w:ascii="Times New Roman" w:hAnsi="Times New Roman" w:eastAsia="Times New Roman" w:cs="Times New Roman"/>
          <w:color w:val="000000"/>
          <w:sz w:val="28"/>
          <w:szCs w:val="28"/>
        </w:rPr>
        <w:t>Q0 (стартовые инвестиции); 0; 0; 0; 0; −1 500; 1,0000; −1 500; −1 500</w:t>
      </w:r>
    </w:p>
    <w:p w14:paraId="53063EEB">
      <w:pPr>
        <w:spacing w:before="0" w:after="0" w:line="360" w:lineRule="auto"/>
        <w:ind w:firstLine="708"/>
        <w:jc w:val="both"/>
      </w:pPr>
      <w:r>
        <w:rPr>
          <w:rFonts w:ascii="Times New Roman" w:hAnsi="Times New Roman" w:eastAsia="Times New Roman" w:cs="Times New Roman"/>
          <w:color w:val="000000"/>
          <w:sz w:val="28"/>
          <w:szCs w:val="28"/>
        </w:rPr>
        <w:t>Q1 (мес. 1–3); 18; 200; 2 200; −2 000; −2 000; 0,9554; −1 911; −3 411</w:t>
      </w:r>
    </w:p>
    <w:p w14:paraId="6EA23C2F">
      <w:pPr>
        <w:spacing w:before="0" w:after="0" w:line="360" w:lineRule="auto"/>
        <w:ind w:firstLine="708"/>
        <w:jc w:val="both"/>
      </w:pPr>
      <w:r>
        <w:rPr>
          <w:rFonts w:ascii="Times New Roman" w:hAnsi="Times New Roman" w:eastAsia="Times New Roman" w:cs="Times New Roman"/>
          <w:color w:val="000000"/>
          <w:sz w:val="28"/>
          <w:szCs w:val="28"/>
        </w:rPr>
        <w:t>Q2 (мес. 4–6); 45; 580; 2 300; −1 720; −1 720; 0,9128; −1 570; −4 981</w:t>
      </w:r>
    </w:p>
    <w:p w14:paraId="2E1B65EA">
      <w:pPr>
        <w:spacing w:before="0" w:after="0" w:line="360" w:lineRule="auto"/>
        <w:ind w:firstLine="708"/>
        <w:jc w:val="both"/>
      </w:pPr>
      <w:r>
        <w:rPr>
          <w:rFonts w:ascii="Times New Roman" w:hAnsi="Times New Roman" w:eastAsia="Times New Roman" w:cs="Times New Roman"/>
          <w:color w:val="000000"/>
          <w:sz w:val="28"/>
          <w:szCs w:val="28"/>
        </w:rPr>
        <w:t>Q3 (мес. 7–9); 95; 1 250; 2 350; −1 100; −1 100; 0,8721; −959; −5 940</w:t>
      </w:r>
    </w:p>
    <w:p w14:paraId="2E4AD09F">
      <w:pPr>
        <w:spacing w:before="0" w:after="0" w:line="360" w:lineRule="auto"/>
        <w:ind w:firstLine="708"/>
        <w:jc w:val="both"/>
      </w:pPr>
      <w:r>
        <w:rPr>
          <w:rFonts w:ascii="Times New Roman" w:hAnsi="Times New Roman" w:eastAsia="Times New Roman" w:cs="Times New Roman"/>
          <w:color w:val="000000"/>
          <w:sz w:val="28"/>
          <w:szCs w:val="28"/>
        </w:rPr>
        <w:t>Q4 (мес. 10–12); 150; 2 100; 2 380; −280; −280; 0,8332; −233; −6 173</w:t>
      </w:r>
    </w:p>
    <w:p w14:paraId="0912C35D">
      <w:pPr>
        <w:spacing w:before="0" w:after="0" w:line="360" w:lineRule="auto"/>
        <w:ind w:firstLine="708"/>
        <w:jc w:val="both"/>
      </w:pPr>
      <w:r>
        <w:rPr>
          <w:rFonts w:ascii="Times New Roman" w:hAnsi="Times New Roman" w:eastAsia="Times New Roman" w:cs="Times New Roman"/>
          <w:color w:val="000000"/>
          <w:sz w:val="28"/>
          <w:szCs w:val="28"/>
        </w:rPr>
        <w:t>Q5 (мес. 13–15); 210; 2 950; 2 450; +500; +500; 0,7960; +398; −5 775</w:t>
      </w:r>
    </w:p>
    <w:p w14:paraId="4CED1986">
      <w:pPr>
        <w:spacing w:before="0" w:after="0" w:line="360" w:lineRule="auto"/>
        <w:ind w:firstLine="708"/>
        <w:jc w:val="both"/>
      </w:pPr>
      <w:r>
        <w:rPr>
          <w:rFonts w:ascii="Times New Roman" w:hAnsi="Times New Roman" w:eastAsia="Times New Roman" w:cs="Times New Roman"/>
          <w:color w:val="000000"/>
          <w:sz w:val="28"/>
          <w:szCs w:val="28"/>
        </w:rPr>
        <w:t>Q6 (мес. 16–18); 270; 3 750; 2 520; +1 230; +1 230; 0,7604; +935; −4 840</w:t>
      </w:r>
    </w:p>
    <w:p w14:paraId="35540480">
      <w:pPr>
        <w:spacing w:before="0" w:after="0" w:line="360" w:lineRule="auto"/>
        <w:ind w:firstLine="708"/>
        <w:jc w:val="both"/>
      </w:pPr>
      <w:r>
        <w:rPr>
          <w:rFonts w:ascii="Times New Roman" w:hAnsi="Times New Roman" w:eastAsia="Times New Roman" w:cs="Times New Roman"/>
          <w:color w:val="000000"/>
          <w:sz w:val="28"/>
          <w:szCs w:val="28"/>
        </w:rPr>
        <w:t>Q7 (мес. 19–21); 330; 4 600; 2 600; +2 000; +2 000; 0,7264; +1 453; −3 387</w:t>
      </w:r>
    </w:p>
    <w:p w14:paraId="086547A7">
      <w:pPr>
        <w:spacing w:before="0" w:after="0" w:line="360" w:lineRule="auto"/>
        <w:ind w:firstLine="708"/>
        <w:jc w:val="both"/>
      </w:pPr>
      <w:r>
        <w:rPr>
          <w:rFonts w:ascii="Times New Roman" w:hAnsi="Times New Roman" w:eastAsia="Times New Roman" w:cs="Times New Roman"/>
          <w:color w:val="000000"/>
          <w:sz w:val="28"/>
          <w:szCs w:val="28"/>
        </w:rPr>
        <w:t>Q8 (мес. 22–24); 395; 5 400; 2 700; +2 700; +2 700; 0,6939; +1 873; −1 514</w:t>
      </w:r>
    </w:p>
    <w:p w14:paraId="3556D2C2">
      <w:pPr>
        <w:spacing w:before="0" w:after="0" w:line="360" w:lineRule="auto"/>
        <w:ind w:firstLine="708"/>
        <w:jc w:val="both"/>
      </w:pPr>
      <w:r>
        <w:rPr>
          <w:rFonts w:ascii="Times New Roman" w:hAnsi="Times New Roman" w:eastAsia="Times New Roman" w:cs="Times New Roman"/>
          <w:color w:val="000000"/>
          <w:sz w:val="28"/>
          <w:szCs w:val="28"/>
        </w:rPr>
        <w:t>Q9 (мес. 25–27); 450; 6 200; 2 800; +3 400; +3 400; 0,6628; +2 253; +739</w:t>
      </w:r>
    </w:p>
    <w:p w14:paraId="00BAE81F">
      <w:pPr>
        <w:spacing w:before="0" w:after="0" w:line="360" w:lineRule="auto"/>
        <w:ind w:firstLine="708"/>
        <w:jc w:val="both"/>
      </w:pPr>
      <w:r>
        <w:rPr>
          <w:rFonts w:ascii="Times New Roman" w:hAnsi="Times New Roman" w:eastAsia="Times New Roman" w:cs="Times New Roman"/>
          <w:color w:val="000000"/>
          <w:sz w:val="28"/>
          <w:szCs w:val="28"/>
        </w:rPr>
        <w:t>Q10 (мес. 28–30); 510; 7 000; 2 900; +4 100; +4 100; 0,6332; +2 596; +3 335</w:t>
      </w:r>
    </w:p>
    <w:p w14:paraId="0545E299">
      <w:pPr>
        <w:spacing w:before="0" w:after="0" w:line="360" w:lineRule="auto"/>
        <w:ind w:firstLine="708"/>
        <w:jc w:val="both"/>
      </w:pPr>
      <w:r>
        <w:rPr>
          <w:rFonts w:ascii="Times New Roman" w:hAnsi="Times New Roman" w:eastAsia="Times New Roman" w:cs="Times New Roman"/>
          <w:color w:val="000000"/>
          <w:sz w:val="28"/>
          <w:szCs w:val="28"/>
        </w:rPr>
        <w:t>Q11 (мес. 31–33); 570; 7 800; 3 000; +4 800; +4 800; 0,6048; +2 903; +6 239</w:t>
      </w:r>
    </w:p>
    <w:p w14:paraId="271EAC91">
      <w:pPr>
        <w:spacing w:before="0" w:after="0" w:line="360" w:lineRule="auto"/>
        <w:ind w:firstLine="708"/>
        <w:jc w:val="both"/>
      </w:pPr>
      <w:r>
        <w:rPr>
          <w:rFonts w:ascii="Times New Roman" w:hAnsi="Times New Roman" w:eastAsia="Times New Roman" w:cs="Times New Roman"/>
          <w:color w:val="000000"/>
          <w:sz w:val="28"/>
          <w:szCs w:val="28"/>
        </w:rPr>
        <w:t>Q12 (мес. 34–36); 620; 8 600; 3 100; +5 500; +5 500; 0,5777; +3 178; +9 417</w:t>
      </w:r>
    </w:p>
    <w:p w14:paraId="1F9DDB60">
      <w:pPr>
        <w:spacing w:before="0" w:after="0" w:line="360" w:lineRule="auto"/>
        <w:ind w:firstLine="708"/>
        <w:jc w:val="both"/>
      </w:pPr>
      <w:r>
        <w:rPr>
          <w:rFonts w:ascii="Times New Roman" w:hAnsi="Times New Roman" w:eastAsia="Times New Roman" w:cs="Times New Roman"/>
          <w:color w:val="000000"/>
          <w:sz w:val="28"/>
          <w:szCs w:val="28"/>
        </w:rPr>
        <w:t>Пояснение расчёта. Стартовые инвестиции Q0 включают капитализированные затраты на разработку MVP (около 1,2 млн руб.) и стартовый операционный резерв (около 0,3 млн руб.). Выручка квартала рассчитана как сумма платежей подписчиков с учётом распределения по тарифам Базовый/Pro/Enterprise (40/50/10%) и среднего ARPU 12 000 руб./мес. в первый год, с постепенным ростом ARPU за счёт апселла до 14 500 руб./мес. к концу третьего года. OPEX включает ФОТ команды (с расширением с 4 до 7 человек к концу горизонта), GPU-инфраструктуру (126–250 тыс. руб./мес. в облачной модели), маркетинговый бюджет 1,8 млн руб. в первый год и прочие расходы; на ставку налога по УСН 15% уже сделана корректировка. Сумма дисконтированных CF за весь горизонт за вычетом I0 даёт итоговый NPV. По таблице видно, что дисконтированный срок окупаемости приходится на Q9 (мес. 25–27), что согласуется со значением DPP = 28 месяцев в основном тексте.</w:t>
      </w:r>
    </w:p>
    <w:p w14:paraId="30BB9AE5">
      <w:pPr>
        <w:spacing w:before="0" w:after="0" w:line="360" w:lineRule="auto"/>
        <w:jc w:val="left"/>
      </w:pPr>
      <w:r>
        <w:rPr>
          <w:rFonts w:ascii="Times New Roman" w:hAnsi="Times New Roman" w:eastAsia="Times New Roman" w:cs="Times New Roman"/>
          <w:color w:val="000000"/>
          <w:sz w:val="28"/>
          <w:szCs w:val="28"/>
        </w:rPr>
        <w:t>Таблица Б.2 — Сводные показатели по трём сценариям</w:t>
      </w:r>
    </w:p>
    <w:p w14:paraId="2FE13AD3">
      <w:pPr>
        <w:spacing w:before="0" w:after="0" w:line="360" w:lineRule="auto"/>
        <w:ind w:firstLine="708"/>
        <w:jc w:val="both"/>
      </w:pPr>
      <w:r>
        <w:rPr>
          <w:rFonts w:ascii="Times New Roman" w:hAnsi="Times New Roman" w:eastAsia="Times New Roman" w:cs="Times New Roman"/>
          <w:color w:val="000000"/>
          <w:sz w:val="28"/>
          <w:szCs w:val="28"/>
        </w:rPr>
        <w:t>Показатель; Пессимистический; Базовый; Оптимистический</w:t>
      </w:r>
    </w:p>
    <w:p w14:paraId="07A87052">
      <w:pPr>
        <w:spacing w:before="0" w:after="0" w:line="360" w:lineRule="auto"/>
        <w:ind w:firstLine="708"/>
        <w:jc w:val="both"/>
      </w:pPr>
      <w:r>
        <w:rPr>
          <w:rFonts w:ascii="Times New Roman" w:hAnsi="Times New Roman" w:eastAsia="Times New Roman" w:cs="Times New Roman"/>
          <w:color w:val="000000"/>
          <w:sz w:val="28"/>
          <w:szCs w:val="28"/>
        </w:rPr>
        <w:t>Годовая ставка дисконтирования, %; 20; 20; 20</w:t>
      </w:r>
    </w:p>
    <w:p w14:paraId="5A9F35CF">
      <w:pPr>
        <w:spacing w:before="0" w:after="0" w:line="360" w:lineRule="auto"/>
        <w:ind w:firstLine="708"/>
        <w:jc w:val="both"/>
      </w:pPr>
      <w:r>
        <w:rPr>
          <w:rFonts w:ascii="Times New Roman" w:hAnsi="Times New Roman" w:eastAsia="Times New Roman" w:cs="Times New Roman"/>
          <w:color w:val="000000"/>
          <w:sz w:val="28"/>
          <w:szCs w:val="28"/>
        </w:rPr>
        <w:t>Первоначальные инвестиции I0, млн руб.; 7,2; 4,7; 2,8</w:t>
      </w:r>
    </w:p>
    <w:p w14:paraId="2390F085">
      <w:pPr>
        <w:spacing w:before="0" w:after="0" w:line="360" w:lineRule="auto"/>
        <w:ind w:firstLine="708"/>
        <w:jc w:val="both"/>
      </w:pPr>
      <w:r>
        <w:rPr>
          <w:rFonts w:ascii="Times New Roman" w:hAnsi="Times New Roman" w:eastAsia="Times New Roman" w:cs="Times New Roman"/>
          <w:color w:val="000000"/>
          <w:sz w:val="28"/>
          <w:szCs w:val="28"/>
        </w:rPr>
        <w:t>Накопленный CF за 36 мес., млн руб.; 5,4; 20,8; 38,2</w:t>
      </w:r>
    </w:p>
    <w:p w14:paraId="14DEA5F4">
      <w:pPr>
        <w:spacing w:before="0" w:after="0" w:line="360" w:lineRule="auto"/>
        <w:ind w:firstLine="708"/>
        <w:jc w:val="both"/>
      </w:pPr>
      <w:r>
        <w:rPr>
          <w:rFonts w:ascii="Times New Roman" w:hAnsi="Times New Roman" w:eastAsia="Times New Roman" w:cs="Times New Roman"/>
          <w:color w:val="000000"/>
          <w:sz w:val="28"/>
          <w:szCs w:val="28"/>
        </w:rPr>
        <w:t>NPV (DCF, 20%), млн руб.; 3,2; 18,7; 31,4</w:t>
      </w:r>
    </w:p>
    <w:p w14:paraId="5C8B2E39">
      <w:pPr>
        <w:spacing w:before="0" w:after="0" w:line="360" w:lineRule="auto"/>
        <w:ind w:firstLine="708"/>
        <w:jc w:val="both"/>
      </w:pPr>
      <w:r>
        <w:rPr>
          <w:rFonts w:ascii="Times New Roman" w:hAnsi="Times New Roman" w:eastAsia="Times New Roman" w:cs="Times New Roman"/>
          <w:color w:val="000000"/>
          <w:sz w:val="28"/>
          <w:szCs w:val="28"/>
        </w:rPr>
        <w:t>IRR (годовая), %; 38; 87; 142</w:t>
      </w:r>
    </w:p>
    <w:p w14:paraId="3045F9ED">
      <w:pPr>
        <w:spacing w:before="0" w:after="0" w:line="360" w:lineRule="auto"/>
        <w:ind w:firstLine="708"/>
        <w:jc w:val="both"/>
      </w:pPr>
      <w:r>
        <w:rPr>
          <w:rFonts w:ascii="Times New Roman" w:hAnsi="Times New Roman" w:eastAsia="Times New Roman" w:cs="Times New Roman"/>
          <w:color w:val="000000"/>
          <w:sz w:val="28"/>
          <w:szCs w:val="28"/>
        </w:rPr>
        <w:t>DPP (дисконтированный), мес.; 34; 28; 21</w:t>
      </w:r>
    </w:p>
    <w:p w14:paraId="222F10C1">
      <w:pPr>
        <w:spacing w:before="0" w:after="0" w:line="360" w:lineRule="auto"/>
        <w:ind w:firstLine="708"/>
        <w:jc w:val="both"/>
      </w:pPr>
      <w:r>
        <w:rPr>
          <w:rFonts w:ascii="Times New Roman" w:hAnsi="Times New Roman" w:eastAsia="Times New Roman" w:cs="Times New Roman"/>
          <w:color w:val="000000"/>
          <w:sz w:val="28"/>
          <w:szCs w:val="28"/>
        </w:rPr>
        <w:t>Индекс PI; 1,4; 5,0; 12,2</w:t>
      </w:r>
    </w:p>
    <w:p w14:paraId="4C774B81">
      <w:pPr>
        <w:spacing w:before="0" w:after="0" w:line="360" w:lineRule="auto"/>
        <w:ind w:firstLine="708"/>
        <w:jc w:val="both"/>
      </w:pPr>
      <w:r>
        <w:rPr>
          <w:rFonts w:ascii="Times New Roman" w:hAnsi="Times New Roman" w:eastAsia="Times New Roman" w:cs="Times New Roman"/>
          <w:color w:val="000000"/>
          <w:sz w:val="28"/>
          <w:szCs w:val="28"/>
        </w:rPr>
        <w:t>Вероятность NPV &gt; 0 (Монте-Карло, 10 000 итераций); 89%; 89%; 89%</w:t>
      </w:r>
    </w:p>
    <w:p w14:paraId="2D5BEB2D">
      <w:pPr>
        <w:spacing w:before="0" w:after="0" w:line="360" w:lineRule="auto"/>
        <w:ind w:firstLine="708"/>
        <w:jc w:val="both"/>
      </w:pPr>
      <w:r>
        <w:rPr>
          <w:rFonts w:ascii="Times New Roman" w:hAnsi="Times New Roman" w:eastAsia="Times New Roman" w:cs="Times New Roman"/>
          <w:color w:val="000000"/>
          <w:sz w:val="28"/>
          <w:szCs w:val="28"/>
        </w:rPr>
        <w:t>Интерпретация. Во всех трёх сценариях NPV положителен, а IRR превышает ставку дисконтирования не менее чем в 1,9 раза. В базовом сценарии каждый рубль вложенных инвестиций генерирует 5 рублей дисконтированной стоимости, что соответствует медианным значениям инвестиционно привлекательных deep-tech-сделок российского венчурного рынка [42]. Стресс-тест методом Монте-Карло с варьированием ARPU ±30%, churn ±50% и темпа привлечения ±40% при 10 000 итераций даёт медианное значение NPV 15,2 млн руб. при стандартном отклонении 8,4 млн руб., что подтверждает устойчивость модели.</w:t>
      </w:r>
    </w:p>
    <w:p w14:paraId="4A9F8F56">
      <w:pPr>
        <w:spacing w:before="0" w:after="0" w:line="360" w:lineRule="auto"/>
      </w:pPr>
      <w:r>
        <w:rPr>
          <w:rFonts w:ascii="Times New Roman" w:hAnsi="Times New Roman" w:eastAsia="Times New Roman" w:cs="Times New Roman"/>
          <w:color w:val="000000"/>
          <w:sz w:val="28"/>
        </w:rPr>
        <w:br w:type="page"/>
      </w:r>
    </w:p>
    <w:p w14:paraId="552129F4">
      <w:pPr>
        <w:pStyle w:val="2"/>
        <w:pageBreakBefore/>
        <w:spacing w:before="0" w:after="0" w:line="360" w:lineRule="auto"/>
        <w:jc w:val="center"/>
      </w:pPr>
      <w:bookmarkStart w:id="23" w:name="_Toc1883262506"/>
      <w:r>
        <w:rPr>
          <w:rFonts w:ascii="Times New Roman" w:hAnsi="Times New Roman" w:eastAsia="Times New Roman" w:cs="Times New Roman"/>
          <w:b/>
          <w:color w:val="000000"/>
          <w:sz w:val="28"/>
          <w:szCs w:val="28"/>
        </w:rPr>
        <w:t>ПРИЛОЖЕНИЕ В (справочное)</w:t>
      </w:r>
      <w:bookmarkEnd w:id="23"/>
    </w:p>
    <w:p w14:paraId="3F6B24A3">
      <w:pPr>
        <w:spacing w:before="0" w:after="0" w:line="360" w:lineRule="auto"/>
        <w:jc w:val="center"/>
      </w:pPr>
      <w:r>
        <w:rPr>
          <w:rFonts w:ascii="Times New Roman" w:hAnsi="Times New Roman" w:eastAsia="Times New Roman" w:cs="Times New Roman"/>
          <w:b/>
          <w:color w:val="000000"/>
          <w:sz w:val="28"/>
        </w:rPr>
        <w:t>Краткое техническое описание минимально жизнеспособного продукта</w:t>
      </w:r>
    </w:p>
    <w:p w14:paraId="752D477E">
      <w:pPr>
        <w:spacing w:before="0" w:after="0" w:line="360" w:lineRule="auto"/>
        <w:ind w:firstLine="708"/>
        <w:jc w:val="both"/>
      </w:pPr>
      <w:r>
        <w:rPr>
          <w:rFonts w:ascii="Times New Roman" w:hAnsi="Times New Roman" w:eastAsia="Times New Roman" w:cs="Times New Roman"/>
          <w:color w:val="000000"/>
          <w:sz w:val="28"/>
          <w:szCs w:val="28"/>
        </w:rPr>
        <w:t>Назначение и архитектура. ПО «Эксперимент 619» — это связка алгоритмов компьютерного зрения, генеративных нейронных сетей и программной калибровки проекции; задача связки — ускорить создание контента видеомэппинга. Архитектурно MVP уровня TRL 3 я собрал из четырёх независимых модулей, соединённых единым пайплайном обработки данных: модуль предобработки изображения; модуль оценки монокулярной карты глубины; библиотека визуальных эффектов с поддержкой SDXL и ControlNet; модуль мульти-проекторной сшивки и автокалибровки. Бизнес-логику и API я оформил как FastAPI-сервис, развёрнутый на GPU-инстансах ИТМО ЦОД; пользовательский интерфейс — веб-приложение для менеджера проекта.</w:t>
      </w:r>
    </w:p>
    <w:p w14:paraId="57993443">
      <w:pPr>
        <w:spacing w:before="0" w:after="0" w:line="360" w:lineRule="auto"/>
        <w:ind w:firstLine="708"/>
        <w:jc w:val="both"/>
      </w:pPr>
      <w:r>
        <w:rPr>
          <w:rFonts w:ascii="Times New Roman" w:hAnsi="Times New Roman" w:eastAsia="Times New Roman" w:cs="Times New Roman"/>
          <w:color w:val="000000"/>
          <w:sz w:val="28"/>
          <w:szCs w:val="28"/>
        </w:rPr>
        <w:t>Модуль предобработки. Модуль принимает на вход одно RGB-изображение объекта (фасад здания, интерьер, инсталляция) с разрешением не ниже 1920×1080 пикселей, корректирует экспозицию, выполняет геометрическую нормализацию и формирует кадр для последующих этапов. Допустимые форматы: JPEG, PNG, HEIC. Среднее время выполнения этапа — менее 30 секунд на одном GPU-инстансе уровня NVIDIA A100.</w:t>
      </w:r>
    </w:p>
    <w:p w14:paraId="358B471C">
      <w:pPr>
        <w:spacing w:before="0" w:after="0" w:line="360" w:lineRule="auto"/>
        <w:ind w:firstLine="708"/>
        <w:jc w:val="both"/>
      </w:pPr>
      <w:r>
        <w:rPr>
          <w:rFonts w:ascii="Times New Roman" w:hAnsi="Times New Roman" w:eastAsia="Times New Roman" w:cs="Times New Roman"/>
          <w:color w:val="000000"/>
          <w:sz w:val="28"/>
          <w:szCs w:val="28"/>
        </w:rPr>
        <w:t>Модуль оценки карты глубины. Для построения монокулярной карты глубины я с командой использую открытые модели семейства MiDaS (Intel Labs) и Depth-Anything; обе модели зафиксированы в проприетарной обвязке с fine-tuned весами под архитектурные объекты, что повышает качество восстановления геометрии для типовых сцен фасадного мэппинга. Метрика качества — относительная средняя ошибка по тестовому набору из 100 эталонных изображений; целевое значение — не выше 8%. Среднее время инференса на GPU NVIDIA A100 — около 13 минут на одну сцену, что и обеспечивает фиксируемое в работе ускорение этапа карты глубины в 5 раз относительно ручного 3D-моделирования.</w:t>
      </w:r>
    </w:p>
    <w:p w14:paraId="353BCD41">
      <w:pPr>
        <w:spacing w:before="0" w:after="0" w:line="360" w:lineRule="auto"/>
        <w:ind w:firstLine="708"/>
        <w:jc w:val="both"/>
      </w:pPr>
      <w:r>
        <w:rPr>
          <w:rFonts w:ascii="Times New Roman" w:hAnsi="Times New Roman" w:eastAsia="Times New Roman" w:cs="Times New Roman"/>
          <w:color w:val="000000"/>
          <w:sz w:val="28"/>
          <w:szCs w:val="28"/>
        </w:rPr>
        <w:t>Библиотека эффектов и генерация контента. Этап генерации художественного контента построен на связке Stable Diffusion XL (SDXL) и ControlNet с условием по карте глубины, что обеспечивает жёсткую привязку синтезированного изображения к геометрии сцены и устраняет основной источник «галлюцинаций» генеративных моделей. На текущей стадии библиотека включает 12 базовых визуальных эффектов, реализованных в виде LoRA-адаптеров и набора стилевых пресетов; расширение до 50+ эффектов запланировано в рамках дорожной карты. После генерации сцена дорабатывается дизайнером в режиме Human-in-the-Loop. В техническом стеке MVP не используется семейство моделей StyleGAN — генеративные задачи решаются связкой SDXL + ControlNet.</w:t>
      </w:r>
    </w:p>
    <w:p w14:paraId="3C8587C8">
      <w:pPr>
        <w:spacing w:before="0" w:after="0" w:line="360" w:lineRule="auto"/>
        <w:ind w:firstLine="708"/>
        <w:jc w:val="both"/>
      </w:pPr>
      <w:r>
        <w:rPr>
          <w:rFonts w:ascii="Times New Roman" w:hAnsi="Times New Roman" w:eastAsia="Times New Roman" w:cs="Times New Roman"/>
          <w:color w:val="000000"/>
          <w:sz w:val="28"/>
          <w:szCs w:val="28"/>
        </w:rPr>
        <w:t>Модуль мульти-проекторной сшивки и калибровки. Модуль выполняет программную сшивку изображений нескольких проекторов (multi-projector blending), коррекцию геометрических искажений и автоматическую подгонку контента к рельефу объекта по полученной карте глубины. Среднее время калибровки одного шоу — около 1 минуты при работе с двумя–тремя проекторами; для сложных сцен с 5+ проекторами время растёт до 5–7 минут.</w:t>
      </w:r>
    </w:p>
    <w:p w14:paraId="485D58F4">
      <w:pPr>
        <w:spacing w:before="0" w:after="0" w:line="360" w:lineRule="auto"/>
        <w:ind w:firstLine="708"/>
        <w:jc w:val="both"/>
      </w:pPr>
      <w:r>
        <w:rPr>
          <w:rFonts w:ascii="Times New Roman" w:hAnsi="Times New Roman" w:eastAsia="Times New Roman" w:cs="Times New Roman"/>
          <w:color w:val="000000"/>
          <w:sz w:val="28"/>
          <w:szCs w:val="28"/>
        </w:rPr>
        <w:t>Стек технологий. Языки и фреймворки: Python 3.11, PyTorch 2.x, OpenCV, Diffusers (Hugging Face), FastAPI, Pydantic, Uvicorn, PostgreSQL для хранения метаданных проектов, MinIO для хранения медиаактивов. Инфраструктура: GPU-инстансы NVIDIA A100/H100 на платформе ИТМО ЦОД с резервированием через Yandex Cloud и SberCloud. Контейнеризация — Docker, оркестрация — docker compose на ранней стадии, переход на Kubernetes планируется на этапе TRL 6.</w:t>
      </w:r>
    </w:p>
    <w:p w14:paraId="59B41D22">
      <w:pPr>
        <w:spacing w:before="0" w:after="0" w:line="360" w:lineRule="auto"/>
        <w:ind w:firstLine="708"/>
        <w:jc w:val="both"/>
      </w:pPr>
      <w:r>
        <w:rPr>
          <w:rFonts w:ascii="Times New Roman" w:hAnsi="Times New Roman" w:eastAsia="Times New Roman" w:cs="Times New Roman"/>
          <w:color w:val="000000"/>
          <w:sz w:val="28"/>
          <w:szCs w:val="28"/>
        </w:rPr>
        <w:t>Пайплайн обработки. Стандартный сценарий выглядит так: пользователь загружает RGB-изображение → запрос помещается в очередь FastAPI → выполняется предобработка → строится карта глубины → дизайнер выбирает стиль из библиотеки эффектов → запускается генерация SDXL + ControlNet → результат проверяется в режиме Human-in-the-Loop → формируется проекционный пакет → выполняется автокалибровка на площадке → выводится итоговое шоу. Общее время цикла для типового проекта составляет около 23 минут, что и зафиксировано в BPMN-модели to-be (рисунок 1.3).</w:t>
      </w:r>
    </w:p>
    <w:p w14:paraId="54F20B38">
      <w:pPr>
        <w:spacing w:before="0" w:after="0" w:line="360" w:lineRule="auto"/>
        <w:ind w:firstLine="708"/>
        <w:jc w:val="both"/>
      </w:pPr>
      <w:r>
        <w:rPr>
          <w:rFonts w:ascii="Times New Roman" w:hAnsi="Times New Roman" w:eastAsia="Times New Roman" w:cs="Times New Roman"/>
          <w:color w:val="000000"/>
          <w:sz w:val="28"/>
          <w:szCs w:val="28"/>
        </w:rPr>
        <w:t>Текущие ограничения и направления развития. На стадии TRL 3 MVP имеет следующие ограничения: ограниченная библиотека эффектов (12 пресетов); зависимость от облачной инфраструктуры — пиковая нагрузка более 500 одновременных запросов на GPU требует масштабирования пула инстансов; отсутствие гибкой системы биллинга — на текущем этапе используется ручная тарификация. На стадии TRL 6 запланированы переход на микросервисную архитектуру, внедрение SaaS-биллинга и интеграция с CRM (amoCRM или Bitrix24), а также развёртывание региональных GPU-кластеров для рынков СНГ и MENA.</w:t>
      </w:r>
    </w:p>
    <w:p w14:paraId="4A0F858D">
      <w:pPr>
        <w:spacing w:before="0" w:after="0" w:line="360" w:lineRule="auto"/>
        <w:ind w:firstLine="709"/>
        <w:jc w:val="both"/>
      </w:pPr>
    </w:p>
    <w:sectPr>
      <w:headerReference r:id="rId4" w:type="first"/>
      <w:headerReference r:id="rId3" w:type="default"/>
      <w:pgSz w:w="11906" w:h="16838"/>
      <w:pgMar w:top="1134" w:right="850" w:bottom="1134" w:left="1701" w:header="567" w:footer="567"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Times New Roman Bold">
    <w:panose1 w:val="02020603050405020304"/>
    <w:charset w:val="00"/>
    <w:family w:val="auto"/>
    <w:pitch w:val="default"/>
    <w:sig w:usb0="E0002AEF" w:usb1="C0007841"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8161E">
    <w:pPr>
      <w:jc w:val="center"/>
    </w:pPr>
    <w:r>
      <w:fldChar w:fldCharType="begin"/>
    </w:r>
    <w:r>
      <w:instrText xml:space="preserve">PAGE</w:instrText>
    </w:r>
    <w:r>
      <w:fldChar w:fldCharType="separate"/>
    </w:r>
    <w: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959F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documentProtection w:enforcement="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D36"/>
    <w:rsid w:val="000E6E00"/>
    <w:rsid w:val="00425199"/>
    <w:rsid w:val="00BC6D36"/>
    <w:rsid w:val="00E7188D"/>
    <w:rsid w:val="379DC802"/>
    <w:rsid w:val="FFFBDCF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lang w:val="ru-RU" w:eastAsia="ru-RU" w:bidi="ar-SA"/>
    </w:rPr>
  </w:style>
  <w:style w:type="paragraph" w:styleId="2">
    <w:name w:val="heading 1"/>
    <w:link w:val="22"/>
    <w:qFormat/>
    <w:uiPriority w:val="9"/>
    <w:pPr>
      <w:spacing w:before="0" w:after="0" w:line="360" w:lineRule="auto"/>
      <w:jc w:val="center"/>
      <w:outlineLvl w:val="0"/>
    </w:pPr>
    <w:rPr>
      <w:rFonts w:ascii="Times New Roman" w:hAnsi="Times New Roman" w:eastAsia="Times New Roman" w:cs="Times New Roman"/>
      <w:b/>
      <w:bCs/>
      <w:sz w:val="28"/>
      <w:szCs w:val="32"/>
      <w:lang w:val="ru-RU" w:eastAsia="ru-RU" w:bidi="ar-SA"/>
    </w:rPr>
  </w:style>
  <w:style w:type="paragraph" w:styleId="3">
    <w:name w:val="heading 2"/>
    <w:link w:val="23"/>
    <w:unhideWhenUsed/>
    <w:qFormat/>
    <w:uiPriority w:val="9"/>
    <w:pPr>
      <w:spacing w:before="0" w:after="0" w:line="360" w:lineRule="auto"/>
      <w:outlineLvl w:val="1"/>
    </w:pPr>
    <w:rPr>
      <w:rFonts w:ascii="Times New Roman" w:hAnsi="Times New Roman" w:eastAsia="Times New Roman" w:cs="Times New Roman"/>
      <w:b/>
      <w:bCs/>
      <w:sz w:val="28"/>
      <w:szCs w:val="28"/>
      <w:lang w:val="ru-RU" w:eastAsia="ru-RU"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ru-RU" w:eastAsia="ru-RU"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8"/>
      <w:szCs w:val="28"/>
      <w:lang w:val="ru-RU" w:eastAsia="ru-RU"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8"/>
      <w:szCs w:val="28"/>
      <w:lang w:val="ru-RU" w:eastAsia="ru-RU"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8"/>
      <w:szCs w:val="28"/>
      <w:lang w:val="ru-RU" w:eastAsia="ru-RU"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rPr>
      <w:rFonts w:ascii="Times New Roman" w:hAnsi="Times New Roman" w:eastAsia="Times New Roman" w:cs="Times New Roman"/>
      <w:sz w:val="20"/>
      <w:szCs w:val="20"/>
      <w:lang w:val="ru-RU" w:eastAsia="ru-RU" w:bidi="ar-SA"/>
    </w:rPr>
  </w:style>
  <w:style w:type="character" w:styleId="12">
    <w:name w:val="footnote reference"/>
    <w:semiHidden/>
    <w:unhideWhenUsed/>
    <w:uiPriority w:val="99"/>
    <w:rPr>
      <w:vertAlign w:val="superscript"/>
    </w:rPr>
  </w:style>
  <w:style w:type="paragraph" w:styleId="13">
    <w:name w:val="footnote text"/>
    <w:link w:val="20"/>
    <w:semiHidden/>
    <w:unhideWhenUsed/>
    <w:uiPriority w:val="99"/>
    <w:rPr>
      <w:rFonts w:ascii="Times New Roman" w:hAnsi="Times New Roman" w:eastAsia="Times New Roman" w:cs="Times New Roman"/>
      <w:sz w:val="20"/>
      <w:szCs w:val="20"/>
      <w:lang w:val="ru-RU" w:eastAsia="ru-RU" w:bidi="ar-SA"/>
    </w:rPr>
  </w:style>
  <w:style w:type="character" w:styleId="14">
    <w:name w:val="Hyperlink"/>
    <w:unhideWhenUsed/>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ru-RU" w:eastAsia="ru-RU" w:bidi="ar-SA"/>
    </w:rPr>
  </w:style>
  <w:style w:type="paragraph" w:styleId="16">
    <w:name w:val="toc 1"/>
    <w:basedOn w:val="1"/>
    <w:next w:val="1"/>
    <w:semiHidden/>
    <w:unhideWhenUsed/>
    <w:uiPriority w:val="39"/>
  </w:style>
  <w:style w:type="paragraph" w:styleId="17">
    <w:name w:val="toc 2"/>
    <w:basedOn w:val="1"/>
    <w:next w:val="1"/>
    <w:semiHidden/>
    <w:unhideWhenUsed/>
    <w:uiPriority w:val="39"/>
    <w:pPr>
      <w:ind w:left="420" w:leftChars="200"/>
    </w:pPr>
  </w:style>
  <w:style w:type="paragraph" w:customStyle="1" w:styleId="18">
    <w:name w:val="Строгий1"/>
    <w:qFormat/>
    <w:uiPriority w:val="0"/>
    <w:rPr>
      <w:rFonts w:ascii="Times New Roman" w:hAnsi="Times New Roman" w:eastAsia="Times New Roman" w:cs="Times New Roman"/>
      <w:b/>
      <w:bCs/>
      <w:sz w:val="28"/>
      <w:szCs w:val="28"/>
      <w:lang w:val="ru-RU" w:eastAsia="ru-RU" w:bidi="ar-SA"/>
    </w:rPr>
  </w:style>
  <w:style w:type="paragraph" w:styleId="19">
    <w:name w:val="List Paragraph"/>
    <w:qFormat/>
    <w:uiPriority w:val="0"/>
    <w:rPr>
      <w:rFonts w:ascii="Times New Roman" w:hAnsi="Times New Roman" w:eastAsia="Times New Roman" w:cs="Times New Roman"/>
      <w:sz w:val="28"/>
      <w:szCs w:val="28"/>
      <w:lang w:val="ru-RU" w:eastAsia="ru-RU" w:bidi="ar-SA"/>
    </w:rPr>
  </w:style>
  <w:style w:type="character" w:customStyle="1" w:styleId="20">
    <w:name w:val="Текст сноски Знак"/>
    <w:link w:val="13"/>
    <w:semiHidden/>
    <w:unhideWhenUsed/>
    <w:uiPriority w:val="99"/>
    <w:rPr>
      <w:sz w:val="20"/>
      <w:szCs w:val="20"/>
    </w:rPr>
  </w:style>
  <w:style w:type="character" w:customStyle="1" w:styleId="21">
    <w:name w:val="Текст концевой сноски Знак"/>
    <w:link w:val="11"/>
    <w:semiHidden/>
    <w:unhideWhenUsed/>
    <w:uiPriority w:val="99"/>
    <w:rPr>
      <w:sz w:val="20"/>
      <w:szCs w:val="20"/>
    </w:rPr>
  </w:style>
  <w:style w:type="character" w:customStyle="1" w:styleId="22">
    <w:name w:val="Заголовок 1 Знак"/>
    <w:basedOn w:val="8"/>
    <w:link w:val="2"/>
    <w:uiPriority w:val="9"/>
    <w:rPr>
      <w:b/>
      <w:bCs/>
      <w:sz w:val="32"/>
      <w:szCs w:val="32"/>
    </w:rPr>
  </w:style>
  <w:style w:type="character" w:customStyle="1" w:styleId="23">
    <w:name w:val="Заголовок 2 Знак"/>
    <w:basedOn w:val="8"/>
    <w:link w:val="3"/>
    <w:uiPriority w:val="9"/>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72</Pages>
  <Words>11086</Words>
  <Characters>63192</Characters>
  <Lines>526</Lines>
  <Paragraphs>148</Paragraphs>
  <TotalTime>0</TotalTime>
  <ScaleCrop>false</ScaleCrop>
  <LinksUpToDate>false</LinksUpToDate>
  <CharactersWithSpaces>74130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2026-05-03T22:51:00Z</dcterms:created>
  <dc:creator>Un-named</dc:creator>
  <cp:lastModifiedBy>Антон Иванов</cp:lastModifiedBy>
  <dcterms:modified xsi:type="dcterms:W3CDTF">2026-05-15T23:44:37Z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ED542274E0454936112F076ADCB431E4_42</vt:lpwstr>
  </property>
</Properties>
</file>